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0958A">
      <w:pPr>
        <w:pStyle w:val="32"/>
      </w:pPr>
      <w:r>
        <w:t>1971 MULTILATERAL AGREEMENT ON COMMERCIAL RIGHTS ON NON-SCHEDULED SERVICES AMONG THE ASSOCIATION OF SOUTHEAST ASIAN NATIONS</w:t>
      </w:r>
    </w:p>
    <w:p w14:paraId="1857DF83"/>
    <w:p w14:paraId="12D70F70">
      <w:pPr>
        <w:numPr>
          <w:ilvl w:val="0"/>
          <w:numId w:val="0"/>
        </w:numPr>
        <w:ind w:left="425" w:leftChars="0" w:hanging="425" w:firstLineChars="0"/>
      </w:pPr>
      <w:r>
        <w:rPr>
          <w:rFonts w:hint="default" w:ascii="Arial" w:hAnsi="Arial" w:eastAsia="Calibri" w:cs="Times New Roman"/>
          <w:lang w:val="en-US" w:eastAsia="en-US" w:bidi="ar-SA"/>
        </w:rPr>
        <w:t>1.</w:t>
      </w:r>
      <w:bookmarkStart w:id="1" w:name="_GoBack"/>
      <w:bookmarkEnd w:id="1"/>
      <w:r>
        <w:t>This Agreement applies to any civil aircraft:</w:t>
      </w:r>
      <w:r>
        <w:rPr>
          <w:rFonts w:hint="eastAsia" w:eastAsia="宋体"/>
          <w:lang w:val="en-US" w:eastAsia="zh-CN"/>
        </w:rPr>
        <w:t xml:space="preserve"> </w:t>
      </w:r>
      <w:r>
        <w:t>registered in an ASEAN state and</w:t>
      </w:r>
      <w:r>
        <w:rPr>
          <w:rFonts w:hint="eastAsia" w:eastAsia="宋体"/>
          <w:lang w:val="en-US" w:eastAsia="zh-CN"/>
        </w:rPr>
        <w:t xml:space="preserve"> </w:t>
      </w:r>
      <w:r>
        <w:t>operated by a national of one of the member states or a firm or corporation substantially owned and having effective control by national of one of the Member States duly authorized by the competent aeronautical authority of that States; and</w:t>
      </w:r>
      <w:r>
        <w:rPr>
          <w:rFonts w:hint="eastAsia" w:eastAsia="宋体"/>
          <w:lang w:val="en-US" w:eastAsia="zh-CN"/>
        </w:rPr>
        <w:t xml:space="preserve"> </w:t>
      </w:r>
      <w:r>
        <w:t>engaged in non-scheduled international flights for pay or hire in the territories within the ASEAN region.</w:t>
      </w:r>
    </w:p>
    <w:p w14:paraId="44E0DB76">
      <w:pPr>
        <w:numPr>
          <w:ilvl w:val="0"/>
          <w:numId w:val="0"/>
        </w:numPr>
        <w:ind w:left="425" w:leftChars="0" w:hanging="425" w:firstLineChars="0"/>
      </w:pPr>
      <w:r>
        <w:rPr>
          <w:rFonts w:hint="default" w:ascii="Arial" w:hAnsi="Arial" w:eastAsia="Calibri" w:cs="Times New Roman"/>
          <w:lang w:val="en-US" w:eastAsia="en-US" w:bidi="ar-SA"/>
        </w:rPr>
        <w:t>2.</w:t>
      </w:r>
      <w:r>
        <w:t>The member states of ASEAN agree to admit the aircraft referred to in Article 1 of the Agreement freely to their respective territories for the purpose of taking on or discharging third and fourth freedom traffic in respect to the airports contained in the Annex to this Agreement without the imposition of the regulations, condition or limitations provided for in paragraph 2, Article 5 of the Chicago Convention, except for traffic control where such aircraft -are engaged in.</w:t>
      </w:r>
      <w:r>
        <w:rPr>
          <w:rFonts w:hint="eastAsia" w:eastAsia="宋体"/>
          <w:lang w:val="en-US" w:eastAsia="zh-CN"/>
        </w:rPr>
        <w:t xml:space="preserve"> </w:t>
      </w:r>
      <w:r>
        <w:t>flights for the purpose of meeting emergency or humanitarian needs;</w:t>
      </w:r>
      <w:r>
        <w:rPr>
          <w:rFonts w:hint="eastAsia" w:eastAsia="宋体"/>
          <w:lang w:val="en-US" w:eastAsia="zh-CN"/>
        </w:rPr>
        <w:t xml:space="preserve"> </w:t>
      </w:r>
      <w:r>
        <w:t>taxi-class passenger flights of occasional character on request, provided that on each flight the aircraft does not carry more than eight (8) passengers and provided that the destination is chosen by the hirer or hirers and no part of the capacity of the aircraft is sold to the public;</w:t>
      </w:r>
      <w:r>
        <w:rPr>
          <w:rFonts w:hint="eastAsia" w:eastAsia="宋体"/>
          <w:lang w:val="en-US" w:eastAsia="zh-CN"/>
        </w:rPr>
        <w:t xml:space="preserve"> </w:t>
      </w:r>
      <w:r>
        <w:t>flights on which the entire space is hired by a single, individual, firm corporation or institution for the carriage of his or its personnel or merchandise provided that on each flight no part of such space is resold and the total number of passengers does not exceed forty (40) passengers and total freight does not exceed to (2) tonnes provided the total frequency between to Member States does not exceed two (2) flights per week;</w:t>
      </w:r>
      <w:r>
        <w:rPr>
          <w:rFonts w:hint="eastAsia" w:eastAsia="宋体"/>
          <w:lang w:val="en-US" w:eastAsia="zh-CN"/>
        </w:rPr>
        <w:t xml:space="preserve"> </w:t>
      </w:r>
      <w:r>
        <w:t>flight on which the entire space is hired for the transport of freight exclusively, provided that on each flight the total freight does not exceed four (4) tonnes.</w:t>
      </w:r>
    </w:p>
    <w:p w14:paraId="1ED8DC5E">
      <w:bookmarkStart w:id="0" w:name="_Toc465243259"/>
    </w:p>
    <w:bookmarkEnd w:id="0"/>
    <w:p w14:paraId="37D6F765">
      <w:pPr>
        <w:numPr>
          <w:ilvl w:val="0"/>
          <w:numId w:val="0"/>
        </w:numPr>
        <w:ind w:left="425" w:leftChars="0" w:hanging="425" w:firstLineChars="0"/>
      </w:pPr>
      <w:r>
        <w:rPr>
          <w:rFonts w:hint="default" w:ascii="Arial" w:hAnsi="Arial" w:eastAsia="Calibri" w:cs="Times New Roman"/>
          <w:lang w:val="en-US" w:eastAsia="en-US" w:bidi="ar-SA"/>
        </w:rPr>
        <w:t>3.</w:t>
      </w:r>
      <w:r>
        <w:t>The Member States further agree that for traffic control purposes in the case of non-scheduled flights referred in Article 2 of this Agreement, the following information shall be submitted direct, without passing through diplomatic channels to the Aviation Authority of the ASEAN State concerned:</w:t>
      </w:r>
      <w:r>
        <w:rPr>
          <w:rFonts w:hint="eastAsia" w:eastAsia="宋体"/>
          <w:lang w:val="en-US" w:eastAsia="zh-CN"/>
        </w:rPr>
        <w:t xml:space="preserve"> </w:t>
      </w:r>
      <w:r>
        <w:t>name of operating company and pilot in command;</w:t>
      </w:r>
      <w:r>
        <w:rPr>
          <w:rFonts w:hint="eastAsia" w:eastAsia="宋体"/>
          <w:lang w:val="en-US" w:eastAsia="zh-CN"/>
        </w:rPr>
        <w:t xml:space="preserve"> </w:t>
      </w:r>
      <w:r>
        <w:t>type of aircraft and registration marks;</w:t>
      </w:r>
      <w:r>
        <w:rPr>
          <w:rFonts w:hint="eastAsia" w:eastAsia="宋体"/>
          <w:lang w:val="en-US" w:eastAsia="zh-CN"/>
        </w:rPr>
        <w:t xml:space="preserve"> </w:t>
      </w:r>
      <w:r>
        <w:t>date and estimated time of arrival at the departure from the territory of the Member State;</w:t>
      </w:r>
      <w:r>
        <w:rPr>
          <w:rFonts w:hint="eastAsia" w:eastAsia="宋体"/>
          <w:lang w:val="en-US" w:eastAsia="zh-CN"/>
        </w:rPr>
        <w:t xml:space="preserve"> </w:t>
      </w:r>
      <w:r>
        <w:t>the itinerary of the aircraft;</w:t>
      </w:r>
      <w:r>
        <w:rPr>
          <w:rFonts w:hint="eastAsia" w:eastAsia="宋体"/>
          <w:lang w:val="en-US" w:eastAsia="zh-CN"/>
        </w:rPr>
        <w:t xml:space="preserve"> </w:t>
      </w:r>
      <w:r>
        <w:t>the purpose of the flight, the name of the chartered, the number of passengers and the nature and amount of freight to be taken on or put down;</w:t>
      </w:r>
      <w:r>
        <w:rPr>
          <w:rFonts w:hint="eastAsia" w:eastAsia="宋体"/>
          <w:lang w:val="en-US" w:eastAsia="zh-CN"/>
        </w:rPr>
        <w:t xml:space="preserve"> </w:t>
      </w:r>
      <w:r>
        <w:t>whether the flight to be approved is in accordance with sub-items (a), (b), (c) or (d) as appropriate of Article 2 and whether the request has the approval of the Operator’s National Civil Aviation Authority.</w:t>
      </w:r>
    </w:p>
    <w:p w14:paraId="3A39D28D">
      <w:pPr>
        <w:numPr>
          <w:ilvl w:val="0"/>
          <w:numId w:val="0"/>
        </w:numPr>
        <w:ind w:left="425" w:leftChars="0" w:hanging="425" w:firstLineChars="0"/>
      </w:pPr>
      <w:r>
        <w:rPr>
          <w:rFonts w:hint="default" w:ascii="Arial" w:hAnsi="Arial" w:eastAsia="Calibri" w:cs="Times New Roman"/>
          <w:lang w:val="en-US" w:eastAsia="en-US" w:bidi="ar-SA"/>
        </w:rPr>
        <w:t>4.</w:t>
      </w:r>
      <w:r>
        <w:t>The receipt of such information shall be acknowledged.</w:t>
      </w:r>
    </w:p>
    <w:p w14:paraId="21F1EE63">
      <w:pPr>
        <w:numPr>
          <w:ilvl w:val="0"/>
          <w:numId w:val="0"/>
        </w:numPr>
        <w:ind w:left="425" w:leftChars="0" w:hanging="425" w:firstLineChars="0"/>
      </w:pPr>
      <w:r>
        <w:rPr>
          <w:rFonts w:hint="default" w:ascii="Arial" w:hAnsi="Arial" w:eastAsia="Calibri" w:cs="Times New Roman"/>
          <w:lang w:val="en-US" w:eastAsia="en-US" w:bidi="ar-SA"/>
        </w:rPr>
        <w:t>5.</w:t>
      </w:r>
      <w:r>
        <w:t>If any dispute arises between Member States relating to the interpretation or application of the present Agreement, they shall, in the first place, endeavor to settle it by negotiation between themselves.</w:t>
      </w:r>
    </w:p>
    <w:p w14:paraId="385C6A70">
      <w:pPr>
        <w:numPr>
          <w:ilvl w:val="0"/>
          <w:numId w:val="0"/>
        </w:numPr>
        <w:ind w:left="425" w:leftChars="0" w:hanging="425" w:firstLineChars="0"/>
      </w:pPr>
      <w:r>
        <w:rPr>
          <w:rFonts w:hint="default" w:ascii="Arial" w:hAnsi="Arial" w:eastAsia="Calibri" w:cs="Times New Roman"/>
          <w:lang w:val="en-US" w:eastAsia="en-US" w:bidi="ar-SA"/>
        </w:rPr>
        <w:t>6.</w:t>
      </w:r>
      <w:r>
        <w:t>If they fail to reach a settlement they may agree to refer the dispute for decision firstly, to the Permanent Committee on Civil Air Transportation, secondly, to the ASEAN Standing Committee and lastly, to the ASEAN Ministers whose decisions shall be final.</w:t>
      </w:r>
    </w:p>
    <w:p w14:paraId="724BE519">
      <w:pPr>
        <w:numPr>
          <w:ilvl w:val="0"/>
          <w:numId w:val="0"/>
        </w:numPr>
        <w:ind w:left="425" w:leftChars="0" w:hanging="425" w:firstLineChars="0"/>
      </w:pPr>
      <w:r>
        <w:rPr>
          <w:rFonts w:hint="default" w:ascii="Arial" w:hAnsi="Arial" w:eastAsia="Calibri" w:cs="Times New Roman"/>
          <w:lang w:val="en-US" w:eastAsia="en-US" w:bidi="ar-SA"/>
        </w:rPr>
        <w:t>7.</w:t>
      </w:r>
      <w:r>
        <w:t>The Member States of ASEAN undertake to comply with the final decision given under paragraph 2 of this Article.</w:t>
      </w:r>
    </w:p>
    <w:p w14:paraId="284DB2E4">
      <w:pPr>
        <w:numPr>
          <w:ilvl w:val="0"/>
          <w:numId w:val="0"/>
        </w:numPr>
        <w:ind w:left="425" w:leftChars="0" w:hanging="425" w:firstLineChars="0"/>
      </w:pPr>
      <w:r>
        <w:rPr>
          <w:rFonts w:hint="default" w:ascii="Arial" w:hAnsi="Arial" w:eastAsia="Calibri" w:cs="Times New Roman"/>
          <w:lang w:val="en-US" w:eastAsia="en-US" w:bidi="ar-SA"/>
        </w:rPr>
        <w:t>8.</w:t>
      </w:r>
      <w:r>
        <w:t>If any Member State of ASEAN fails to comply with the decision given under paragraph 2 of this Article, the other Member States may limit, withold revoke any rights granted to it by virtue of the present Agreement.</w:t>
      </w:r>
    </w:p>
    <w:p w14:paraId="57DFF6ED">
      <w:pPr>
        <w:numPr>
          <w:ilvl w:val="0"/>
          <w:numId w:val="0"/>
        </w:numPr>
        <w:ind w:left="425" w:leftChars="0" w:hanging="425" w:firstLineChars="0"/>
      </w:pPr>
      <w:r>
        <w:rPr>
          <w:rFonts w:hint="default" w:ascii="Arial" w:hAnsi="Arial" w:eastAsia="Calibri" w:cs="Times New Roman"/>
          <w:lang w:val="en-US" w:eastAsia="en-US" w:bidi="ar-SA"/>
        </w:rPr>
        <w:t>9.</w:t>
      </w:r>
      <w:r>
        <w:t>This Agreement shall be open to signature by Member States of the Association of Southeast Asia. Nations.</w:t>
      </w:r>
      <w:r>
        <w:rPr>
          <w:rFonts w:hint="eastAsia" w:eastAsia="宋体"/>
          <w:lang w:val="en-US" w:eastAsia="zh-CN"/>
        </w:rPr>
        <w:t xml:space="preserve"> </w:t>
      </w:r>
      <w:r>
        <w:t>It should be subjected to ratification by the Signatory States.</w:t>
      </w:r>
    </w:p>
    <w:p w14:paraId="33BD8972">
      <w:pPr>
        <w:numPr>
          <w:ilvl w:val="0"/>
          <w:numId w:val="0"/>
        </w:numPr>
        <w:ind w:left="425" w:leftChars="0" w:hanging="425" w:firstLineChars="0"/>
      </w:pPr>
      <w:r>
        <w:rPr>
          <w:rFonts w:hint="default" w:ascii="Arial" w:hAnsi="Arial" w:eastAsia="Calibri" w:cs="Times New Roman"/>
          <w:lang w:val="en-US" w:eastAsia="en-US" w:bidi="ar-SA"/>
        </w:rPr>
        <w:t>10.</w:t>
      </w:r>
      <w:r>
        <w:t>The Instruments of Ratification shall be deposited with the Ministry of Foreign Affairs of the host country.</w:t>
      </w:r>
    </w:p>
    <w:p w14:paraId="231926B4">
      <w:pPr>
        <w:numPr>
          <w:ilvl w:val="0"/>
          <w:numId w:val="0"/>
        </w:numPr>
        <w:ind w:left="425" w:leftChars="0" w:hanging="425" w:firstLineChars="0"/>
      </w:pPr>
      <w:r>
        <w:rPr>
          <w:rFonts w:hint="default" w:ascii="Arial" w:hAnsi="Arial" w:eastAsia="Calibri" w:cs="Times New Roman"/>
          <w:lang w:val="en-US" w:eastAsia="en-US" w:bidi="ar-SA"/>
        </w:rPr>
        <w:t>11.</w:t>
      </w:r>
      <w:r>
        <w:t>As soon as more than two of the signatory States have deposited their instruments of ratification of this Agreement, it shall enter into force among them, three months after the date of the deposit of the third instrument of ratification. It shall enter into force for each State which deposits its instrument of ratification three months after the deposit of such instrument of ratification.</w:t>
      </w:r>
    </w:p>
    <w:p w14:paraId="652909E7">
      <w:pPr>
        <w:numPr>
          <w:ilvl w:val="0"/>
          <w:numId w:val="0"/>
        </w:numPr>
        <w:ind w:left="425" w:leftChars="0" w:hanging="425" w:firstLineChars="0"/>
      </w:pPr>
      <w:r>
        <w:rPr>
          <w:rFonts w:hint="default" w:ascii="Arial" w:hAnsi="Arial" w:eastAsia="Calibri" w:cs="Times New Roman"/>
          <w:lang w:val="en-US" w:eastAsia="en-US" w:bidi="ar-SA"/>
        </w:rPr>
        <w:t>12.</w:t>
      </w:r>
      <w:r>
        <w:t>As soon as this Agreement enters into force, it shall be registered with the International Civil Aviation Organization.</w:t>
      </w:r>
    </w:p>
    <w:p w14:paraId="582A8596">
      <w:pPr>
        <w:numPr>
          <w:ilvl w:val="0"/>
          <w:numId w:val="0"/>
        </w:numPr>
        <w:ind w:left="425" w:leftChars="0" w:hanging="425" w:firstLineChars="0"/>
      </w:pPr>
      <w:r>
        <w:rPr>
          <w:rFonts w:hint="default" w:ascii="Arial" w:hAnsi="Arial" w:eastAsia="Calibri" w:cs="Times New Roman"/>
          <w:lang w:val="en-US" w:eastAsia="en-US" w:bidi="ar-SA"/>
        </w:rPr>
        <w:t>13.</w:t>
      </w:r>
      <w:r>
        <w:t>The Member States where the instruments of ratification are deposited shall notify the P.C. on Civil’ Air Transportation and the other Member States of the date on which the Agreement will enter into force in accordance with paragraph 1 of Article 6 hereof.</w:t>
      </w:r>
    </w:p>
    <w:p w14:paraId="4C423FBE">
      <w:pPr>
        <w:numPr>
          <w:ilvl w:val="0"/>
          <w:numId w:val="0"/>
        </w:numPr>
        <w:ind w:left="425" w:leftChars="0" w:hanging="425" w:firstLineChars="0"/>
      </w:pPr>
      <w:r>
        <w:rPr>
          <w:rFonts w:hint="default" w:ascii="Arial" w:hAnsi="Arial" w:eastAsia="Calibri" w:cs="Times New Roman"/>
          <w:lang w:val="en-US" w:eastAsia="en-US" w:bidi="ar-SA"/>
        </w:rPr>
        <w:t>14.</w:t>
      </w:r>
      <w:r>
        <w:t>Any Member State of ASEAN may denounce this Agreement by written notification of denunciation to the Permanent Committee in Civil Air Transportation of ASEAN who shall notify the other Member States of the denunciation. Denunciation shall take effect one year after receipt by the Permanent Committee on Civil Air Transportation of the notification of the denunciation.</w:t>
      </w:r>
    </w:p>
    <w:p w14:paraId="5F22402D">
      <w:pPr>
        <w:numPr>
          <w:ilvl w:val="0"/>
          <w:numId w:val="0"/>
        </w:numPr>
        <w:ind w:left="425" w:leftChars="0" w:hanging="425" w:firstLineChars="0"/>
      </w:pPr>
      <w:r>
        <w:rPr>
          <w:rFonts w:hint="default" w:ascii="Arial" w:hAnsi="Arial" w:eastAsia="Calibri" w:cs="Times New Roman"/>
          <w:lang w:val="en-US" w:eastAsia="en-US" w:bidi="ar-SA"/>
        </w:rPr>
        <w:t>15.</w:t>
      </w:r>
      <w:r>
        <w:t>Not less than to of the Member States of ASEAN shall be entitled, by request addressed to the Permanent Committee on Civil Air Transportation given not earlier than twelve (12) months after the entry into force of this Agreement, to call a meeting of the Member States of ASEAN in order to consider any amendments which they may propose to make to the Agreement. Such meeting shall be convened by the Permanent Committee on Civil Air Transportation, in consultation with the Standing Committee, not less than three months after notice is served to the Member States of ASEAN.</w:t>
      </w:r>
    </w:p>
    <w:p w14:paraId="7242100C">
      <w:pPr>
        <w:numPr>
          <w:ilvl w:val="0"/>
          <w:numId w:val="0"/>
        </w:numPr>
        <w:ind w:left="425" w:leftChars="0" w:hanging="425" w:firstLineChars="0"/>
      </w:pPr>
      <w:r>
        <w:rPr>
          <w:rFonts w:hint="default" w:ascii="Arial" w:hAnsi="Arial" w:eastAsia="Calibri" w:cs="Times New Roman"/>
          <w:lang w:val="en-US" w:eastAsia="en-US" w:bidi="ar-SA"/>
        </w:rPr>
        <w:t>16.</w:t>
      </w:r>
      <w:r>
        <w:t>Any proposal amendment to the Agreement must be approved unanimously. As soon as more than two of the signatory States have deposited their instruments of ratification of this Amendment, it shall enter into force among them, three months after the date of the deposit of the third instrument of ratification. It shall enter into force, for each State which deposits its instrument of ratification three months after the deposit of such instruments of ratification.</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1B8F9">
    <w:pPr>
      <w:pStyle w:val="10"/>
      <w:tabs>
        <w:tab w:val="right" w:pos="8931"/>
        <w:tab w:val="clear" w:pos="9360"/>
      </w:tabs>
      <w:jc w:val="right"/>
    </w:pPr>
  </w:p>
  <w:p w14:paraId="662BA94A">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0F9C9">
    <w:pPr>
      <w:pStyle w:val="10"/>
      <w:tabs>
        <w:tab w:val="right" w:pos="8931"/>
        <w:tab w:val="clear" w:pos="9360"/>
      </w:tabs>
      <w:jc w:val="right"/>
    </w:pPr>
  </w:p>
  <w:p w14:paraId="56A83BFF">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6981E0">
    <w:pPr>
      <w:pStyle w:val="11"/>
      <w:pBdr>
        <w:bottom w:val="single" w:color="auto" w:sz="4" w:space="1"/>
      </w:pBdr>
    </w:pPr>
    <w:r>
      <w:rPr>
        <w:rFonts w:cs="Arial"/>
        <w:caps/>
        <w:color w:val="808080"/>
        <w:sz w:val="16"/>
        <w:szCs w:val="16"/>
      </w:rPr>
      <w:t>1971 MULTILATERAL AGREEMENT ON COMMERCIAL RIGHTS ON NON-SCHEDULED SERVICES AMONG THE ASSOCIATION OF SOUTHEAST ASIAN NATIONS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C6"/>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587A"/>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9C6"/>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0A63"/>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17BDA"/>
    <w:rsid w:val="00522388"/>
    <w:rsid w:val="00525B71"/>
    <w:rsid w:val="005325F9"/>
    <w:rsid w:val="00534217"/>
    <w:rsid w:val="00535BF3"/>
    <w:rsid w:val="00537A67"/>
    <w:rsid w:val="00537D81"/>
    <w:rsid w:val="00541125"/>
    <w:rsid w:val="0054172B"/>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3860"/>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2CE4"/>
    <w:rsid w:val="007E4920"/>
    <w:rsid w:val="007E7C82"/>
    <w:rsid w:val="007F1538"/>
    <w:rsid w:val="007F2FCB"/>
    <w:rsid w:val="007F5026"/>
    <w:rsid w:val="008016D1"/>
    <w:rsid w:val="00803BE9"/>
    <w:rsid w:val="00805DA0"/>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027D"/>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476B"/>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37FEE"/>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C76E7"/>
    <w:rsid w:val="00FD1758"/>
    <w:rsid w:val="00FD189C"/>
    <w:rsid w:val="00FD29E4"/>
    <w:rsid w:val="00FD56BE"/>
    <w:rsid w:val="00FE423C"/>
    <w:rsid w:val="00FE43CD"/>
    <w:rsid w:val="00FE7BED"/>
    <w:rsid w:val="00FF1A31"/>
    <w:rsid w:val="00FF2F09"/>
    <w:rsid w:val="00FF6E82"/>
    <w:rsid w:val="3F155C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8F2BB-82D0-4915-B4B5-FC6EB603A299}">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1373</Words>
  <Characters>7084</Characters>
  <Lines>186</Lines>
  <Paragraphs>103</Paragraphs>
  <TotalTime>1</TotalTime>
  <ScaleCrop>false</ScaleCrop>
  <LinksUpToDate>false</LinksUpToDate>
  <CharactersWithSpaces>8377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2018-06-05T02:07:00Z</dcterms:created>
  <dc:creator>XPS</dc:creator>
  <cp:lastModifiedBy>Patrick</cp:lastModifiedBy>
  <cp:lastPrinted>2016-11-03T02:45:00Z</cp:lastPrinted>
  <dcterms:modified xsi:type="dcterms:W3CDTF">2025-07-27T14:20:19Z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31CF404439BA4A159AB22F3EAF6953D2_12</vt:lpwstr>
  </property>
</Properties>
</file>