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D3BD6E">
      <w:pPr>
        <w:pStyle w:val="31"/>
      </w:pPr>
      <w:r>
        <w:t>1980 Basic Agreement on the ASEAN Industrial Projects</w:t>
      </w:r>
    </w:p>
    <w:p w14:paraId="74791DC7">
      <w:pPr>
        <w:numPr>
          <w:ilvl w:val="0"/>
          <w:numId w:val="0"/>
        </w:numPr>
        <w:ind w:left="425" w:leftChars="0" w:hanging="425" w:firstLineChars="0"/>
      </w:pPr>
      <w:r>
        <w:rPr>
          <w:rFonts w:hint="default" w:ascii="Arial" w:hAnsi="Arial" w:eastAsia="Calibri" w:cs="Times New Roman"/>
          <w:lang w:val="en-US" w:eastAsia="en-US" w:bidi="ar-SA"/>
        </w:rPr>
        <w:t>1.</w:t>
      </w:r>
      <w:bookmarkStart w:id="0" w:name="_GoBack"/>
      <w:bookmarkEnd w:id="0"/>
      <w:r>
        <w:t>The purposes of the present Agreement are</w:t>
      </w:r>
      <w:r>
        <w:rPr>
          <w:rFonts w:hint="eastAsia" w:eastAsia="宋体"/>
          <w:lang w:val="en-US" w:eastAsia="zh-CN"/>
        </w:rPr>
        <w:t xml:space="preserve"> </w:t>
      </w:r>
      <w:r>
        <w:t>To cooperate in establishing large-scale ASEAN Industrial Projects, particularly to meet regional requirements for essential products; and</w:t>
      </w:r>
      <w:r>
        <w:rPr>
          <w:rFonts w:hint="eastAsia" w:eastAsia="宋体"/>
          <w:lang w:val="en-US" w:eastAsia="zh-CN"/>
        </w:rPr>
        <w:t xml:space="preserve"> </w:t>
      </w:r>
      <w:r>
        <w:t>To give priority to projects which utilize the available resources in the Member States and which contribute to the increase in food production and foreign exchange earnings or which save foreign exchange and create employment.</w:t>
      </w:r>
    </w:p>
    <w:p w14:paraId="31F60291">
      <w:pPr>
        <w:numPr>
          <w:ilvl w:val="0"/>
          <w:numId w:val="0"/>
        </w:numPr>
        <w:ind w:left="425" w:leftChars="0" w:hanging="425" w:firstLineChars="0"/>
      </w:pPr>
      <w:r>
        <w:rPr>
          <w:rFonts w:hint="default" w:ascii="Arial" w:hAnsi="Arial" w:eastAsia="Calibri" w:cs="Times New Roman"/>
          <w:lang w:val="en-US" w:eastAsia="en-US" w:bidi="ar-SA"/>
        </w:rPr>
        <w:t>2.</w:t>
      </w:r>
      <w:r>
        <w:t>The provisions of this Agreement shall initially apply to the first five ASEAN Industrial Projects. They shall also apply to subsequent sets of projects, unless the ASEAN Economic Ministers decide otherwise. In the event modifications are found necessary in the subsequent sets in the light of experience gained under the first five ASEAN Industrial Projects, such modifications shall be effected in accordance with Chapter XVI of this Agreement.</w:t>
      </w:r>
    </w:p>
    <w:p w14:paraId="464E239C">
      <w:pPr>
        <w:numPr>
          <w:ilvl w:val="0"/>
          <w:numId w:val="0"/>
        </w:numPr>
        <w:ind w:left="425" w:leftChars="0" w:hanging="425" w:firstLineChars="0"/>
      </w:pPr>
      <w:r>
        <w:rPr>
          <w:rFonts w:hint="default" w:ascii="Arial" w:hAnsi="Arial" w:eastAsia="Calibri" w:cs="Times New Roman"/>
          <w:lang w:val="en-US" w:eastAsia="en-US" w:bidi="ar-SA"/>
        </w:rPr>
        <w:t>3.</w:t>
      </w:r>
      <w:r>
        <w:t>The Contracting States, in pursuance of the purposes stated in Article 1, shall act in accordance with the following principles:</w:t>
      </w:r>
      <w:r>
        <w:rPr>
          <w:rFonts w:hint="eastAsia" w:eastAsia="宋体"/>
          <w:lang w:val="en-US" w:eastAsia="zh-CN"/>
        </w:rPr>
        <w:t xml:space="preserve"> </w:t>
      </w:r>
      <w:r>
        <w:t>Each Contracting State shall have at least one ASEAN Industrial Project in its country.</w:t>
      </w:r>
      <w:r>
        <w:rPr>
          <w:rFonts w:hint="eastAsia" w:eastAsia="宋体"/>
          <w:lang w:val="en-US" w:eastAsia="zh-CN"/>
        </w:rPr>
        <w:t xml:space="preserve"> </w:t>
      </w:r>
      <w:r>
        <w:t>Upon the allocation of an ASEAN Industrial Project to an ASEAN member country, similar new national projects can only be established after consultation with member countries and also on condition that the basis for the ASEAN Industrial Project is not affected by the proposed new national projects. However, similar national projects which have already been firmly planned and are already in their early stage of implementation before the allocation of the ASEAN Industrial Projects shall be allowed to proceed as national projects. Such projects shall be specified with particulars in the relevant Supplementary Agreement attached hereto.</w:t>
      </w:r>
      <w:r>
        <w:rPr>
          <w:rFonts w:hint="eastAsia" w:eastAsia="宋体"/>
          <w:lang w:val="en-US" w:eastAsia="zh-CN"/>
        </w:rPr>
        <w:t xml:space="preserve"> </w:t>
      </w:r>
      <w:r>
        <w:t>In the allocation of the subsequent sets of ASEAN Industrial Projects, the benefits derived from the preceding ASEAN Industrial Projects shall be taken into account with a view to equalizing benefits in the long term.</w:t>
      </w:r>
    </w:p>
    <w:p w14:paraId="06432949">
      <w:pPr>
        <w:numPr>
          <w:ilvl w:val="0"/>
          <w:numId w:val="0"/>
        </w:numPr>
        <w:ind w:left="425" w:leftChars="0" w:hanging="425" w:firstLineChars="0"/>
      </w:pPr>
      <w:r>
        <w:rPr>
          <w:rFonts w:hint="default" w:ascii="Arial" w:hAnsi="Arial" w:eastAsia="Calibri" w:cs="Times New Roman"/>
          <w:lang w:val="en-US" w:eastAsia="en-US" w:bidi="ar-SA"/>
        </w:rPr>
        <w:t>4.</w:t>
      </w:r>
      <w:r>
        <w:t>Each of the first five ASEAN Industrial Projects shall have five (5) shareholder entities, except in the case of the ASEAN Industrial Project to be established in Thailand which shall have seven (7) shareholders.</w:t>
      </w:r>
    </w:p>
    <w:p w14:paraId="39CF2937">
      <w:pPr>
        <w:numPr>
          <w:ilvl w:val="0"/>
          <w:numId w:val="0"/>
        </w:numPr>
        <w:ind w:left="425" w:leftChars="0" w:hanging="425" w:firstLineChars="0"/>
      </w:pPr>
      <w:r>
        <w:rPr>
          <w:rFonts w:hint="default" w:ascii="Arial" w:hAnsi="Arial" w:eastAsia="Calibri" w:cs="Times New Roman"/>
          <w:lang w:val="en-US" w:eastAsia="en-US" w:bidi="ar-SA"/>
        </w:rPr>
        <w:t>5.</w:t>
      </w:r>
      <w:r>
        <w:t>Each shareholder entity shall be an agency or company which enjoys support and guidance from its respective Government of an ASEAN Member State and which is nominated by that Government to participate in the ASEAN Industrial Projects.</w:t>
      </w:r>
    </w:p>
    <w:p w14:paraId="4F893632">
      <w:pPr>
        <w:numPr>
          <w:ilvl w:val="0"/>
          <w:numId w:val="0"/>
        </w:numPr>
        <w:ind w:left="425" w:leftChars="0" w:hanging="425" w:firstLineChars="0"/>
      </w:pPr>
      <w:r>
        <w:rPr>
          <w:rFonts w:hint="default" w:ascii="Arial" w:hAnsi="Arial" w:eastAsia="Calibri" w:cs="Times New Roman"/>
          <w:lang w:val="en-US" w:eastAsia="en-US" w:bidi="ar-SA"/>
        </w:rPr>
        <w:t>6.</w:t>
      </w:r>
      <w:r>
        <w:t>The shareholder entity of the host country shall have sixty per cent (60%) of the total equity of the respective ASEAN Industrial Project, with the balance to be shared by the shareholder entities of the other Contracting Parties.</w:t>
      </w:r>
    </w:p>
    <w:p w14:paraId="7975B20D">
      <w:pPr>
        <w:numPr>
          <w:ilvl w:val="0"/>
          <w:numId w:val="0"/>
        </w:numPr>
        <w:ind w:left="425" w:leftChars="0" w:hanging="425" w:firstLineChars="0"/>
      </w:pPr>
      <w:r>
        <w:rPr>
          <w:rFonts w:hint="default" w:ascii="Arial" w:hAnsi="Arial" w:eastAsia="Calibri" w:cs="Times New Roman"/>
          <w:lang w:val="en-US" w:eastAsia="en-US" w:bidi="ar-SA"/>
        </w:rPr>
        <w:t>7.</w:t>
      </w:r>
      <w:r>
        <w:t>The amount of equity participation in the shareholder entity by the Government itself, by the private sector in the country and by non-ASEAN interests shall be at the discretion of the respective Governments of the ASEAN Member States concerned provided that each of the Governments of the ASEAN Member States shall have at least one third of the said equity.</w:t>
      </w:r>
    </w:p>
    <w:p w14:paraId="5A293103">
      <w:pPr>
        <w:numPr>
          <w:ilvl w:val="0"/>
          <w:numId w:val="0"/>
        </w:numPr>
        <w:ind w:left="425" w:leftChars="0" w:hanging="425" w:firstLineChars="0"/>
      </w:pPr>
      <w:r>
        <w:rPr>
          <w:rFonts w:hint="default" w:ascii="Arial" w:hAnsi="Arial" w:eastAsia="Calibri" w:cs="Times New Roman"/>
          <w:lang w:val="en-US" w:eastAsia="en-US" w:bidi="ar-SA"/>
        </w:rPr>
        <w:t>8.</w:t>
      </w:r>
      <w:r>
        <w:t>Majority ownership interest should at all times be held by the ASEAN shareholders.</w:t>
      </w:r>
    </w:p>
    <w:p w14:paraId="2BB0781B">
      <w:pPr>
        <w:numPr>
          <w:ilvl w:val="0"/>
          <w:numId w:val="0"/>
        </w:numPr>
        <w:ind w:left="425" w:leftChars="0" w:hanging="425" w:firstLineChars="0"/>
      </w:pPr>
      <w:r>
        <w:rPr>
          <w:rFonts w:hint="default" w:ascii="Arial" w:hAnsi="Arial" w:eastAsia="Calibri" w:cs="Times New Roman"/>
          <w:lang w:val="en-US" w:eastAsia="en-US" w:bidi="ar-SA"/>
        </w:rPr>
        <w:t>9.</w:t>
      </w:r>
      <w:r>
        <w:t>The Board of Directors of a company that is to undertake an ASEAN Industrial Project (hereinafter referred to in this Agreement as “the Project company”) shall consist of not more than eleven (11) members. As far as possible, the Board shall consist of nationals of ASEAN Member States only.</w:t>
      </w:r>
    </w:p>
    <w:p w14:paraId="312023AC">
      <w:pPr>
        <w:numPr>
          <w:ilvl w:val="0"/>
          <w:numId w:val="0"/>
        </w:numPr>
        <w:ind w:left="425" w:leftChars="0" w:hanging="425" w:firstLineChars="0"/>
      </w:pPr>
      <w:r>
        <w:rPr>
          <w:rFonts w:hint="default" w:ascii="Arial" w:hAnsi="Arial" w:eastAsia="Calibri" w:cs="Times New Roman"/>
          <w:lang w:val="en-US" w:eastAsia="en-US" w:bidi="ar-SA"/>
        </w:rPr>
        <w:t>10.</w:t>
      </w:r>
      <w:r>
        <w:t>In the event it is necessary to appoint nationals of countries which are non-members of ASEAN to the Board of Directors, such appointment shall be approved by the members on the Board who are nationals of the ASEAN Member States.</w:t>
      </w:r>
    </w:p>
    <w:p w14:paraId="305779AE">
      <w:pPr>
        <w:numPr>
          <w:ilvl w:val="0"/>
          <w:numId w:val="0"/>
        </w:numPr>
        <w:ind w:left="425" w:leftChars="0" w:hanging="425" w:firstLineChars="0"/>
      </w:pPr>
      <w:r>
        <w:rPr>
          <w:rFonts w:hint="default" w:ascii="Arial" w:hAnsi="Arial" w:eastAsia="Calibri" w:cs="Times New Roman"/>
          <w:lang w:val="en-US" w:eastAsia="en-US" w:bidi="ar-SA"/>
        </w:rPr>
        <w:t>11.</w:t>
      </w:r>
      <w:r>
        <w:t>In respect of membership in the Board of Directors of the Project company, membership in the Board of Directors by nationals of countries which are non-members of ASEAN representing portfolio investors who have sufficient capital participation directly or indirectly in the project to arrant participation in the Board of Directors may be considered. Proposed membership in the Board of Directors of the Project company by direct investors representing non-ASEAN interests with operational, marketing, engineering or similar involvement’s in the project shall be approved by the members on the Board who are nationals of ASEAN Member States.</w:t>
      </w:r>
    </w:p>
    <w:p w14:paraId="4D652C56">
      <w:pPr>
        <w:numPr>
          <w:ilvl w:val="0"/>
          <w:numId w:val="0"/>
        </w:numPr>
        <w:ind w:left="425" w:leftChars="0" w:hanging="425" w:firstLineChars="0"/>
      </w:pPr>
      <w:r>
        <w:rPr>
          <w:rFonts w:hint="default" w:ascii="Arial" w:hAnsi="Arial" w:eastAsia="Calibri" w:cs="Times New Roman"/>
          <w:lang w:val="en-US" w:eastAsia="en-US" w:bidi="ar-SA"/>
        </w:rPr>
        <w:t>12.</w:t>
      </w:r>
      <w:r>
        <w:t>Wherever appropriate and after prior consultations, ASEAN shall approach prospective lenders as a group in securing loans for the ASEAN Industrial Projects.</w:t>
      </w:r>
    </w:p>
    <w:p w14:paraId="50C8D234">
      <w:pPr>
        <w:numPr>
          <w:ilvl w:val="0"/>
          <w:numId w:val="0"/>
        </w:numPr>
        <w:ind w:left="425" w:leftChars="0" w:hanging="425" w:firstLineChars="0"/>
      </w:pPr>
      <w:r>
        <w:rPr>
          <w:rFonts w:hint="default" w:ascii="Arial" w:hAnsi="Arial" w:eastAsia="Calibri" w:cs="Times New Roman"/>
          <w:lang w:val="en-US" w:eastAsia="en-US" w:bidi="ar-SA"/>
        </w:rPr>
        <w:t>13.</w:t>
      </w:r>
      <w:r>
        <w:t>Notwithstanding paragraph 1 above, with regard to each ASEAN Industrial Project, the host country, after prior consultations with other ASEAN Member States, can act on behalf of the other ASEAN Member States in respect of securing of loans, the result of which shall be reported to the other ASEAN Member States.</w:t>
      </w:r>
    </w:p>
    <w:p w14:paraId="2C83FFD0">
      <w:pPr>
        <w:numPr>
          <w:ilvl w:val="0"/>
          <w:numId w:val="0"/>
        </w:numPr>
        <w:ind w:left="425" w:leftChars="0" w:hanging="425" w:firstLineChars="0"/>
      </w:pPr>
      <w:r>
        <w:rPr>
          <w:rFonts w:hint="default" w:ascii="Arial" w:hAnsi="Arial" w:eastAsia="Calibri" w:cs="Times New Roman"/>
          <w:lang w:val="en-US" w:eastAsia="en-US" w:bidi="ar-SA"/>
        </w:rPr>
        <w:t>14.</w:t>
      </w:r>
      <w:r>
        <w:t>ASEAN Member States shall, in order to obtain the best possible terms in the securing of loans for the ASEAN Industrial Projects, adopt a coordinated approach to the raising of such loans whether simultaneous or staggered.</w:t>
      </w:r>
    </w:p>
    <w:p w14:paraId="6724D7B0">
      <w:pPr>
        <w:numPr>
          <w:ilvl w:val="0"/>
          <w:numId w:val="0"/>
        </w:numPr>
        <w:ind w:left="425" w:leftChars="0" w:hanging="425" w:firstLineChars="0"/>
      </w:pPr>
      <w:r>
        <w:rPr>
          <w:rFonts w:hint="default" w:ascii="Arial" w:hAnsi="Arial" w:eastAsia="Calibri" w:cs="Times New Roman"/>
          <w:lang w:val="en-US" w:eastAsia="en-US" w:bidi="ar-SA"/>
        </w:rPr>
        <w:t>15.</w:t>
      </w:r>
      <w:r>
        <w:t>In the securing of loans for ASEAN Industrial Projects, it would be desirable to negotiate with the intention of attaining the three-fold objectives of</w:t>
      </w:r>
      <w:r>
        <w:rPr>
          <w:rFonts w:hint="eastAsia" w:eastAsia="宋体"/>
          <w:lang w:val="en-US" w:eastAsia="zh-CN"/>
        </w:rPr>
        <w:t xml:space="preserve"> </w:t>
      </w:r>
      <w:r>
        <w:t>securing the maximum amount of concessional loans;</w:t>
      </w:r>
      <w:r>
        <w:rPr>
          <w:rFonts w:hint="eastAsia" w:eastAsia="宋体"/>
          <w:lang w:val="en-US" w:eastAsia="zh-CN"/>
        </w:rPr>
        <w:t xml:space="preserve"> </w:t>
      </w:r>
      <w:r>
        <w:t>securing the greatest possible amount of untied financing; and</w:t>
      </w:r>
      <w:r>
        <w:rPr>
          <w:rFonts w:hint="eastAsia" w:eastAsia="宋体"/>
          <w:lang w:val="en-US" w:eastAsia="zh-CN"/>
        </w:rPr>
        <w:t xml:space="preserve"> </w:t>
      </w:r>
      <w:r>
        <w:t>minimizing direct government guarantees.</w:t>
      </w:r>
      <w:r>
        <w:rPr>
          <w:rFonts w:hint="eastAsia" w:eastAsia="宋体"/>
          <w:lang w:val="en-US" w:eastAsia="zh-CN"/>
        </w:rPr>
        <w:t xml:space="preserve"> </w:t>
      </w:r>
      <w:r>
        <w:t>In the event that guarantees are necessary, the host country of the project shall be responsible for such guarantees.</w:t>
      </w:r>
    </w:p>
    <w:p w14:paraId="260738DC">
      <w:pPr>
        <w:numPr>
          <w:ilvl w:val="0"/>
          <w:numId w:val="0"/>
        </w:numPr>
        <w:ind w:left="425" w:leftChars="0" w:hanging="425" w:firstLineChars="0"/>
      </w:pPr>
      <w:r>
        <w:rPr>
          <w:rFonts w:hint="default" w:ascii="Arial" w:hAnsi="Arial" w:eastAsia="Calibri" w:cs="Times New Roman"/>
          <w:lang w:val="en-US" w:eastAsia="en-US" w:bidi="ar-SA"/>
        </w:rPr>
        <w:t>16.</w:t>
      </w:r>
      <w:r>
        <w:t>Each member country shall endeavour to exempt ASEAN Industrial Projects from domestic borrowing ceilings or limits on foreign borrowings.</w:t>
      </w:r>
    </w:p>
    <w:p w14:paraId="11154E20">
      <w:pPr>
        <w:numPr>
          <w:ilvl w:val="0"/>
          <w:numId w:val="0"/>
        </w:numPr>
        <w:ind w:left="425" w:leftChars="0" w:hanging="425" w:firstLineChars="0"/>
      </w:pPr>
      <w:r>
        <w:rPr>
          <w:rFonts w:hint="default" w:ascii="Arial" w:hAnsi="Arial" w:eastAsia="Calibri" w:cs="Times New Roman"/>
          <w:lang w:val="en-US" w:eastAsia="en-US" w:bidi="ar-SA"/>
        </w:rPr>
        <w:t>17.</w:t>
      </w:r>
      <w:r>
        <w:t>After the incorporation of the Project company, all additional financial requirements further to that initiated by ASEAN Member States, which have been negotiated or re being negotiated up to the time the company is incorporated, shall be the responsibility of the management of the Project company.</w:t>
      </w:r>
    </w:p>
    <w:p w14:paraId="04081021">
      <w:pPr>
        <w:numPr>
          <w:ilvl w:val="0"/>
          <w:numId w:val="0"/>
        </w:numPr>
        <w:ind w:left="425" w:leftChars="0" w:hanging="425" w:firstLineChars="0"/>
      </w:pPr>
      <w:r>
        <w:rPr>
          <w:rFonts w:hint="default" w:ascii="Arial" w:hAnsi="Arial" w:eastAsia="Calibri" w:cs="Times New Roman"/>
          <w:lang w:val="en-US" w:eastAsia="en-US" w:bidi="ar-SA"/>
        </w:rPr>
        <w:t>18.</w:t>
      </w:r>
      <w:r>
        <w:t>The Project company shall not be incorporated until all matters pertaining to the joint Venture Agreement have been resolved.</w:t>
      </w:r>
    </w:p>
    <w:p w14:paraId="332DDB18">
      <w:pPr>
        <w:numPr>
          <w:ilvl w:val="0"/>
          <w:numId w:val="0"/>
        </w:numPr>
        <w:ind w:left="425" w:leftChars="0" w:hanging="425" w:firstLineChars="0"/>
      </w:pPr>
      <w:r>
        <w:rPr>
          <w:rFonts w:hint="default" w:ascii="Arial" w:hAnsi="Arial" w:eastAsia="Calibri" w:cs="Times New Roman"/>
          <w:lang w:val="en-US" w:eastAsia="en-US" w:bidi="ar-SA"/>
        </w:rPr>
        <w:t>19.</w:t>
      </w:r>
      <w:r>
        <w:t>ASEAN trade preferences shall be accorded to the products of the ASEAN Industrial Projects, pursuant to Article 10 of the Agreement on ASEAN Preferential Trading Arrangements.</w:t>
      </w:r>
    </w:p>
    <w:p w14:paraId="6F03A0C9">
      <w:pPr>
        <w:numPr>
          <w:ilvl w:val="0"/>
          <w:numId w:val="0"/>
        </w:numPr>
        <w:ind w:left="425" w:leftChars="0" w:hanging="425" w:firstLineChars="0"/>
      </w:pPr>
      <w:r>
        <w:rPr>
          <w:rFonts w:hint="default" w:ascii="Arial" w:hAnsi="Arial" w:eastAsia="Calibri" w:cs="Times New Roman"/>
          <w:lang w:val="en-US" w:eastAsia="en-US" w:bidi="ar-SA"/>
        </w:rPr>
        <w:t>20.</w:t>
      </w:r>
      <w:r>
        <w:t>An ASEAN Industrial Project shall be deemed to have its fiscal domicile in the State of the host country and shall be taxable in that State according to the taxation laws of that State.</w:t>
      </w:r>
    </w:p>
    <w:p w14:paraId="4F17A163">
      <w:pPr>
        <w:numPr>
          <w:ilvl w:val="0"/>
          <w:numId w:val="0"/>
        </w:numPr>
        <w:ind w:left="425" w:leftChars="0" w:hanging="425" w:firstLineChars="0"/>
      </w:pPr>
      <w:r>
        <w:rPr>
          <w:rFonts w:hint="default" w:ascii="Arial" w:hAnsi="Arial" w:eastAsia="Calibri" w:cs="Times New Roman"/>
          <w:lang w:val="en-US" w:eastAsia="en-US" w:bidi="ar-SA"/>
        </w:rPr>
        <w:t>21.</w:t>
      </w:r>
      <w:r>
        <w:t>Corporate taxes, withholding taxes, dividend taxes and other forms of taxes applicable to each ASEAN Industrial Project shall be at the prevailing rate unless concessional rates have been granted by the host country of the ASEAN Industrial Project, taking into consideration the various incentives which may be granted under the provision of Article 8 and having regard to the nature and particular circumstances of the project.</w:t>
      </w:r>
    </w:p>
    <w:p w14:paraId="1ADBAFF7">
      <w:pPr>
        <w:numPr>
          <w:ilvl w:val="0"/>
          <w:numId w:val="0"/>
        </w:numPr>
        <w:ind w:left="425" w:leftChars="0" w:hanging="425" w:firstLineChars="0"/>
      </w:pPr>
      <w:r>
        <w:rPr>
          <w:rFonts w:hint="default" w:ascii="Arial" w:hAnsi="Arial" w:eastAsia="Calibri" w:cs="Times New Roman"/>
          <w:lang w:val="en-US" w:eastAsia="en-US" w:bidi="ar-SA"/>
        </w:rPr>
        <w:t>22.</w:t>
      </w:r>
      <w:r>
        <w:t>An ASEAN Industrial Project shall not be subjected in the host country to any taxation or any requirement connected therewith which is more burdensome than the taxation and connected requirements to which similar enterprises in that country are or may be subjected.</w:t>
      </w:r>
    </w:p>
    <w:p w14:paraId="08ECCD04">
      <w:pPr>
        <w:numPr>
          <w:ilvl w:val="0"/>
          <w:numId w:val="0"/>
        </w:numPr>
        <w:ind w:left="425" w:leftChars="0" w:hanging="425" w:firstLineChars="0"/>
      </w:pPr>
      <w:r>
        <w:rPr>
          <w:rFonts w:hint="default" w:ascii="Arial" w:hAnsi="Arial" w:eastAsia="Calibri" w:cs="Times New Roman"/>
          <w:lang w:val="en-US" w:eastAsia="en-US" w:bidi="ar-SA"/>
        </w:rPr>
        <w:t>23.</w:t>
      </w:r>
      <w:r>
        <w:t>In the negotiation and conclusion of bilateral tax treaties, special consideration shall be given to ASEAN industrial Projects.</w:t>
      </w:r>
    </w:p>
    <w:p w14:paraId="5ACC3E44">
      <w:pPr>
        <w:numPr>
          <w:ilvl w:val="0"/>
          <w:numId w:val="0"/>
        </w:numPr>
        <w:ind w:left="425" w:leftChars="0" w:hanging="425" w:firstLineChars="0"/>
      </w:pPr>
      <w:r>
        <w:rPr>
          <w:rFonts w:hint="default" w:ascii="Arial" w:hAnsi="Arial" w:eastAsia="Calibri" w:cs="Times New Roman"/>
          <w:lang w:val="en-US" w:eastAsia="en-US" w:bidi="ar-SA"/>
        </w:rPr>
        <w:t>24.</w:t>
      </w:r>
      <w:r>
        <w:t>ASEAN countries shall offer ASEAN Industrial Projects the most favourable incentives under existing laws and policies and shall endeavour to make these incentives comparable to the treatment accorded to other ASEAN projects by the other host countries.</w:t>
      </w:r>
    </w:p>
    <w:p w14:paraId="2573EE46">
      <w:pPr>
        <w:numPr>
          <w:ilvl w:val="0"/>
          <w:numId w:val="0"/>
        </w:numPr>
        <w:ind w:left="425" w:leftChars="0" w:hanging="425" w:firstLineChars="0"/>
      </w:pPr>
      <w:r>
        <w:rPr>
          <w:rFonts w:hint="default" w:ascii="Arial" w:hAnsi="Arial" w:eastAsia="Calibri" w:cs="Times New Roman"/>
          <w:lang w:val="en-US" w:eastAsia="en-US" w:bidi="ar-SA"/>
        </w:rPr>
        <w:t>25.</w:t>
      </w:r>
      <w:r>
        <w:t>The host country shall guarantee the full repatriation of capital and the remittance of returns, including dividends and interest, without undue delay. Such repatriation and remittance shall be allowed to be made in any freely usable currency as defined in the Articles of Agreement of the International Monetary Fund required by the recipient countries.</w:t>
      </w:r>
    </w:p>
    <w:p w14:paraId="632075F7">
      <w:pPr>
        <w:numPr>
          <w:ilvl w:val="0"/>
          <w:numId w:val="0"/>
        </w:numPr>
        <w:ind w:left="425" w:leftChars="0" w:hanging="425" w:firstLineChars="0"/>
      </w:pPr>
      <w:r>
        <w:rPr>
          <w:rFonts w:hint="default" w:ascii="Arial" w:hAnsi="Arial" w:eastAsia="Calibri" w:cs="Times New Roman"/>
          <w:lang w:val="en-US" w:eastAsia="en-US" w:bidi="ar-SA"/>
        </w:rPr>
        <w:t>26.</w:t>
      </w:r>
      <w:r>
        <w:t>The majority required for meetings of shareholders and the Board of Directors shall be two-thirds (2/3), whereas the majority required for liquidation, merger, increase and decrease of capital, issuance of debentures, and amendments to the Articles of Association or Articles of Incorporation whichever is applicable, shall be three-fourths (3/4), unless a higher price is required by the respective law of the host country.</w:t>
      </w:r>
    </w:p>
    <w:p w14:paraId="504416A8">
      <w:pPr>
        <w:numPr>
          <w:ilvl w:val="0"/>
          <w:numId w:val="0"/>
        </w:numPr>
        <w:ind w:left="425" w:leftChars="0" w:hanging="425" w:firstLineChars="0"/>
      </w:pPr>
      <w:r>
        <w:rPr>
          <w:rFonts w:hint="default" w:ascii="Arial" w:hAnsi="Arial" w:eastAsia="Calibri" w:cs="Times New Roman"/>
          <w:lang w:val="en-US" w:eastAsia="en-US" w:bidi="ar-SA"/>
        </w:rPr>
        <w:t>27.</w:t>
      </w:r>
      <w:r>
        <w:t>The products of the ASEAN Industrial Projects shall be sold at world prices between floor and ceiling prices based on minimum and maximum project rates of return, which pricing arrangement shall be applicable to products purchased by or through ASEAN Member States from ASEAN Industrial Projects under long term contracts. However, the floor and ceiling prices may be reviewed in the event of unexpected and abnormal developments or in the event of either exigency in world market conditions.</w:t>
      </w:r>
    </w:p>
    <w:p w14:paraId="2FEAF796">
      <w:pPr>
        <w:numPr>
          <w:ilvl w:val="0"/>
          <w:numId w:val="0"/>
        </w:numPr>
        <w:ind w:left="425" w:leftChars="0" w:hanging="425" w:firstLineChars="0"/>
      </w:pPr>
      <w:r>
        <w:rPr>
          <w:rFonts w:hint="default" w:ascii="Arial" w:hAnsi="Arial" w:eastAsia="Calibri" w:cs="Times New Roman"/>
          <w:lang w:val="en-US" w:eastAsia="en-US" w:bidi="ar-SA"/>
        </w:rPr>
        <w:t>28.</w:t>
      </w:r>
      <w:r>
        <w:t>There shall be one free-on-board (f.o.b) selling price based either on long term contracts, term supplies of any similar contracts for the host country and the ASEAN markets for each product of an ASEAN Industrial Project.</w:t>
      </w:r>
    </w:p>
    <w:p w14:paraId="0E28927C">
      <w:pPr>
        <w:numPr>
          <w:ilvl w:val="0"/>
          <w:numId w:val="0"/>
        </w:numPr>
        <w:ind w:left="425" w:leftChars="0" w:hanging="425" w:firstLineChars="0"/>
      </w:pPr>
      <w:r>
        <w:rPr>
          <w:rFonts w:hint="default" w:ascii="Arial" w:hAnsi="Arial" w:eastAsia="Calibri" w:cs="Times New Roman"/>
          <w:lang w:val="en-US" w:eastAsia="en-US" w:bidi="ar-SA"/>
        </w:rPr>
        <w:t>29.</w:t>
      </w:r>
      <w:r>
        <w:t>Where an identical product is produced by more than one ASEAN Industrial Project, the floor, ceiling and actual free-on-board (f.o.b) selling prices of such products once adopted for one project shall apply to the other project or projects.</w:t>
      </w:r>
    </w:p>
    <w:p w14:paraId="1CF78325">
      <w:pPr>
        <w:numPr>
          <w:ilvl w:val="0"/>
          <w:numId w:val="0"/>
        </w:numPr>
        <w:ind w:left="425" w:leftChars="0" w:hanging="425" w:firstLineChars="0"/>
      </w:pPr>
      <w:r>
        <w:rPr>
          <w:rFonts w:hint="default" w:ascii="Arial" w:hAnsi="Arial" w:eastAsia="Calibri" w:cs="Times New Roman"/>
          <w:lang w:val="en-US" w:eastAsia="en-US" w:bidi="ar-SA"/>
        </w:rPr>
        <w:t>30.</w:t>
      </w:r>
      <w:r>
        <w:t>The actual selling price shall be determined by the project company based on the prevailing world market prices generally applicable to the ASEAN region.</w:t>
      </w:r>
    </w:p>
    <w:p w14:paraId="38DDB4A9">
      <w:pPr>
        <w:numPr>
          <w:ilvl w:val="0"/>
          <w:numId w:val="0"/>
        </w:numPr>
        <w:ind w:left="425" w:leftChars="0" w:hanging="425" w:firstLineChars="0"/>
      </w:pPr>
      <w:r>
        <w:rPr>
          <w:rFonts w:hint="default" w:ascii="Arial" w:hAnsi="Arial" w:eastAsia="Calibri" w:cs="Times New Roman"/>
          <w:lang w:val="en-US" w:eastAsia="en-US" w:bidi="ar-SA"/>
        </w:rPr>
        <w:t>31.</w:t>
      </w:r>
      <w:r>
        <w:t>Not with standing paragraph 4 above, there shall be</w:t>
      </w:r>
      <w:r>
        <w:rPr>
          <w:rFonts w:hint="eastAsia" w:eastAsia="宋体"/>
          <w:lang w:val="en-US" w:eastAsia="zh-CN"/>
        </w:rPr>
        <w:t xml:space="preserve"> </w:t>
      </w:r>
      <w:r>
        <w:t>A floor free-on-board (f.o.b) selling price for each product produced by the ASEAN Industrial Project to account for project commercial viability.</w:t>
      </w:r>
      <w:r>
        <w:rPr>
          <w:rFonts w:hint="eastAsia" w:eastAsia="宋体"/>
          <w:lang w:val="en-US" w:eastAsia="zh-CN"/>
        </w:rPr>
        <w:t xml:space="preserve"> </w:t>
      </w:r>
      <w:r>
        <w:t>A ceiling f.o.b. selling price for each product produced by the ASEAN Industrial Project to take into consideration the general protection of the host country and ASEAN consumers.</w:t>
      </w:r>
    </w:p>
    <w:p w14:paraId="59C20421">
      <w:pPr>
        <w:numPr>
          <w:ilvl w:val="0"/>
          <w:numId w:val="0"/>
        </w:numPr>
        <w:ind w:left="425" w:leftChars="0" w:hanging="425" w:firstLineChars="0"/>
      </w:pPr>
      <w:r>
        <w:rPr>
          <w:rFonts w:hint="default" w:ascii="Arial" w:hAnsi="Arial" w:eastAsia="Calibri" w:cs="Times New Roman"/>
          <w:lang w:val="en-US" w:eastAsia="en-US" w:bidi="ar-SA"/>
        </w:rPr>
        <w:t>32.</w:t>
      </w:r>
      <w:r>
        <w:t>Minimum and maximum IRROI percentages shall be assessed for each ASEAN Industrial Project taking into account the relevant factors of the project.</w:t>
      </w:r>
    </w:p>
    <w:p w14:paraId="20A7720C">
      <w:pPr>
        <w:numPr>
          <w:ilvl w:val="0"/>
          <w:numId w:val="0"/>
        </w:numPr>
        <w:ind w:left="425" w:leftChars="0" w:hanging="425" w:firstLineChars="0"/>
      </w:pPr>
      <w:r>
        <w:rPr>
          <w:rFonts w:hint="default" w:ascii="Arial" w:hAnsi="Arial" w:eastAsia="Calibri" w:cs="Times New Roman"/>
          <w:lang w:val="en-US" w:eastAsia="en-US" w:bidi="ar-SA"/>
        </w:rPr>
        <w:t>33.</w:t>
      </w:r>
      <w:r>
        <w:t>The floor and ceiling prices may be reviewed in the event of unexpected and abnormal developments in world conditions or in the event of either exigency. Such developments as aforesaid shall include the conditions when the prevailing world market price exceeds the agreed ceiling price by more than ten per cent (10%) or when the prevailing market price goes below the agreed floor price by more than ten per cent (10%).</w:t>
      </w:r>
    </w:p>
    <w:p w14:paraId="059D9651">
      <w:pPr>
        <w:numPr>
          <w:ilvl w:val="0"/>
          <w:numId w:val="0"/>
        </w:numPr>
        <w:ind w:left="425" w:leftChars="0" w:hanging="425" w:firstLineChars="0"/>
      </w:pPr>
      <w:r>
        <w:rPr>
          <w:rFonts w:hint="default" w:ascii="Arial" w:hAnsi="Arial" w:eastAsia="Calibri" w:cs="Times New Roman"/>
          <w:lang w:val="en-US" w:eastAsia="en-US" w:bidi="ar-SA"/>
        </w:rPr>
        <w:t>34.</w:t>
      </w:r>
      <w:r>
        <w:t>Selling prices throughout the project life shall be calculated in United States dollars.</w:t>
      </w:r>
    </w:p>
    <w:p w14:paraId="336E6632">
      <w:pPr>
        <w:numPr>
          <w:ilvl w:val="0"/>
          <w:numId w:val="0"/>
        </w:numPr>
        <w:ind w:left="425" w:leftChars="0" w:hanging="425" w:firstLineChars="0"/>
      </w:pPr>
      <w:r>
        <w:rPr>
          <w:rFonts w:hint="default" w:ascii="Arial" w:hAnsi="Arial" w:eastAsia="Calibri" w:cs="Times New Roman"/>
          <w:lang w:val="en-US" w:eastAsia="en-US" w:bidi="ar-SA"/>
        </w:rPr>
        <w:t>35.</w:t>
      </w:r>
      <w:r>
        <w:t>Project cost shall include only the cost of infrastructure which can be shown to be directly a part of the project and only to the extent the infrastructure is required by the project itself and that such infrastructure costs are acceptable to the shareholders.</w:t>
      </w:r>
    </w:p>
    <w:p w14:paraId="18B8C889">
      <w:pPr>
        <w:numPr>
          <w:ilvl w:val="0"/>
          <w:numId w:val="0"/>
        </w:numPr>
        <w:ind w:left="425" w:leftChars="0" w:hanging="425" w:firstLineChars="0"/>
      </w:pPr>
      <w:r>
        <w:rPr>
          <w:rFonts w:hint="default" w:ascii="Arial" w:hAnsi="Arial" w:eastAsia="Calibri" w:cs="Times New Roman"/>
          <w:lang w:val="en-US" w:eastAsia="en-US" w:bidi="ar-SA"/>
        </w:rPr>
        <w:t>36.</w:t>
      </w:r>
      <w:r>
        <w:t>Such portions of infrastructure for the project that are larger than the minimum required by the project or are built to standards higher than needed by the project shall not be a part of the project cost but shall be for the account of the host country.</w:t>
      </w:r>
    </w:p>
    <w:p w14:paraId="4042CFC4">
      <w:pPr>
        <w:numPr>
          <w:ilvl w:val="0"/>
          <w:numId w:val="0"/>
        </w:numPr>
        <w:ind w:left="425" w:leftChars="0" w:hanging="425" w:firstLineChars="0"/>
      </w:pPr>
      <w:r>
        <w:rPr>
          <w:rFonts w:hint="default" w:ascii="Arial" w:hAnsi="Arial" w:eastAsia="Calibri" w:cs="Times New Roman"/>
          <w:lang w:val="en-US" w:eastAsia="en-US" w:bidi="ar-SA"/>
        </w:rPr>
        <w:t>37.</w:t>
      </w:r>
      <w:r>
        <w:t>For the purpose of implementing this Basic Agreement and the Supplementary Agreement hereinafter specified in Article 16, there shall be a Joint Venture Agreement among the participating shareholder entities from ASEAN Member States for each ASEAN Industrial Project. The Joint Venture Agreement shall be in conformity with the provisions of the Basic Agreement and Supplementary Agreement.</w:t>
      </w:r>
    </w:p>
    <w:p w14:paraId="02DA2A43">
      <w:pPr>
        <w:numPr>
          <w:ilvl w:val="0"/>
          <w:numId w:val="0"/>
        </w:numPr>
        <w:ind w:left="425" w:leftChars="0" w:hanging="425" w:firstLineChars="0"/>
      </w:pPr>
      <w:r>
        <w:rPr>
          <w:rFonts w:hint="default" w:ascii="Arial" w:hAnsi="Arial" w:eastAsia="Calibri" w:cs="Times New Roman"/>
          <w:lang w:val="en-US" w:eastAsia="en-US" w:bidi="ar-SA"/>
        </w:rPr>
        <w:t>38.</w:t>
      </w:r>
      <w:r>
        <w:t>The power to approve and review the Joint Venture Agreement shall be vested in the ASEAN Economic Ministers based on recommendations of the Committee on Industry, Minerals and Energy (COIME) in consultation with the Committee on Finance and Banking and the Committee on Trade and Tourism.</w:t>
      </w:r>
    </w:p>
    <w:p w14:paraId="023E0085">
      <w:pPr>
        <w:numPr>
          <w:ilvl w:val="0"/>
          <w:numId w:val="0"/>
        </w:numPr>
        <w:ind w:left="425" w:leftChars="0" w:hanging="425" w:firstLineChars="0"/>
      </w:pPr>
      <w:r>
        <w:rPr>
          <w:rFonts w:hint="default" w:ascii="Arial" w:hAnsi="Arial" w:eastAsia="Calibri" w:cs="Times New Roman"/>
          <w:lang w:val="en-US" w:eastAsia="en-US" w:bidi="ar-SA"/>
        </w:rPr>
        <w:t>39.</w:t>
      </w:r>
      <w:r>
        <w:t>COIME shall review, supervise and monitor the implementation of the Basic Agreement and the Supplementary Agreement hereinafter specified in Article 16 up to the time of incorporation of the project company. All decisions of COIME shall be taken by consensus.</w:t>
      </w:r>
    </w:p>
    <w:p w14:paraId="0D03F0FE">
      <w:pPr>
        <w:numPr>
          <w:ilvl w:val="0"/>
          <w:numId w:val="0"/>
        </w:numPr>
        <w:ind w:left="425" w:leftChars="0" w:hanging="425" w:firstLineChars="0"/>
      </w:pPr>
      <w:r>
        <w:rPr>
          <w:rFonts w:hint="default" w:ascii="Arial" w:hAnsi="Arial" w:eastAsia="Calibri" w:cs="Times New Roman"/>
          <w:lang w:val="en-US" w:eastAsia="en-US" w:bidi="ar-SA"/>
        </w:rPr>
        <w:t>40.</w:t>
      </w:r>
      <w:r>
        <w:t>Each Contracting State shall accord adequate opportunity for consultations regarding such representations as may be made by any Contracting State with respect to any matter affecting the implementation of this Agreement. COIME may, at the request of any Contracting State, consult with any other Contracting State in respect of any matter for which it has not been possible to find a satisfactory solution during previous consultations.</w:t>
      </w:r>
    </w:p>
    <w:p w14:paraId="38990C4E">
      <w:pPr>
        <w:numPr>
          <w:ilvl w:val="0"/>
          <w:numId w:val="0"/>
        </w:numPr>
        <w:ind w:left="425" w:leftChars="0" w:hanging="425" w:firstLineChars="0"/>
      </w:pPr>
      <w:r>
        <w:rPr>
          <w:rFonts w:hint="default" w:ascii="Arial" w:hAnsi="Arial" w:eastAsia="Calibri" w:cs="Times New Roman"/>
          <w:lang w:val="en-US" w:eastAsia="en-US" w:bidi="ar-SA"/>
        </w:rPr>
        <w:t>41.</w:t>
      </w:r>
      <w:r>
        <w:t>If any Contracting State should consider that any other Contracting State has not carried out its obligations under this Agreement, the affected Contracting State may make representations or proposals to the other Contracting State concerned which shall consider said representation or proposal within sixty (60) days from receipt thereof.</w:t>
      </w:r>
    </w:p>
    <w:p w14:paraId="27A3ABA9">
      <w:pPr>
        <w:numPr>
          <w:ilvl w:val="0"/>
          <w:numId w:val="0"/>
        </w:numPr>
        <w:ind w:left="425" w:leftChars="0" w:hanging="425" w:firstLineChars="0"/>
      </w:pPr>
      <w:r>
        <w:rPr>
          <w:rFonts w:hint="default" w:ascii="Arial" w:hAnsi="Arial" w:eastAsia="Calibri" w:cs="Times New Roman"/>
          <w:lang w:val="en-US" w:eastAsia="en-US" w:bidi="ar-SA"/>
        </w:rPr>
        <w:t>42.</w:t>
      </w:r>
      <w:r>
        <w:t>If no satisfactory solution is effected between the Contracting States, the matter may be referred to COIME which shall consult with the Contracting States concerned and arrive at a solution mutually acceptable to the States concerned. If no satisfactory solution is arrived at in COIME, the matter shall be referred to the ASEAN Economic Ministers for the final settlement.</w:t>
      </w:r>
    </w:p>
    <w:p w14:paraId="796FF71A">
      <w:pPr>
        <w:numPr>
          <w:ilvl w:val="0"/>
          <w:numId w:val="0"/>
        </w:numPr>
        <w:ind w:left="425" w:leftChars="0" w:hanging="425" w:firstLineChars="0"/>
      </w:pPr>
      <w:r>
        <w:rPr>
          <w:rFonts w:hint="default" w:ascii="Arial" w:hAnsi="Arial" w:eastAsia="Calibri" w:cs="Times New Roman"/>
          <w:lang w:val="en-US" w:eastAsia="en-US" w:bidi="ar-SA"/>
        </w:rPr>
        <w:t>43.</w:t>
      </w:r>
      <w:r>
        <w:t>In order to maintain the required government equity in the shareholder entity, in the event that such entity becomes insolvent, the Contracting State responsible for the shareholder entity shall without undue delay, arrange the following:</w:t>
      </w:r>
      <w:r>
        <w:rPr>
          <w:rFonts w:hint="eastAsia" w:eastAsia="宋体"/>
          <w:lang w:val="en-US" w:eastAsia="zh-CN"/>
        </w:rPr>
        <w:t xml:space="preserve"> </w:t>
      </w:r>
      <w:r>
        <w:t>Take all reasonable legal means to prevent the shares of the ASEAN Industrial Projects held by the said shareholder entity from being involved in any legal action taken by creditors.</w:t>
      </w:r>
      <w:r>
        <w:rPr>
          <w:rFonts w:hint="eastAsia" w:eastAsia="宋体"/>
          <w:lang w:val="en-US" w:eastAsia="zh-CN"/>
        </w:rPr>
        <w:t xml:space="preserve"> </w:t>
      </w:r>
      <w:r>
        <w:t>If it is necessary for a new shareholder entity to take up all the shares owned by the insolvent shareholder entity, the new shareholder entity shall be accorded the same rights and shall undertake the same obligations as the insolvent entity.</w:t>
      </w:r>
    </w:p>
    <w:p w14:paraId="61D7F561">
      <w:pPr>
        <w:numPr>
          <w:ilvl w:val="0"/>
          <w:numId w:val="0"/>
        </w:numPr>
        <w:ind w:left="425" w:leftChars="0" w:hanging="425" w:firstLineChars="0"/>
      </w:pPr>
      <w:r>
        <w:rPr>
          <w:rFonts w:hint="default" w:ascii="Arial" w:hAnsi="Arial" w:eastAsia="Calibri" w:cs="Times New Roman"/>
          <w:lang w:val="en-US" w:eastAsia="en-US" w:bidi="ar-SA"/>
        </w:rPr>
        <w:t>44.</w:t>
      </w:r>
      <w:r>
        <w:t>This Agreement shall enter into force on the thirtieth (30th) day after the deposit of the fifth Instrument of Ratification.</w:t>
      </w:r>
    </w:p>
    <w:p w14:paraId="06F6A262">
      <w:pPr>
        <w:numPr>
          <w:ilvl w:val="0"/>
          <w:numId w:val="0"/>
        </w:numPr>
        <w:ind w:left="425" w:leftChars="0" w:hanging="425" w:firstLineChars="0"/>
      </w:pPr>
      <w:r>
        <w:rPr>
          <w:rFonts w:hint="default" w:ascii="Arial" w:hAnsi="Arial" w:eastAsia="Calibri" w:cs="Times New Roman"/>
          <w:lang w:val="en-US" w:eastAsia="en-US" w:bidi="ar-SA"/>
        </w:rPr>
        <w:t>45.</w:t>
      </w:r>
      <w:r>
        <w:t>This Agreement may not be signed with reservation nor shall reservations be admitted at the time of ratification.</w:t>
      </w:r>
    </w:p>
    <w:p w14:paraId="792E987C">
      <w:pPr>
        <w:numPr>
          <w:ilvl w:val="0"/>
          <w:numId w:val="0"/>
        </w:numPr>
        <w:ind w:left="425" w:leftChars="0" w:hanging="425" w:firstLineChars="0"/>
      </w:pPr>
      <w:r>
        <w:rPr>
          <w:rFonts w:hint="default" w:ascii="Arial" w:hAnsi="Arial" w:eastAsia="Calibri" w:cs="Times New Roman"/>
          <w:lang w:val="en-US" w:eastAsia="en-US" w:bidi="ar-SA"/>
        </w:rPr>
        <w:t>46.</w:t>
      </w:r>
      <w:r>
        <w:t>This Agreement shall be deposited with the Secretary-General of the ASEAN Secretariat who shall promptly furnish a certified copy thereof to each Contracting State.</w:t>
      </w:r>
    </w:p>
    <w:p w14:paraId="26287614">
      <w:pPr>
        <w:numPr>
          <w:ilvl w:val="0"/>
          <w:numId w:val="0"/>
        </w:numPr>
        <w:ind w:left="425" w:leftChars="0" w:hanging="425" w:firstLineChars="0"/>
        <w:rPr>
          <w:rFonts w:hint="eastAsia" w:eastAsia="宋体"/>
          <w:lang w:val="en-US" w:eastAsia="zh-CN"/>
        </w:rPr>
      </w:pPr>
      <w:r>
        <w:rPr>
          <w:rFonts w:hint="default" w:ascii="Arial" w:hAnsi="Arial" w:eastAsia="宋体" w:cs="Times New Roman"/>
          <w:lang w:val="en-US" w:eastAsia="zh-CN" w:bidi="ar-SA"/>
        </w:rPr>
        <w:t>47.</w:t>
      </w:r>
      <w:r>
        <w:t>Each Contracting State shall deposit its instrument of Ratification with the Secretary-General of the ASEAN Secretariat who shall promptly inform each Contracting State of such deposit</w:t>
      </w:r>
      <w:r>
        <w:rPr>
          <w:rFonts w:hint="eastAsia" w:eastAsia="宋体"/>
          <w:lang w:val="en-US" w:eastAsia="zh-CN"/>
        </w:rPr>
        <w:t>.</w:t>
      </w:r>
    </w:p>
    <w:sectPr>
      <w:footerReference r:id="rId7" w:type="first"/>
      <w:headerReference r:id="rId5" w:type="default"/>
      <w:footerReference r:id="rId6" w:type="default"/>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Batang">
    <w:altName w:val="Malgun Gothic"/>
    <w:panose1 w:val="02030600000101010101"/>
    <w:charset w:val="81"/>
    <w:family w:val="roman"/>
    <w:pitch w:val="default"/>
    <w:sig w:usb0="00000000" w:usb1="00000000" w:usb2="00000030" w:usb3="00000000" w:csb0="0008009F" w:csb1="00000000"/>
  </w:font>
  <w:font w:name="바탕">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0000012" w:usb3="00000000" w:csb0="0002009F" w:csb1="00000000"/>
  </w:font>
  <w:font w:name="ＭＳ 明朝">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842B26">
    <w:pPr>
      <w:pStyle w:val="9"/>
      <w:tabs>
        <w:tab w:val="right" w:pos="8931"/>
        <w:tab w:val="clear" w:pos="9360"/>
      </w:tabs>
      <w:jc w:val="right"/>
    </w:pPr>
  </w:p>
  <w:p w14:paraId="5926AD67">
    <w:pPr>
      <w:pStyle w:val="9"/>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1"/>
        <w:rFonts w:cs="Arial"/>
        <w:color w:val="7F7F7F"/>
        <w:sz w:val="16"/>
        <w:szCs w:val="16"/>
      </w:rPr>
      <w:t>www.cil.nus.edu.sg</w:t>
    </w:r>
    <w:r>
      <w:rPr>
        <w:rStyle w:val="2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9</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9</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0A8E3E">
    <w:pPr>
      <w:pStyle w:val="9"/>
      <w:tabs>
        <w:tab w:val="right" w:pos="8931"/>
        <w:tab w:val="clear" w:pos="9360"/>
      </w:tabs>
      <w:jc w:val="right"/>
    </w:pPr>
  </w:p>
  <w:p w14:paraId="7D3DB92C">
    <w:pPr>
      <w:pStyle w:val="9"/>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1"/>
        <w:rFonts w:cs="Arial"/>
        <w:color w:val="7F7F7F"/>
        <w:sz w:val="16"/>
        <w:szCs w:val="16"/>
      </w:rPr>
      <w:t>www.cil.nus.edu.sg</w:t>
    </w:r>
    <w:r>
      <w:rPr>
        <w:rStyle w:val="2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866A67">
    <w:pPr>
      <w:pStyle w:val="10"/>
      <w:pBdr>
        <w:bottom w:val="single" w:color="auto" w:sz="8" w:space="1"/>
      </w:pBdr>
      <w:rPr>
        <w:rFonts w:cs="Arial"/>
        <w:caps/>
        <w:color w:val="808080"/>
        <w:sz w:val="16"/>
        <w:szCs w:val="16"/>
      </w:rPr>
    </w:pPr>
    <w:r>
      <w:rPr>
        <w:rFonts w:cs="Arial"/>
        <w:caps/>
        <w:color w:val="808080"/>
        <w:sz w:val="16"/>
        <w:szCs w:val="16"/>
      </w:rPr>
      <w:t>1980 basic agreement on the asean industrial projects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attachedTemplate r:id="rId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74A"/>
    <w:rsid w:val="00000FB0"/>
    <w:rsid w:val="00002446"/>
    <w:rsid w:val="000043E5"/>
    <w:rsid w:val="00011723"/>
    <w:rsid w:val="00013D73"/>
    <w:rsid w:val="000173F4"/>
    <w:rsid w:val="00022AE1"/>
    <w:rsid w:val="00023AFA"/>
    <w:rsid w:val="00025831"/>
    <w:rsid w:val="000260A8"/>
    <w:rsid w:val="00032218"/>
    <w:rsid w:val="00032623"/>
    <w:rsid w:val="00032C84"/>
    <w:rsid w:val="0003432F"/>
    <w:rsid w:val="00036034"/>
    <w:rsid w:val="00040670"/>
    <w:rsid w:val="00045076"/>
    <w:rsid w:val="00045F9A"/>
    <w:rsid w:val="000460FD"/>
    <w:rsid w:val="00046C7E"/>
    <w:rsid w:val="0005003E"/>
    <w:rsid w:val="00055254"/>
    <w:rsid w:val="00055923"/>
    <w:rsid w:val="00061193"/>
    <w:rsid w:val="00061B8B"/>
    <w:rsid w:val="000627D9"/>
    <w:rsid w:val="00063C84"/>
    <w:rsid w:val="0007234F"/>
    <w:rsid w:val="000768A2"/>
    <w:rsid w:val="000771E0"/>
    <w:rsid w:val="00080879"/>
    <w:rsid w:val="00080FD6"/>
    <w:rsid w:val="00081E70"/>
    <w:rsid w:val="00082260"/>
    <w:rsid w:val="000922A6"/>
    <w:rsid w:val="0009558E"/>
    <w:rsid w:val="00097F77"/>
    <w:rsid w:val="000A329C"/>
    <w:rsid w:val="000B02EF"/>
    <w:rsid w:val="000B197F"/>
    <w:rsid w:val="000C2967"/>
    <w:rsid w:val="000C2CE8"/>
    <w:rsid w:val="000C49F6"/>
    <w:rsid w:val="000C5A1A"/>
    <w:rsid w:val="000D004B"/>
    <w:rsid w:val="000D31BC"/>
    <w:rsid w:val="000D57EE"/>
    <w:rsid w:val="000D6DF5"/>
    <w:rsid w:val="000D7512"/>
    <w:rsid w:val="000E1719"/>
    <w:rsid w:val="000E1DDB"/>
    <w:rsid w:val="000E2394"/>
    <w:rsid w:val="000F2D66"/>
    <w:rsid w:val="001013AD"/>
    <w:rsid w:val="0010259B"/>
    <w:rsid w:val="00102B66"/>
    <w:rsid w:val="001063A1"/>
    <w:rsid w:val="001077E4"/>
    <w:rsid w:val="00111688"/>
    <w:rsid w:val="0011199A"/>
    <w:rsid w:val="00111A4C"/>
    <w:rsid w:val="0011273D"/>
    <w:rsid w:val="00112A51"/>
    <w:rsid w:val="001142FA"/>
    <w:rsid w:val="001161C0"/>
    <w:rsid w:val="001207E1"/>
    <w:rsid w:val="0012281C"/>
    <w:rsid w:val="00122EC8"/>
    <w:rsid w:val="001246A1"/>
    <w:rsid w:val="001302AA"/>
    <w:rsid w:val="00130E46"/>
    <w:rsid w:val="00133AB9"/>
    <w:rsid w:val="00143BCA"/>
    <w:rsid w:val="00144EA6"/>
    <w:rsid w:val="001450F7"/>
    <w:rsid w:val="001462AA"/>
    <w:rsid w:val="00153722"/>
    <w:rsid w:val="0015683A"/>
    <w:rsid w:val="001648EA"/>
    <w:rsid w:val="001669E3"/>
    <w:rsid w:val="001728AB"/>
    <w:rsid w:val="00172E71"/>
    <w:rsid w:val="00176298"/>
    <w:rsid w:val="0018065C"/>
    <w:rsid w:val="00183009"/>
    <w:rsid w:val="001837BF"/>
    <w:rsid w:val="00191FB7"/>
    <w:rsid w:val="00194639"/>
    <w:rsid w:val="0019674F"/>
    <w:rsid w:val="001A31BD"/>
    <w:rsid w:val="001B572F"/>
    <w:rsid w:val="001C50F5"/>
    <w:rsid w:val="001C7B98"/>
    <w:rsid w:val="001D116B"/>
    <w:rsid w:val="001D2E66"/>
    <w:rsid w:val="001D7F95"/>
    <w:rsid w:val="001E502C"/>
    <w:rsid w:val="001E52A5"/>
    <w:rsid w:val="001F190C"/>
    <w:rsid w:val="001F1AE0"/>
    <w:rsid w:val="001F27F8"/>
    <w:rsid w:val="001F2B50"/>
    <w:rsid w:val="0020032B"/>
    <w:rsid w:val="00200AA3"/>
    <w:rsid w:val="0020147F"/>
    <w:rsid w:val="002226CD"/>
    <w:rsid w:val="002238CF"/>
    <w:rsid w:val="00224582"/>
    <w:rsid w:val="00224E12"/>
    <w:rsid w:val="002251FC"/>
    <w:rsid w:val="002371EE"/>
    <w:rsid w:val="002423B7"/>
    <w:rsid w:val="00244645"/>
    <w:rsid w:val="00245638"/>
    <w:rsid w:val="0025204F"/>
    <w:rsid w:val="002520E2"/>
    <w:rsid w:val="00256484"/>
    <w:rsid w:val="002566AC"/>
    <w:rsid w:val="00257575"/>
    <w:rsid w:val="00260086"/>
    <w:rsid w:val="00260DE8"/>
    <w:rsid w:val="00262BEE"/>
    <w:rsid w:val="002653B1"/>
    <w:rsid w:val="00274C7A"/>
    <w:rsid w:val="002750EF"/>
    <w:rsid w:val="00275D0D"/>
    <w:rsid w:val="00284792"/>
    <w:rsid w:val="002927F7"/>
    <w:rsid w:val="00294CBA"/>
    <w:rsid w:val="00297B32"/>
    <w:rsid w:val="002A32A5"/>
    <w:rsid w:val="002A4172"/>
    <w:rsid w:val="002B473E"/>
    <w:rsid w:val="002B5E84"/>
    <w:rsid w:val="002B7265"/>
    <w:rsid w:val="002C506E"/>
    <w:rsid w:val="002C5925"/>
    <w:rsid w:val="002C67E0"/>
    <w:rsid w:val="002D3A06"/>
    <w:rsid w:val="002E0A92"/>
    <w:rsid w:val="002E6283"/>
    <w:rsid w:val="002F1577"/>
    <w:rsid w:val="002F7DA0"/>
    <w:rsid w:val="0030037C"/>
    <w:rsid w:val="00303079"/>
    <w:rsid w:val="003035FA"/>
    <w:rsid w:val="003071F6"/>
    <w:rsid w:val="00311F81"/>
    <w:rsid w:val="00311F88"/>
    <w:rsid w:val="00312FB5"/>
    <w:rsid w:val="00315409"/>
    <w:rsid w:val="00321387"/>
    <w:rsid w:val="0032159B"/>
    <w:rsid w:val="00321890"/>
    <w:rsid w:val="00325A2D"/>
    <w:rsid w:val="00326D39"/>
    <w:rsid w:val="003316EF"/>
    <w:rsid w:val="0033544F"/>
    <w:rsid w:val="00336CA3"/>
    <w:rsid w:val="003374CC"/>
    <w:rsid w:val="00340339"/>
    <w:rsid w:val="0034084B"/>
    <w:rsid w:val="00343E97"/>
    <w:rsid w:val="00351FC7"/>
    <w:rsid w:val="00355356"/>
    <w:rsid w:val="003557B3"/>
    <w:rsid w:val="00361211"/>
    <w:rsid w:val="00363CA6"/>
    <w:rsid w:val="0036654E"/>
    <w:rsid w:val="003762D5"/>
    <w:rsid w:val="00382037"/>
    <w:rsid w:val="00384CCD"/>
    <w:rsid w:val="00386AC0"/>
    <w:rsid w:val="003870B6"/>
    <w:rsid w:val="0039419F"/>
    <w:rsid w:val="0039574A"/>
    <w:rsid w:val="003A2096"/>
    <w:rsid w:val="003A2B2D"/>
    <w:rsid w:val="003A2E2D"/>
    <w:rsid w:val="003A36C1"/>
    <w:rsid w:val="003A4607"/>
    <w:rsid w:val="003A46AB"/>
    <w:rsid w:val="003A6709"/>
    <w:rsid w:val="003B1B3D"/>
    <w:rsid w:val="003B5567"/>
    <w:rsid w:val="003C3ABB"/>
    <w:rsid w:val="003C4214"/>
    <w:rsid w:val="003C47FA"/>
    <w:rsid w:val="003C696E"/>
    <w:rsid w:val="003C70F3"/>
    <w:rsid w:val="003D49AB"/>
    <w:rsid w:val="003D66C8"/>
    <w:rsid w:val="003D682E"/>
    <w:rsid w:val="003D6E5B"/>
    <w:rsid w:val="003E0C85"/>
    <w:rsid w:val="003E69D4"/>
    <w:rsid w:val="003F148C"/>
    <w:rsid w:val="003F1817"/>
    <w:rsid w:val="00400080"/>
    <w:rsid w:val="00401F7F"/>
    <w:rsid w:val="00405210"/>
    <w:rsid w:val="0042164B"/>
    <w:rsid w:val="0042562D"/>
    <w:rsid w:val="00430AD3"/>
    <w:rsid w:val="00432B9B"/>
    <w:rsid w:val="004410EB"/>
    <w:rsid w:val="0044320D"/>
    <w:rsid w:val="00452091"/>
    <w:rsid w:val="0045262E"/>
    <w:rsid w:val="00453E7C"/>
    <w:rsid w:val="004540DD"/>
    <w:rsid w:val="00454C15"/>
    <w:rsid w:val="00457A36"/>
    <w:rsid w:val="00460285"/>
    <w:rsid w:val="0046078B"/>
    <w:rsid w:val="00461169"/>
    <w:rsid w:val="0046281B"/>
    <w:rsid w:val="00464378"/>
    <w:rsid w:val="00464582"/>
    <w:rsid w:val="004715DF"/>
    <w:rsid w:val="0049074B"/>
    <w:rsid w:val="00495B5C"/>
    <w:rsid w:val="00496452"/>
    <w:rsid w:val="00497AE1"/>
    <w:rsid w:val="004A0B2F"/>
    <w:rsid w:val="004A0D08"/>
    <w:rsid w:val="004A1834"/>
    <w:rsid w:val="004A31A0"/>
    <w:rsid w:val="004A5865"/>
    <w:rsid w:val="004B263A"/>
    <w:rsid w:val="004B3D8B"/>
    <w:rsid w:val="004B6693"/>
    <w:rsid w:val="004B7073"/>
    <w:rsid w:val="004B71DD"/>
    <w:rsid w:val="004C2B2B"/>
    <w:rsid w:val="004C33C2"/>
    <w:rsid w:val="004C5E25"/>
    <w:rsid w:val="004D6797"/>
    <w:rsid w:val="004E0ED9"/>
    <w:rsid w:val="004E1378"/>
    <w:rsid w:val="004E1B8D"/>
    <w:rsid w:val="004E2177"/>
    <w:rsid w:val="004F129B"/>
    <w:rsid w:val="004F21D5"/>
    <w:rsid w:val="00504C42"/>
    <w:rsid w:val="00507CA6"/>
    <w:rsid w:val="0051026B"/>
    <w:rsid w:val="00510555"/>
    <w:rsid w:val="0051224B"/>
    <w:rsid w:val="00516331"/>
    <w:rsid w:val="00522388"/>
    <w:rsid w:val="00525B71"/>
    <w:rsid w:val="005325F9"/>
    <w:rsid w:val="00534217"/>
    <w:rsid w:val="00535BF3"/>
    <w:rsid w:val="00537A67"/>
    <w:rsid w:val="00537D81"/>
    <w:rsid w:val="00541125"/>
    <w:rsid w:val="00545288"/>
    <w:rsid w:val="005627AF"/>
    <w:rsid w:val="00564EBA"/>
    <w:rsid w:val="00565B5D"/>
    <w:rsid w:val="005701D2"/>
    <w:rsid w:val="005706A6"/>
    <w:rsid w:val="0057613A"/>
    <w:rsid w:val="005768A3"/>
    <w:rsid w:val="00581E07"/>
    <w:rsid w:val="005827A5"/>
    <w:rsid w:val="00584C90"/>
    <w:rsid w:val="005865AA"/>
    <w:rsid w:val="0058716E"/>
    <w:rsid w:val="00590C4E"/>
    <w:rsid w:val="0059630D"/>
    <w:rsid w:val="00597551"/>
    <w:rsid w:val="005A0C6D"/>
    <w:rsid w:val="005A384B"/>
    <w:rsid w:val="005A418E"/>
    <w:rsid w:val="005A67CE"/>
    <w:rsid w:val="005A6C1B"/>
    <w:rsid w:val="005B2D91"/>
    <w:rsid w:val="005C087C"/>
    <w:rsid w:val="005C18C4"/>
    <w:rsid w:val="005C46EA"/>
    <w:rsid w:val="005C6ADE"/>
    <w:rsid w:val="005D3068"/>
    <w:rsid w:val="005D5714"/>
    <w:rsid w:val="005D59E8"/>
    <w:rsid w:val="005E0D13"/>
    <w:rsid w:val="005E1F54"/>
    <w:rsid w:val="005E264A"/>
    <w:rsid w:val="005E2E8D"/>
    <w:rsid w:val="005E6807"/>
    <w:rsid w:val="005F25E1"/>
    <w:rsid w:val="005F5FD1"/>
    <w:rsid w:val="006056CA"/>
    <w:rsid w:val="006077DA"/>
    <w:rsid w:val="00615E91"/>
    <w:rsid w:val="00617785"/>
    <w:rsid w:val="00620043"/>
    <w:rsid w:val="00624B74"/>
    <w:rsid w:val="0062758C"/>
    <w:rsid w:val="00627B91"/>
    <w:rsid w:val="0064082A"/>
    <w:rsid w:val="00642035"/>
    <w:rsid w:val="0064206B"/>
    <w:rsid w:val="00646905"/>
    <w:rsid w:val="006477C3"/>
    <w:rsid w:val="006633EA"/>
    <w:rsid w:val="00666445"/>
    <w:rsid w:val="006819D0"/>
    <w:rsid w:val="006829B2"/>
    <w:rsid w:val="00686294"/>
    <w:rsid w:val="006878B4"/>
    <w:rsid w:val="00695153"/>
    <w:rsid w:val="006A181F"/>
    <w:rsid w:val="006A368A"/>
    <w:rsid w:val="006A5BC7"/>
    <w:rsid w:val="006B0864"/>
    <w:rsid w:val="006B6335"/>
    <w:rsid w:val="006C2FAC"/>
    <w:rsid w:val="006C6203"/>
    <w:rsid w:val="006C6B56"/>
    <w:rsid w:val="006C6EFB"/>
    <w:rsid w:val="006D1637"/>
    <w:rsid w:val="006D2062"/>
    <w:rsid w:val="006D35BA"/>
    <w:rsid w:val="006D61E5"/>
    <w:rsid w:val="006D6826"/>
    <w:rsid w:val="006D6EAA"/>
    <w:rsid w:val="006D6FA4"/>
    <w:rsid w:val="006E03F3"/>
    <w:rsid w:val="006E4F21"/>
    <w:rsid w:val="006E6F86"/>
    <w:rsid w:val="006F231A"/>
    <w:rsid w:val="00707B16"/>
    <w:rsid w:val="00711FF8"/>
    <w:rsid w:val="00721C1C"/>
    <w:rsid w:val="007231B2"/>
    <w:rsid w:val="0072576B"/>
    <w:rsid w:val="007320B0"/>
    <w:rsid w:val="0073568E"/>
    <w:rsid w:val="00744927"/>
    <w:rsid w:val="00744A85"/>
    <w:rsid w:val="00751173"/>
    <w:rsid w:val="00751EA6"/>
    <w:rsid w:val="00755A12"/>
    <w:rsid w:val="0075632F"/>
    <w:rsid w:val="0075795E"/>
    <w:rsid w:val="00760BCF"/>
    <w:rsid w:val="00761521"/>
    <w:rsid w:val="00762A99"/>
    <w:rsid w:val="00776086"/>
    <w:rsid w:val="007951DD"/>
    <w:rsid w:val="007A006E"/>
    <w:rsid w:val="007A4FC9"/>
    <w:rsid w:val="007A5CE9"/>
    <w:rsid w:val="007B0CD2"/>
    <w:rsid w:val="007B6E2C"/>
    <w:rsid w:val="007B7706"/>
    <w:rsid w:val="007C0404"/>
    <w:rsid w:val="007C158E"/>
    <w:rsid w:val="007C1E9A"/>
    <w:rsid w:val="007C74A6"/>
    <w:rsid w:val="007C7558"/>
    <w:rsid w:val="007D12D8"/>
    <w:rsid w:val="007D197A"/>
    <w:rsid w:val="007D2AC8"/>
    <w:rsid w:val="007D308E"/>
    <w:rsid w:val="007D4CB5"/>
    <w:rsid w:val="007E4920"/>
    <w:rsid w:val="007E7C82"/>
    <w:rsid w:val="007F1538"/>
    <w:rsid w:val="007F2FCB"/>
    <w:rsid w:val="007F5026"/>
    <w:rsid w:val="008016D1"/>
    <w:rsid w:val="00803BE9"/>
    <w:rsid w:val="00812B21"/>
    <w:rsid w:val="00814493"/>
    <w:rsid w:val="008171B7"/>
    <w:rsid w:val="00820B03"/>
    <w:rsid w:val="00821388"/>
    <w:rsid w:val="00822E73"/>
    <w:rsid w:val="00824DAD"/>
    <w:rsid w:val="00824DEF"/>
    <w:rsid w:val="008262AF"/>
    <w:rsid w:val="008419D9"/>
    <w:rsid w:val="0084289A"/>
    <w:rsid w:val="0086274F"/>
    <w:rsid w:val="00863AA4"/>
    <w:rsid w:val="00871D6D"/>
    <w:rsid w:val="00875863"/>
    <w:rsid w:val="008761FC"/>
    <w:rsid w:val="008A2C17"/>
    <w:rsid w:val="008A3A39"/>
    <w:rsid w:val="008A5721"/>
    <w:rsid w:val="008B001D"/>
    <w:rsid w:val="008B0875"/>
    <w:rsid w:val="008B1645"/>
    <w:rsid w:val="008C0F1D"/>
    <w:rsid w:val="008C33B3"/>
    <w:rsid w:val="008C3761"/>
    <w:rsid w:val="008C6A9C"/>
    <w:rsid w:val="008D292D"/>
    <w:rsid w:val="008D3F77"/>
    <w:rsid w:val="008E41DC"/>
    <w:rsid w:val="008E6E93"/>
    <w:rsid w:val="008E7703"/>
    <w:rsid w:val="008F5246"/>
    <w:rsid w:val="008F5F21"/>
    <w:rsid w:val="008F7A5C"/>
    <w:rsid w:val="009052CB"/>
    <w:rsid w:val="00916941"/>
    <w:rsid w:val="009217B0"/>
    <w:rsid w:val="00921DB5"/>
    <w:rsid w:val="00923519"/>
    <w:rsid w:val="00926EA3"/>
    <w:rsid w:val="009303E7"/>
    <w:rsid w:val="00933064"/>
    <w:rsid w:val="00935B08"/>
    <w:rsid w:val="0095406B"/>
    <w:rsid w:val="00956C40"/>
    <w:rsid w:val="00957449"/>
    <w:rsid w:val="00965ACC"/>
    <w:rsid w:val="00966DC7"/>
    <w:rsid w:val="0098008C"/>
    <w:rsid w:val="00982034"/>
    <w:rsid w:val="00982B34"/>
    <w:rsid w:val="009842E6"/>
    <w:rsid w:val="00991C17"/>
    <w:rsid w:val="00992233"/>
    <w:rsid w:val="00996953"/>
    <w:rsid w:val="00997244"/>
    <w:rsid w:val="00997B54"/>
    <w:rsid w:val="009A068F"/>
    <w:rsid w:val="009A0BE7"/>
    <w:rsid w:val="009B12F0"/>
    <w:rsid w:val="009B246D"/>
    <w:rsid w:val="009B6256"/>
    <w:rsid w:val="009B7700"/>
    <w:rsid w:val="009B7734"/>
    <w:rsid w:val="009C1F90"/>
    <w:rsid w:val="009C3725"/>
    <w:rsid w:val="009C42E9"/>
    <w:rsid w:val="009C4737"/>
    <w:rsid w:val="009C4D4C"/>
    <w:rsid w:val="009C6AFB"/>
    <w:rsid w:val="009C7121"/>
    <w:rsid w:val="009D1B8A"/>
    <w:rsid w:val="009E21A2"/>
    <w:rsid w:val="009E2828"/>
    <w:rsid w:val="009E4818"/>
    <w:rsid w:val="009E6790"/>
    <w:rsid w:val="009E6EB7"/>
    <w:rsid w:val="009E763F"/>
    <w:rsid w:val="00A0085A"/>
    <w:rsid w:val="00A03EE4"/>
    <w:rsid w:val="00A04D76"/>
    <w:rsid w:val="00A05131"/>
    <w:rsid w:val="00A05490"/>
    <w:rsid w:val="00A05E32"/>
    <w:rsid w:val="00A07327"/>
    <w:rsid w:val="00A12E87"/>
    <w:rsid w:val="00A14655"/>
    <w:rsid w:val="00A149F0"/>
    <w:rsid w:val="00A152B4"/>
    <w:rsid w:val="00A1553E"/>
    <w:rsid w:val="00A16CEA"/>
    <w:rsid w:val="00A21ED9"/>
    <w:rsid w:val="00A25765"/>
    <w:rsid w:val="00A27F6D"/>
    <w:rsid w:val="00A302FE"/>
    <w:rsid w:val="00A32891"/>
    <w:rsid w:val="00A3329A"/>
    <w:rsid w:val="00A34F89"/>
    <w:rsid w:val="00A359D5"/>
    <w:rsid w:val="00A36EF4"/>
    <w:rsid w:val="00A40F36"/>
    <w:rsid w:val="00A5006A"/>
    <w:rsid w:val="00A551D1"/>
    <w:rsid w:val="00A60DBB"/>
    <w:rsid w:val="00A60F35"/>
    <w:rsid w:val="00A61CFF"/>
    <w:rsid w:val="00A62871"/>
    <w:rsid w:val="00A638C5"/>
    <w:rsid w:val="00A646B8"/>
    <w:rsid w:val="00A749B5"/>
    <w:rsid w:val="00A7627E"/>
    <w:rsid w:val="00A839BE"/>
    <w:rsid w:val="00A83F8F"/>
    <w:rsid w:val="00A94579"/>
    <w:rsid w:val="00A95818"/>
    <w:rsid w:val="00A9590E"/>
    <w:rsid w:val="00AA6452"/>
    <w:rsid w:val="00AA6802"/>
    <w:rsid w:val="00AB26B5"/>
    <w:rsid w:val="00AB38E2"/>
    <w:rsid w:val="00AB6F60"/>
    <w:rsid w:val="00AB7A69"/>
    <w:rsid w:val="00AC1691"/>
    <w:rsid w:val="00AC1CA8"/>
    <w:rsid w:val="00AC4C08"/>
    <w:rsid w:val="00AC7F91"/>
    <w:rsid w:val="00AD7A4B"/>
    <w:rsid w:val="00AE05B5"/>
    <w:rsid w:val="00AE3DEB"/>
    <w:rsid w:val="00AE6181"/>
    <w:rsid w:val="00AE64FF"/>
    <w:rsid w:val="00AF1254"/>
    <w:rsid w:val="00AF5172"/>
    <w:rsid w:val="00AF5D32"/>
    <w:rsid w:val="00B01951"/>
    <w:rsid w:val="00B05254"/>
    <w:rsid w:val="00B05F3A"/>
    <w:rsid w:val="00B0640C"/>
    <w:rsid w:val="00B14396"/>
    <w:rsid w:val="00B173B5"/>
    <w:rsid w:val="00B207F2"/>
    <w:rsid w:val="00B267DC"/>
    <w:rsid w:val="00B308F2"/>
    <w:rsid w:val="00B30DEB"/>
    <w:rsid w:val="00B34B14"/>
    <w:rsid w:val="00B420A0"/>
    <w:rsid w:val="00B456B7"/>
    <w:rsid w:val="00B45912"/>
    <w:rsid w:val="00B5211D"/>
    <w:rsid w:val="00B532E2"/>
    <w:rsid w:val="00B54E3F"/>
    <w:rsid w:val="00B61944"/>
    <w:rsid w:val="00B62E0A"/>
    <w:rsid w:val="00B6351C"/>
    <w:rsid w:val="00B736A5"/>
    <w:rsid w:val="00B74778"/>
    <w:rsid w:val="00B74FC8"/>
    <w:rsid w:val="00B76163"/>
    <w:rsid w:val="00B8232C"/>
    <w:rsid w:val="00B8350D"/>
    <w:rsid w:val="00B85BB1"/>
    <w:rsid w:val="00B85DB0"/>
    <w:rsid w:val="00B87EA5"/>
    <w:rsid w:val="00B96E99"/>
    <w:rsid w:val="00BA1C72"/>
    <w:rsid w:val="00BA3538"/>
    <w:rsid w:val="00BA600A"/>
    <w:rsid w:val="00BA7E2B"/>
    <w:rsid w:val="00BB2E42"/>
    <w:rsid w:val="00BB5610"/>
    <w:rsid w:val="00BB7A8C"/>
    <w:rsid w:val="00BC5DE2"/>
    <w:rsid w:val="00BD1600"/>
    <w:rsid w:val="00BD2E28"/>
    <w:rsid w:val="00BD36A4"/>
    <w:rsid w:val="00BD3EF7"/>
    <w:rsid w:val="00BE0B41"/>
    <w:rsid w:val="00BE0D36"/>
    <w:rsid w:val="00BE21D1"/>
    <w:rsid w:val="00BE47F3"/>
    <w:rsid w:val="00BE4E55"/>
    <w:rsid w:val="00BE5E94"/>
    <w:rsid w:val="00BF3AB0"/>
    <w:rsid w:val="00BF5BA2"/>
    <w:rsid w:val="00BF7BA5"/>
    <w:rsid w:val="00C0692C"/>
    <w:rsid w:val="00C12E92"/>
    <w:rsid w:val="00C1575D"/>
    <w:rsid w:val="00C22B66"/>
    <w:rsid w:val="00C2709D"/>
    <w:rsid w:val="00C27F88"/>
    <w:rsid w:val="00C33322"/>
    <w:rsid w:val="00C3632D"/>
    <w:rsid w:val="00C436C7"/>
    <w:rsid w:val="00C445AC"/>
    <w:rsid w:val="00C4584B"/>
    <w:rsid w:val="00C479E0"/>
    <w:rsid w:val="00C539B9"/>
    <w:rsid w:val="00C55B05"/>
    <w:rsid w:val="00C55D41"/>
    <w:rsid w:val="00C573FC"/>
    <w:rsid w:val="00C6101A"/>
    <w:rsid w:val="00C61524"/>
    <w:rsid w:val="00C617E1"/>
    <w:rsid w:val="00C666BA"/>
    <w:rsid w:val="00C73155"/>
    <w:rsid w:val="00C86BF0"/>
    <w:rsid w:val="00C9065C"/>
    <w:rsid w:val="00C90B5B"/>
    <w:rsid w:val="00C91236"/>
    <w:rsid w:val="00C921EF"/>
    <w:rsid w:val="00C92C9D"/>
    <w:rsid w:val="00CA21A1"/>
    <w:rsid w:val="00CA449F"/>
    <w:rsid w:val="00CA540E"/>
    <w:rsid w:val="00CA5A41"/>
    <w:rsid w:val="00CB0C6C"/>
    <w:rsid w:val="00CB2E1A"/>
    <w:rsid w:val="00CB485A"/>
    <w:rsid w:val="00CC2470"/>
    <w:rsid w:val="00CC2F8C"/>
    <w:rsid w:val="00CC449C"/>
    <w:rsid w:val="00CC535D"/>
    <w:rsid w:val="00CD2BE4"/>
    <w:rsid w:val="00CD5CC1"/>
    <w:rsid w:val="00CD6EC7"/>
    <w:rsid w:val="00CE087B"/>
    <w:rsid w:val="00CE31C8"/>
    <w:rsid w:val="00CE4330"/>
    <w:rsid w:val="00CE567F"/>
    <w:rsid w:val="00CE59E6"/>
    <w:rsid w:val="00CE7679"/>
    <w:rsid w:val="00CF277F"/>
    <w:rsid w:val="00CF4CBB"/>
    <w:rsid w:val="00D00ACC"/>
    <w:rsid w:val="00D0625E"/>
    <w:rsid w:val="00D07EE1"/>
    <w:rsid w:val="00D13015"/>
    <w:rsid w:val="00D133A2"/>
    <w:rsid w:val="00D13F5C"/>
    <w:rsid w:val="00D14607"/>
    <w:rsid w:val="00D15AD4"/>
    <w:rsid w:val="00D1649F"/>
    <w:rsid w:val="00D20538"/>
    <w:rsid w:val="00D211DC"/>
    <w:rsid w:val="00D250B0"/>
    <w:rsid w:val="00D368AA"/>
    <w:rsid w:val="00D40C72"/>
    <w:rsid w:val="00D43EA3"/>
    <w:rsid w:val="00D45FAB"/>
    <w:rsid w:val="00D472FE"/>
    <w:rsid w:val="00D52236"/>
    <w:rsid w:val="00D528FE"/>
    <w:rsid w:val="00D56D91"/>
    <w:rsid w:val="00D67A09"/>
    <w:rsid w:val="00D712DE"/>
    <w:rsid w:val="00D75BF6"/>
    <w:rsid w:val="00D804A1"/>
    <w:rsid w:val="00D86B2E"/>
    <w:rsid w:val="00D901BD"/>
    <w:rsid w:val="00D91710"/>
    <w:rsid w:val="00D92975"/>
    <w:rsid w:val="00DA4CF4"/>
    <w:rsid w:val="00DB3B2A"/>
    <w:rsid w:val="00DB6E09"/>
    <w:rsid w:val="00DB7B56"/>
    <w:rsid w:val="00DC27F4"/>
    <w:rsid w:val="00DC3275"/>
    <w:rsid w:val="00DC38F6"/>
    <w:rsid w:val="00DC5022"/>
    <w:rsid w:val="00DC5793"/>
    <w:rsid w:val="00DD0696"/>
    <w:rsid w:val="00DD1735"/>
    <w:rsid w:val="00DD1945"/>
    <w:rsid w:val="00DD2204"/>
    <w:rsid w:val="00DD7A7D"/>
    <w:rsid w:val="00DE4868"/>
    <w:rsid w:val="00DE4917"/>
    <w:rsid w:val="00DE57D4"/>
    <w:rsid w:val="00DF3DF6"/>
    <w:rsid w:val="00DF4E11"/>
    <w:rsid w:val="00DF64FF"/>
    <w:rsid w:val="00DF72C5"/>
    <w:rsid w:val="00E005B9"/>
    <w:rsid w:val="00E00DD3"/>
    <w:rsid w:val="00E03D60"/>
    <w:rsid w:val="00E13279"/>
    <w:rsid w:val="00E15214"/>
    <w:rsid w:val="00E22F62"/>
    <w:rsid w:val="00E23211"/>
    <w:rsid w:val="00E23830"/>
    <w:rsid w:val="00E2703D"/>
    <w:rsid w:val="00E36432"/>
    <w:rsid w:val="00E41649"/>
    <w:rsid w:val="00E42A9B"/>
    <w:rsid w:val="00E46A83"/>
    <w:rsid w:val="00E47C45"/>
    <w:rsid w:val="00E501FD"/>
    <w:rsid w:val="00E53F2E"/>
    <w:rsid w:val="00E71017"/>
    <w:rsid w:val="00E71A6F"/>
    <w:rsid w:val="00E71AEC"/>
    <w:rsid w:val="00E80D04"/>
    <w:rsid w:val="00E82ED4"/>
    <w:rsid w:val="00E853A3"/>
    <w:rsid w:val="00E854D8"/>
    <w:rsid w:val="00E87AA3"/>
    <w:rsid w:val="00E925D7"/>
    <w:rsid w:val="00E9353A"/>
    <w:rsid w:val="00E94458"/>
    <w:rsid w:val="00EA1963"/>
    <w:rsid w:val="00EA422B"/>
    <w:rsid w:val="00EA44D0"/>
    <w:rsid w:val="00EA6B9C"/>
    <w:rsid w:val="00EB4089"/>
    <w:rsid w:val="00EB542E"/>
    <w:rsid w:val="00EC2FAE"/>
    <w:rsid w:val="00EC57B1"/>
    <w:rsid w:val="00ED01F1"/>
    <w:rsid w:val="00ED1D3B"/>
    <w:rsid w:val="00ED61BD"/>
    <w:rsid w:val="00ED6DF2"/>
    <w:rsid w:val="00EE207B"/>
    <w:rsid w:val="00EE5D61"/>
    <w:rsid w:val="00EF63CD"/>
    <w:rsid w:val="00F01D85"/>
    <w:rsid w:val="00F05438"/>
    <w:rsid w:val="00F1258E"/>
    <w:rsid w:val="00F13B8E"/>
    <w:rsid w:val="00F2602E"/>
    <w:rsid w:val="00F30635"/>
    <w:rsid w:val="00F306A7"/>
    <w:rsid w:val="00F30761"/>
    <w:rsid w:val="00F31524"/>
    <w:rsid w:val="00F4092C"/>
    <w:rsid w:val="00F41173"/>
    <w:rsid w:val="00F41BB1"/>
    <w:rsid w:val="00F521E0"/>
    <w:rsid w:val="00F53E6A"/>
    <w:rsid w:val="00F57A3C"/>
    <w:rsid w:val="00F61B4F"/>
    <w:rsid w:val="00F63201"/>
    <w:rsid w:val="00F64335"/>
    <w:rsid w:val="00F645C0"/>
    <w:rsid w:val="00F6608A"/>
    <w:rsid w:val="00F701DD"/>
    <w:rsid w:val="00F71AE4"/>
    <w:rsid w:val="00F82FDC"/>
    <w:rsid w:val="00F8564E"/>
    <w:rsid w:val="00F86908"/>
    <w:rsid w:val="00F8738F"/>
    <w:rsid w:val="00F87BC0"/>
    <w:rsid w:val="00FA08BD"/>
    <w:rsid w:val="00FA0BDA"/>
    <w:rsid w:val="00FA1EB2"/>
    <w:rsid w:val="00FA4AD8"/>
    <w:rsid w:val="00FA4CBA"/>
    <w:rsid w:val="00FA7B32"/>
    <w:rsid w:val="00FB35F7"/>
    <w:rsid w:val="00FB4CD5"/>
    <w:rsid w:val="00FB6164"/>
    <w:rsid w:val="00FB7DF5"/>
    <w:rsid w:val="00FC45CB"/>
    <w:rsid w:val="00FC5496"/>
    <w:rsid w:val="00FC5F76"/>
    <w:rsid w:val="00FD1758"/>
    <w:rsid w:val="00FD189C"/>
    <w:rsid w:val="00FD29E4"/>
    <w:rsid w:val="00FD56BE"/>
    <w:rsid w:val="00FE423C"/>
    <w:rsid w:val="00FE43CD"/>
    <w:rsid w:val="00FE7BED"/>
    <w:rsid w:val="00FF1A31"/>
    <w:rsid w:val="00FF2F09"/>
    <w:rsid w:val="00FF6E82"/>
    <w:rsid w:val="67D2104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2">
    <w:name w:val="heading 1"/>
    <w:basedOn w:val="1"/>
    <w:next w:val="1"/>
    <w:link w:val="23"/>
    <w:autoRedefine/>
    <w:qFormat/>
    <w:uiPriority w:val="9"/>
    <w:pPr>
      <w:keepNext/>
      <w:keepLines/>
      <w:spacing w:after="60"/>
      <w:jc w:val="center"/>
      <w:outlineLvl w:val="0"/>
    </w:pPr>
    <w:rPr>
      <w:rFonts w:eastAsia="Times New Roman"/>
      <w:b/>
      <w:bCs/>
      <w:caps/>
      <w:sz w:val="28"/>
      <w:szCs w:val="28"/>
    </w:rPr>
  </w:style>
  <w:style w:type="paragraph" w:styleId="3">
    <w:name w:val="heading 2"/>
    <w:basedOn w:val="1"/>
    <w:next w:val="1"/>
    <w:link w:val="25"/>
    <w:autoRedefine/>
    <w:unhideWhenUsed/>
    <w:qFormat/>
    <w:uiPriority w:val="9"/>
    <w:pPr>
      <w:jc w:val="center"/>
      <w:outlineLvl w:val="1"/>
    </w:pPr>
    <w:rPr>
      <w:b/>
      <w:bCs/>
      <w:caps/>
      <w:szCs w:val="26"/>
    </w:rPr>
  </w:style>
  <w:style w:type="paragraph" w:styleId="4">
    <w:name w:val="heading 3"/>
    <w:basedOn w:val="1"/>
    <w:next w:val="1"/>
    <w:link w:val="32"/>
    <w:autoRedefine/>
    <w:unhideWhenUsed/>
    <w:qFormat/>
    <w:uiPriority w:val="9"/>
    <w:pPr>
      <w:outlineLvl w:val="2"/>
    </w:pPr>
    <w:rPr>
      <w:u w:val="single"/>
    </w:rPr>
  </w:style>
  <w:style w:type="character" w:default="1" w:styleId="19">
    <w:name w:val="Default Paragraph Font"/>
    <w:semiHidden/>
    <w:unhideWhenUsed/>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autoRedefine/>
    <w:unhideWhenUsed/>
    <w:uiPriority w:val="39"/>
    <w:pPr>
      <w:spacing w:before="0" w:after="0" w:line="240" w:lineRule="auto"/>
      <w:ind w:left="1440"/>
      <w:jc w:val="left"/>
    </w:pPr>
    <w:rPr>
      <w:rFonts w:ascii="Cambria" w:hAnsi="Cambria" w:eastAsia="MS Mincho"/>
      <w:sz w:val="24"/>
      <w:szCs w:val="24"/>
    </w:rPr>
  </w:style>
  <w:style w:type="paragraph" w:styleId="6">
    <w:name w:val="toc 5"/>
    <w:basedOn w:val="1"/>
    <w:next w:val="1"/>
    <w:autoRedefine/>
    <w:unhideWhenUsed/>
    <w:uiPriority w:val="39"/>
    <w:pPr>
      <w:spacing w:before="0" w:after="0" w:line="240" w:lineRule="auto"/>
      <w:ind w:left="960"/>
      <w:jc w:val="left"/>
    </w:pPr>
    <w:rPr>
      <w:rFonts w:ascii="Cambria" w:hAnsi="Cambria" w:eastAsia="MS Mincho"/>
      <w:sz w:val="24"/>
      <w:szCs w:val="24"/>
    </w:rPr>
  </w:style>
  <w:style w:type="paragraph" w:styleId="7">
    <w:name w:val="toc 3"/>
    <w:basedOn w:val="4"/>
    <w:next w:val="1"/>
    <w:autoRedefine/>
    <w:unhideWhenUsed/>
    <w:uiPriority w:val="39"/>
    <w:pPr>
      <w:spacing w:before="60" w:after="60"/>
      <w:ind w:left="567"/>
    </w:pPr>
    <w:rPr>
      <w:caps/>
      <w:u w:val="none"/>
    </w:rPr>
  </w:style>
  <w:style w:type="paragraph" w:styleId="8">
    <w:name w:val="toc 8"/>
    <w:basedOn w:val="1"/>
    <w:next w:val="1"/>
    <w:autoRedefine/>
    <w:unhideWhenUsed/>
    <w:uiPriority w:val="39"/>
    <w:pPr>
      <w:spacing w:before="0" w:after="0" w:line="240" w:lineRule="auto"/>
      <w:ind w:left="1680"/>
      <w:jc w:val="left"/>
    </w:pPr>
    <w:rPr>
      <w:rFonts w:ascii="Cambria" w:hAnsi="Cambria" w:eastAsia="MS Mincho"/>
      <w:sz w:val="24"/>
      <w:szCs w:val="24"/>
    </w:rPr>
  </w:style>
  <w:style w:type="paragraph" w:styleId="9">
    <w:name w:val="footer"/>
    <w:basedOn w:val="1"/>
    <w:link w:val="41"/>
    <w:unhideWhenUsed/>
    <w:uiPriority w:val="99"/>
    <w:pPr>
      <w:tabs>
        <w:tab w:val="center" w:pos="4680"/>
        <w:tab w:val="right" w:pos="9360"/>
      </w:tabs>
      <w:spacing w:before="0" w:after="0" w:line="240" w:lineRule="auto"/>
    </w:pPr>
  </w:style>
  <w:style w:type="paragraph" w:styleId="10">
    <w:name w:val="header"/>
    <w:basedOn w:val="1"/>
    <w:link w:val="40"/>
    <w:unhideWhenUsed/>
    <w:uiPriority w:val="99"/>
    <w:pPr>
      <w:tabs>
        <w:tab w:val="center" w:pos="4680"/>
        <w:tab w:val="right" w:pos="9360"/>
      </w:tabs>
      <w:spacing w:before="0" w:after="0" w:line="240" w:lineRule="auto"/>
    </w:pPr>
  </w:style>
  <w:style w:type="paragraph" w:styleId="11">
    <w:name w:val="toc 1"/>
    <w:basedOn w:val="1"/>
    <w:next w:val="1"/>
    <w:autoRedefine/>
    <w:unhideWhenUsed/>
    <w:uiPriority w:val="39"/>
    <w:pPr>
      <w:spacing w:before="60" w:after="60"/>
    </w:pPr>
    <w:rPr>
      <w:caps/>
    </w:rPr>
  </w:style>
  <w:style w:type="paragraph" w:styleId="12">
    <w:name w:val="toc 4"/>
    <w:basedOn w:val="1"/>
    <w:next w:val="1"/>
    <w:autoRedefine/>
    <w:unhideWhenUsed/>
    <w:uiPriority w:val="39"/>
    <w:pPr>
      <w:spacing w:before="0" w:after="0" w:line="240" w:lineRule="auto"/>
      <w:ind w:left="720"/>
      <w:jc w:val="left"/>
    </w:pPr>
    <w:rPr>
      <w:rFonts w:ascii="Cambria" w:hAnsi="Cambria" w:eastAsia="MS Mincho"/>
      <w:sz w:val="24"/>
      <w:szCs w:val="24"/>
    </w:rPr>
  </w:style>
  <w:style w:type="paragraph" w:styleId="13">
    <w:name w:val="Subtitle"/>
    <w:basedOn w:val="1"/>
    <w:next w:val="1"/>
    <w:link w:val="38"/>
    <w:autoRedefine/>
    <w:qFormat/>
    <w:uiPriority w:val="11"/>
    <w:pPr>
      <w:jc w:val="center"/>
    </w:pPr>
    <w:rPr>
      <w:rFonts w:ascii="Calibri" w:hAnsi="Calibri" w:eastAsia="Times New Roman"/>
      <w:i/>
      <w:szCs w:val="24"/>
      <w:lang w:val="en-GB" w:eastAsia="ko-KR"/>
    </w:rPr>
  </w:style>
  <w:style w:type="paragraph" w:styleId="14">
    <w:name w:val="toc 6"/>
    <w:basedOn w:val="1"/>
    <w:next w:val="1"/>
    <w:autoRedefine/>
    <w:unhideWhenUsed/>
    <w:uiPriority w:val="39"/>
    <w:pPr>
      <w:spacing w:before="0" w:after="0" w:line="240" w:lineRule="auto"/>
      <w:ind w:left="1200"/>
      <w:jc w:val="left"/>
    </w:pPr>
    <w:rPr>
      <w:rFonts w:ascii="Cambria" w:hAnsi="Cambria" w:eastAsia="MS Mincho"/>
      <w:sz w:val="24"/>
      <w:szCs w:val="24"/>
    </w:rPr>
  </w:style>
  <w:style w:type="paragraph" w:styleId="15">
    <w:name w:val="toc 2"/>
    <w:basedOn w:val="3"/>
    <w:next w:val="1"/>
    <w:autoRedefine/>
    <w:unhideWhenUsed/>
    <w:uiPriority w:val="39"/>
    <w:pPr>
      <w:spacing w:before="60" w:after="60"/>
      <w:ind w:left="284"/>
      <w:jc w:val="left"/>
      <w:outlineLvl w:val="0"/>
    </w:pPr>
    <w:rPr>
      <w:b w:val="0"/>
    </w:rPr>
  </w:style>
  <w:style w:type="paragraph" w:styleId="16">
    <w:name w:val="toc 9"/>
    <w:basedOn w:val="1"/>
    <w:next w:val="1"/>
    <w:autoRedefine/>
    <w:unhideWhenUsed/>
    <w:uiPriority w:val="39"/>
    <w:pPr>
      <w:spacing w:before="0" w:after="0" w:line="240" w:lineRule="auto"/>
      <w:ind w:left="1920"/>
      <w:jc w:val="left"/>
    </w:pPr>
    <w:rPr>
      <w:rFonts w:ascii="Cambria" w:hAnsi="Cambria" w:eastAsia="MS Mincho"/>
      <w:sz w:val="24"/>
      <w:szCs w:val="24"/>
    </w:rPr>
  </w:style>
  <w:style w:type="paragraph" w:styleId="17">
    <w:name w:val="Title"/>
    <w:basedOn w:val="1"/>
    <w:next w:val="1"/>
    <w:link w:val="39"/>
    <w:autoRedefine/>
    <w:qFormat/>
    <w:uiPriority w:val="10"/>
    <w:pPr>
      <w:jc w:val="center"/>
    </w:pPr>
    <w:rPr>
      <w:rFonts w:ascii="Calibri" w:hAnsi="Calibri" w:eastAsia="Times New Roman"/>
      <w:b/>
      <w:bCs/>
      <w:caps/>
      <w:kern w:val="28"/>
      <w:sz w:val="28"/>
      <w:szCs w:val="32"/>
      <w:lang w:val="en-GB" w:eastAsia="ko-KR"/>
    </w:rPr>
  </w:style>
  <w:style w:type="character" w:styleId="20">
    <w:name w:val="page number"/>
    <w:semiHidden/>
    <w:unhideWhenUsed/>
    <w:uiPriority w:val="99"/>
  </w:style>
  <w:style w:type="character" w:styleId="21">
    <w:name w:val="Hyperlink"/>
    <w:unhideWhenUsed/>
    <w:uiPriority w:val="99"/>
    <w:rPr>
      <w:color w:val="0000FF"/>
      <w:u w:val="single"/>
    </w:rPr>
  </w:style>
  <w:style w:type="paragraph" w:customStyle="1" w:styleId="22">
    <w:name w:val="CIL 1 Heading"/>
    <w:basedOn w:val="2"/>
    <w:autoRedefine/>
    <w:qFormat/>
    <w:uiPriority w:val="0"/>
    <w:pPr>
      <w:keepLines w:val="0"/>
      <w:outlineLvl w:val="9"/>
    </w:pPr>
    <w:rPr>
      <w:rFonts w:eastAsia="Batang" w:cs="Arial"/>
      <w:caps w:val="0"/>
      <w:kern w:val="32"/>
      <w:szCs w:val="32"/>
      <w:lang w:val="en-GB" w:eastAsia="ko-KR"/>
    </w:rPr>
  </w:style>
  <w:style w:type="character" w:customStyle="1" w:styleId="23">
    <w:name w:val="Heading 1 Char"/>
    <w:link w:val="2"/>
    <w:uiPriority w:val="9"/>
    <w:rPr>
      <w:rFonts w:ascii="Arial" w:hAnsi="Arial" w:eastAsia="Times New Roman" w:cs="Times New Roman"/>
      <w:b/>
      <w:bCs/>
      <w:caps/>
      <w:sz w:val="28"/>
      <w:szCs w:val="28"/>
    </w:rPr>
  </w:style>
  <w:style w:type="paragraph" w:customStyle="1" w:styleId="24">
    <w:name w:val="CIL 2 Heading"/>
    <w:basedOn w:val="3"/>
    <w:autoRedefine/>
    <w:uiPriority w:val="0"/>
    <w:rPr>
      <w:rFonts w:eastAsia="Batang" w:cs="Arial"/>
      <w:b w:val="0"/>
      <w:iCs/>
      <w:caps w:val="0"/>
      <w:szCs w:val="28"/>
      <w:lang w:val="en-GB" w:eastAsia="ko-KR"/>
    </w:rPr>
  </w:style>
  <w:style w:type="character" w:customStyle="1" w:styleId="25">
    <w:name w:val="Heading 2 Char"/>
    <w:link w:val="3"/>
    <w:qFormat/>
    <w:uiPriority w:val="9"/>
    <w:rPr>
      <w:rFonts w:ascii="Arial" w:hAnsi="Arial"/>
      <w:b/>
      <w:bCs/>
      <w:caps/>
      <w:szCs w:val="26"/>
    </w:rPr>
  </w:style>
  <w:style w:type="paragraph" w:customStyle="1" w:styleId="26">
    <w:name w:val="CIL Footer"/>
    <w:basedOn w:val="1"/>
    <w:link w:val="27"/>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27">
    <w:name w:val="CIL Footer Char"/>
    <w:link w:val="26"/>
    <w:qFormat/>
    <w:uiPriority w:val="0"/>
    <w:rPr>
      <w:rFonts w:ascii="Arial" w:hAnsi="Arial" w:eastAsia="Batang" w:cs="Arial"/>
      <w:color w:val="808080"/>
      <w:sz w:val="16"/>
      <w:szCs w:val="16"/>
      <w:lang w:val="en-GB" w:eastAsia="ko-KR"/>
    </w:rPr>
  </w:style>
  <w:style w:type="paragraph" w:customStyle="1" w:styleId="28">
    <w:name w:val="CIL paragraph"/>
    <w:basedOn w:val="1"/>
    <w:autoRedefine/>
    <w:qFormat/>
    <w:uiPriority w:val="0"/>
    <w:pPr>
      <w:contextualSpacing/>
    </w:pPr>
    <w:rPr>
      <w:rFonts w:eastAsia="Batang" w:cs="Arial"/>
      <w:szCs w:val="24"/>
      <w:lang w:val="en-GB" w:eastAsia="ko-KR"/>
    </w:rPr>
  </w:style>
  <w:style w:type="paragraph" w:customStyle="1" w:styleId="29">
    <w:name w:val="CIL Subtitle"/>
    <w:basedOn w:val="1"/>
    <w:link w:val="30"/>
    <w:autoRedefine/>
    <w:qFormat/>
    <w:uiPriority w:val="0"/>
    <w:pPr>
      <w:jc w:val="center"/>
    </w:pPr>
    <w:rPr>
      <w:rFonts w:eastAsia="Batang" w:cs="Arial"/>
      <w:i/>
      <w:szCs w:val="24"/>
      <w:lang w:val="en-GB" w:eastAsia="ko-KR"/>
    </w:rPr>
  </w:style>
  <w:style w:type="character" w:customStyle="1" w:styleId="30">
    <w:name w:val="CIL Subtitle Char"/>
    <w:link w:val="29"/>
    <w:uiPriority w:val="0"/>
    <w:rPr>
      <w:rFonts w:ascii="Arial" w:hAnsi="Arial" w:eastAsia="Batang" w:cs="Arial"/>
      <w:i/>
      <w:szCs w:val="24"/>
      <w:lang w:eastAsia="ko-KR"/>
    </w:rPr>
  </w:style>
  <w:style w:type="paragraph" w:customStyle="1" w:styleId="31">
    <w:name w:val="CIL Title"/>
    <w:basedOn w:val="1"/>
    <w:autoRedefine/>
    <w:qFormat/>
    <w:uiPriority w:val="0"/>
    <w:pPr>
      <w:jc w:val="center"/>
    </w:pPr>
    <w:rPr>
      <w:rFonts w:eastAsia="Batang" w:cs="Arial"/>
      <w:b/>
      <w:bCs/>
      <w:caps/>
      <w:kern w:val="32"/>
      <w:sz w:val="28"/>
      <w:szCs w:val="32"/>
      <w:lang w:val="en-GB" w:eastAsia="ko-KR"/>
    </w:rPr>
  </w:style>
  <w:style w:type="character" w:customStyle="1" w:styleId="32">
    <w:name w:val="Heading 3 Char"/>
    <w:link w:val="4"/>
    <w:uiPriority w:val="9"/>
    <w:rPr>
      <w:rFonts w:ascii="Arial" w:hAnsi="Arial"/>
      <w:u w:val="single"/>
      <w:lang w:val="en-US" w:eastAsia="en-US"/>
    </w:rPr>
  </w:style>
  <w:style w:type="paragraph" w:customStyle="1" w:styleId="33">
    <w:name w:val="CIL L1 TOC"/>
    <w:basedOn w:val="11"/>
    <w:autoRedefine/>
    <w:uiPriority w:val="0"/>
    <w:pPr>
      <w:tabs>
        <w:tab w:val="right" w:leader="dot" w:pos="9350"/>
      </w:tabs>
      <w:spacing w:before="120" w:after="120" w:line="360" w:lineRule="auto"/>
    </w:pPr>
    <w:rPr>
      <w:rFonts w:cs="Arial"/>
    </w:rPr>
  </w:style>
  <w:style w:type="paragraph" w:customStyle="1" w:styleId="34">
    <w:name w:val="Style1"/>
    <w:basedOn w:val="15"/>
    <w:autoRedefine/>
    <w:uiPriority w:val="0"/>
    <w:pPr>
      <w:tabs>
        <w:tab w:val="right" w:leader="dot" w:pos="9350"/>
      </w:tabs>
      <w:spacing w:line="360" w:lineRule="auto"/>
      <w:ind w:left="202"/>
    </w:pPr>
    <w:rPr>
      <w:rFonts w:cs="Arial"/>
    </w:rPr>
  </w:style>
  <w:style w:type="paragraph" w:customStyle="1" w:styleId="35">
    <w:name w:val="CIL L2 TOC"/>
    <w:basedOn w:val="15"/>
    <w:autoRedefine/>
    <w:uiPriority w:val="0"/>
    <w:pPr>
      <w:tabs>
        <w:tab w:val="right" w:leader="dot" w:pos="9350"/>
      </w:tabs>
      <w:spacing w:line="360" w:lineRule="auto"/>
      <w:ind w:left="202"/>
    </w:pPr>
    <w:rPr>
      <w:rFonts w:cs="Arial"/>
    </w:rPr>
  </w:style>
  <w:style w:type="paragraph" w:customStyle="1" w:styleId="36">
    <w:name w:val="CIL Paragraph"/>
    <w:basedOn w:val="1"/>
    <w:next w:val="1"/>
    <w:autoRedefine/>
    <w:uiPriority w:val="0"/>
  </w:style>
  <w:style w:type="paragraph" w:customStyle="1" w:styleId="37">
    <w:name w:val="CIL Main"/>
    <w:autoRedefine/>
    <w:uiPriority w:val="0"/>
    <w:pPr>
      <w:spacing w:before="240" w:after="120" w:line="276" w:lineRule="auto"/>
      <w:jc w:val="both"/>
    </w:pPr>
    <w:rPr>
      <w:rFonts w:ascii="Arial" w:hAnsi="Arial" w:eastAsia="Calibri" w:cs="Times New Roman"/>
      <w:lang w:val="en-US" w:eastAsia="en-US" w:bidi="ar-SA"/>
    </w:rPr>
  </w:style>
  <w:style w:type="character" w:customStyle="1" w:styleId="38">
    <w:name w:val="Subtitle Char"/>
    <w:link w:val="13"/>
    <w:uiPriority w:val="11"/>
    <w:rPr>
      <w:rFonts w:eastAsia="Times New Roman" w:cs="Times New Roman"/>
      <w:i/>
      <w:szCs w:val="24"/>
      <w:lang w:val="en-GB" w:eastAsia="ko-KR"/>
    </w:rPr>
  </w:style>
  <w:style w:type="character" w:customStyle="1" w:styleId="39">
    <w:name w:val="Title Char"/>
    <w:link w:val="17"/>
    <w:uiPriority w:val="10"/>
    <w:rPr>
      <w:rFonts w:eastAsia="Times New Roman" w:cs="Times New Roman"/>
      <w:b/>
      <w:bCs/>
      <w:caps/>
      <w:kern w:val="28"/>
      <w:sz w:val="28"/>
      <w:szCs w:val="32"/>
      <w:lang w:val="en-GB" w:eastAsia="ko-KR"/>
    </w:rPr>
  </w:style>
  <w:style w:type="character" w:customStyle="1" w:styleId="40">
    <w:name w:val="Header Char"/>
    <w:link w:val="10"/>
    <w:uiPriority w:val="99"/>
    <w:rPr>
      <w:rFonts w:ascii="Arial" w:hAnsi="Arial"/>
    </w:rPr>
  </w:style>
  <w:style w:type="character" w:customStyle="1" w:styleId="41">
    <w:name w:val="Footer Char"/>
    <w:link w:val="9"/>
    <w:uiPriority w:val="99"/>
    <w:rPr>
      <w:rFonts w:ascii="Arial" w:hAnsi="Arial"/>
    </w:rPr>
  </w:style>
  <w:style w:type="paragraph" w:customStyle="1" w:styleId="42">
    <w:name w:val="TOC Heading"/>
    <w:basedOn w:val="2"/>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lmsh\Desktop\FORMATTING%20TEAM%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1B9D3-67DF-453B-A961-8D8425663E6C}">
  <ds:schemaRefs/>
</ds:datastoreItem>
</file>

<file path=docProps/app.xml><?xml version="1.0" encoding="utf-8"?>
<Properties xmlns="http://schemas.openxmlformats.org/officeDocument/2006/extended-properties" xmlns:vt="http://schemas.openxmlformats.org/officeDocument/2006/docPropsVTypes">
  <Template>FORMATTING TEAM TEMPLATE 2</Template>
  <Pages>5</Pages>
  <Words>2856</Words>
  <Characters>15525</Characters>
  <Lines>146</Lines>
  <Paragraphs>41</Paragraphs>
  <TotalTime>116</TotalTime>
  <ScaleCrop>false</ScaleCrop>
  <LinksUpToDate>false</LinksUpToDate>
  <CharactersWithSpaces>18209</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2018-06-26T04:06:00Z</dcterms:created>
  <dc:creator>Muhammad Shahul Hamid Bin Abdul Razak</dc:creator>
  <cp:lastModifiedBy>Patrick</cp:lastModifiedBy>
  <cp:lastPrinted>2018-06-26T04:06:00Z</cp:lastPrinted>
  <dcterms:modified xsi:type="dcterms:W3CDTF">2025-07-28T13:25:56Z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284F7539FAB7481AB553C5F12324CCF1_12</vt:lpwstr>
  </property>
</Properties>
</file>