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A950B0">
      <w:pPr>
        <w:pStyle w:val="32"/>
        <w:rPr>
          <w:rFonts w:hint="eastAsia" w:eastAsia="宋体"/>
          <w:lang w:val="en-US" w:eastAsia="zh-CN"/>
        </w:rPr>
      </w:pPr>
      <w:r>
        <w:t>1992 AGREEMENT ON THE COMMON EFFECTIVE PREFERENTIAL TARIFF SCHEME FOR THE ASEAN FREE TRADE ARE</w:t>
      </w:r>
      <w:r>
        <w:rPr>
          <w:rFonts w:hint="eastAsia" w:eastAsia="宋体"/>
          <w:lang w:val="en-US" w:eastAsia="zh-CN"/>
        </w:rPr>
        <w:t>A</w:t>
      </w:r>
      <w:bookmarkStart w:id="0" w:name="_Toc472415605"/>
      <w:bookmarkStart w:id="1" w:name="_Toc518297271"/>
      <w:bookmarkStart w:id="2" w:name="_Toc517701144"/>
    </w:p>
    <w:bookmarkEnd w:id="0"/>
    <w:bookmarkEnd w:id="1"/>
    <w:bookmarkEnd w:id="2"/>
    <w:p w14:paraId="2370EA41">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w:t>
      </w:r>
      <w:bookmarkStart w:id="3" w:name="_GoBack"/>
      <w:bookmarkEnd w:id="3"/>
      <w:r>
        <w:t xml:space="preserve">All Member States shall participate in the CEPT Scheme. </w:t>
      </w:r>
    </w:p>
    <w:p w14:paraId="021DC208">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w:t>
      </w:r>
      <w:r>
        <w:t xml:space="preserve">Identification of products to be included in the CEPT Scheme shall be on a sectoral basis, i.e., at HS 6-digit level. </w:t>
      </w:r>
    </w:p>
    <w:p w14:paraId="29ADA43A">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w:t>
      </w:r>
      <w:r>
        <w:t xml:space="preserve">Exclusions at the HS 8/9 digit level for specific products are permitted for those Member States, which are temporarily not ready to include such products in the CEPT Scheme. For specific products, which are sensitive to a Member State, pursuant to Article 1 (3) of the Framework Agreement on Enhancing ASEAN Economic Cooperation, a Member State may exclude products from the CEPT Scheme, subject to a waiver of any concession herein provided for such products. A review of this Agreement shall be carried out in the eighth year to decide on the final Exclusion List or any amendment to this Agreement. </w:t>
      </w:r>
    </w:p>
    <w:p w14:paraId="619A573D">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4.</w:t>
      </w:r>
      <w:r>
        <w:t xml:space="preserve">A product shall be deemed to be originating from ASEAN Member States, if at least 40% of its content originates from any Member State. </w:t>
      </w:r>
    </w:p>
    <w:p w14:paraId="57C01151">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5.</w:t>
      </w:r>
      <w:r>
        <w:t>All manufactured products, including capital goods, processed agricultural products and those products falling outside the definition of agricultural products, as set out in this Agreement, shall be in the CEPT Scheme. These products shall automatically be subject to the schedule of tariff reduction, as set out in Article 4 of this Agreement. In respect of PTA items, the schedule of tariff reduction provided for in Article 4 of this Agreement shall be applied, taking into account the tariff rate after the application of the existing margin of preference (MOP) as at 31 December 1992.</w:t>
      </w:r>
    </w:p>
    <w:p w14:paraId="419F6B1F">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6.</w:t>
      </w:r>
      <w:r>
        <w:t xml:space="preserve">All products under the PTA which are not transferred to the CEPT Scheme shall continue to enjoy the MOP existing as at 31 December 1992. </w:t>
      </w:r>
    </w:p>
    <w:p w14:paraId="13D52F06">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7.</w:t>
      </w:r>
      <w:r>
        <w:t xml:space="preserve">Member States, whose tariffs for the agreed products are reduced from 20% and below to 0%-5%, even though granted on an MFN basis, shall still enjoy concessions. Member States with tariff rates at MFN rates of 0%-5% shall be deemed to have satisfied the obligations under this Agreement and shall also enjoy the concessions. </w:t>
      </w:r>
    </w:p>
    <w:p w14:paraId="5C127FBB">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8.</w:t>
      </w:r>
      <w:r>
        <w:t xml:space="preserve">This Agreement shall apply to all manufactured products, including capital goods, processed agricultural products, and those products failing outside the definition of agricultural products as set out in this Agreement. Agricultural products shall be excluded from the CEPT Scheme. </w:t>
      </w:r>
    </w:p>
    <w:p w14:paraId="362A46FD">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9.</w:t>
      </w:r>
      <w:r>
        <w:t xml:space="preserve">Member States agree to the following schedule of effective preferential tariff reductions: The reduction from existing tariff rates to 20% shall be done within a time frame of 5 years to 8 years, from 1 January 1993, subject to a programme of reduction to be decided by each Member State, which shall be announced at the start of the programme. Member States are encouraged to adopt an annual rate of reduction, which shall be (X-20)%/5 or 8, where X equals the existing tariff rates of individual Member States. </w:t>
      </w:r>
    </w:p>
    <w:p w14:paraId="3D26B3EA">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10.</w:t>
      </w:r>
      <w:r>
        <w:t xml:space="preserve">The subsequent reduction of tariff rates from 20% or below shall be done within a time frame of 7 years. The rate of reduction shall be at a minimum of 5% quantum per reduction. A programme of reduction to be decided by each Member State shall be announced at the start of the programme. </w:t>
      </w:r>
    </w:p>
    <w:p w14:paraId="4298CC1A">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11.</w:t>
      </w:r>
      <w:r>
        <w:t xml:space="preserve">For products with existing tariff rates of 20% or below as at 1 January 1993, Member States shall decide upon a programme of tariff reductions, and announce at the start, the schedule of tariff reductions. Two or more Member States may enter into arrangements for tariff reduction to 0%-5% on specific products at an accelerated pace to be announced at the start of the programme. </w:t>
      </w:r>
    </w:p>
    <w:p w14:paraId="18779C7F">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12.</w:t>
      </w:r>
      <w:r>
        <w:t xml:space="preserve">Subject to Articles 4 (1) (b) and 4 (1) (c) of this Agreement, products which reach, or are at tariff rates of 20% or below, shall automatically enjoy the concessions. </w:t>
      </w:r>
    </w:p>
    <w:p w14:paraId="26A94BB1">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13.</w:t>
      </w:r>
      <w:r>
        <w:t xml:space="preserve">The above schedules of tariff reduction shall not prevent Member States from immediately reducing their tariffs to 0%-5% or following an accelerated schedule of tariff reduction. </w:t>
      </w:r>
    </w:p>
    <w:p w14:paraId="7EAFFCBD">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14.</w:t>
      </w:r>
      <w:r>
        <w:t xml:space="preserve">Member States shall eliminate all quantitative restrictions in respect of products under the CEPT Scheme upon enjoyment of the concessions applicable to those products. </w:t>
      </w:r>
    </w:p>
    <w:p w14:paraId="43A16D4C">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15.</w:t>
      </w:r>
      <w:r>
        <w:t xml:space="preserve">Member States shall eliminate other non-tariff barriers on a gradual basis within a period of 5 years after the enjoyment of concessions applicable to those products. </w:t>
      </w:r>
    </w:p>
    <w:p w14:paraId="724D07C9">
      <w:pPr>
        <w:numPr>
          <w:ilvl w:val="0"/>
          <w:numId w:val="0"/>
        </w:numPr>
        <w:ind w:left="425" w:leftChars="0" w:hanging="425" w:firstLineChars="0"/>
      </w:pPr>
      <w:r>
        <w:rPr>
          <w:rFonts w:hint="default" w:ascii="Arial" w:hAnsi="Arial" w:eastAsia="Calibri" w:cs="Times New Roman"/>
          <w:lang w:val="en-US" w:eastAsia="en-US" w:bidi="ar-SA"/>
        </w:rPr>
        <w:t>16.</w:t>
      </w:r>
      <w:r>
        <w:t xml:space="preserve">Member States shall make exceptions to their foreign exchange restrictions relating to payments for the products under the CEPT Scheme, as well as repatriation of such payments without prejudice to their rights under Article XVIII of the General Agreement on Tariff and Trade (GATT) and relevant provisions of the Articles of Agreement of the International Monetary Fund (IMF). </w:t>
      </w:r>
    </w:p>
    <w:p w14:paraId="5174B9AE">
      <w:pPr>
        <w:numPr>
          <w:ilvl w:val="0"/>
          <w:numId w:val="0"/>
        </w:numPr>
        <w:ind w:left="425" w:leftChars="0" w:hanging="425" w:firstLineChars="0"/>
      </w:pPr>
      <w:r>
        <w:rPr>
          <w:rFonts w:hint="default" w:ascii="Arial" w:hAnsi="Arial" w:eastAsia="Calibri" w:cs="Times New Roman"/>
          <w:lang w:val="en-US" w:eastAsia="en-US" w:bidi="ar-SA"/>
        </w:rPr>
        <w:t>17.</w:t>
      </w:r>
      <w:r>
        <w:t xml:space="preserve">Member States shall explore further measures on border and non-border areas of cooperation to supplement and complement the liberalisation of trade. These may include, among others, the harmonisation of standards, reciprocal recognition of tests and certification of products, removal of barriers to foreign investments, macroeconomic consultations, rules for fair competition, and promotion of venture capital. </w:t>
      </w:r>
    </w:p>
    <w:p w14:paraId="4C9588F8">
      <w:pPr>
        <w:numPr>
          <w:ilvl w:val="0"/>
          <w:numId w:val="0"/>
        </w:numPr>
        <w:ind w:left="425" w:leftChars="0" w:hanging="425" w:firstLineChars="0"/>
      </w:pPr>
      <w:r>
        <w:rPr>
          <w:rFonts w:hint="default" w:ascii="Arial" w:hAnsi="Arial" w:eastAsia="Calibri" w:cs="Times New Roman"/>
          <w:lang w:val="en-US" w:eastAsia="en-US" w:bidi="ar-SA"/>
        </w:rPr>
        <w:t>18.</w:t>
      </w:r>
      <w:r>
        <w:t xml:space="preserve">Member States shall not nullify or impair any of the concessions as agreed upon through the application of methods of customs valuation, any new charges or measures restricting trade, except in cases provided for in this Agreement. </w:t>
      </w:r>
    </w:p>
    <w:p w14:paraId="654D75A6">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19.</w:t>
      </w:r>
      <w:r>
        <w:t xml:space="preserve">If, as a result of the implementation of this Agreement, import of a particular product eligible under the CEPT Scheme is increasing in such a manner as to cause or threaten to cause serious injury to sectors producing like or directly competitive products in the importing Member States, the importing Member States may, to the extent and for such time as may be necessary to prevent or to remedy such injury, suspend preferences provisionally and without discrimination, subject to Article 6 (3) of this Agreement. Such suspension of preferences shall be consistent with the GATT. </w:t>
      </w:r>
    </w:p>
    <w:p w14:paraId="48EE0E76">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20.</w:t>
      </w:r>
      <w:r>
        <w:t xml:space="preserve">Without prejudice to existing international obligations, a Member State, which finds it necessary to create or intensify quantitative restrictions or other measures limiting imports with a view to forestalling the threat of or stopping a serious decline of its monetary reserves, shall endeavour to do so in a manner, which safeguards the value of the concessions agreed upon. </w:t>
      </w:r>
    </w:p>
    <w:p w14:paraId="746AC14E">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21.</w:t>
      </w:r>
      <w:r>
        <w:t xml:space="preserve">Where emergency measures are taken pursuant to this Article, immediate notice of such action shall be given to the Council referred to in Article 7 of this Agreement, and such action may be the subject of consultation as provided for in Article 8 of this Agreement. </w:t>
      </w:r>
    </w:p>
    <w:p w14:paraId="34856188">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22.</w:t>
      </w:r>
      <w:r>
        <w:t xml:space="preserve">The ASEAN Economic Ministers (AEM) shall, for the purposes of this Agreement, establish a ministerial-level Council comprising one nominee from each Member State and the Secretary-General of the ASEAN Secretariat. The ASEAN Secretariat shall provide the support to the ministerial-level Council for supervising, coordinating and reviewing the implementation of this Agreement, and assisting the AEM in all matters relating thereto. In the performance of its functions, the ministerial-level Council shall also be supported by the Senior Economic Officials' Meeting (SEOM). </w:t>
      </w:r>
    </w:p>
    <w:p w14:paraId="1DF63E96">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23.</w:t>
      </w:r>
      <w:r>
        <w:t xml:space="preserve">Member States which enter into bilateral arrangements on tariff reductions pursuant to Article 4 of this Agreement shall notify all other Member States and the ASEAN Secretariat of such arrangements. </w:t>
      </w:r>
    </w:p>
    <w:p w14:paraId="086B347D">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24.</w:t>
      </w:r>
      <w:r>
        <w:t xml:space="preserve">The ASEAN Secretariat shall monitor and report to the SEOM on the implementation of the Agreement pursuant to the Article III (2) (8) of the Agreement on the Establishment of the ASEAN Secretariat. Member States shall cooperate with the ASEAN Secretariat in the performance of its duties. </w:t>
      </w:r>
    </w:p>
    <w:p w14:paraId="3296716F">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25.</w:t>
      </w:r>
      <w:r>
        <w:t xml:space="preserve">Member States shall accord adequate opportunity for consultations regarding any representations made by other Member States with respect to any matter affecting the implementation of this Agreement. The Council referred to in Article 7 of this Agreement, may seek guidance from the AEM in respect of any matter for which it has not been possible to find a satisfactory solution during previous consultations. </w:t>
      </w:r>
    </w:p>
    <w:p w14:paraId="6433F38D">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26.</w:t>
      </w:r>
      <w:r>
        <w:t xml:space="preserve">Member States, which consider that any other Member State has not carried out its obligations under this Agreement, resulting in the nullifications or impairment of any benefit accruing to them, may, with a view to achieving satisfactory adjustment of the matter, make representations or proposal to the other Member States concerned, which shall give due consideration to the representations or proposal made to it. </w:t>
      </w:r>
    </w:p>
    <w:p w14:paraId="31EB46F6">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27.</w:t>
      </w:r>
      <w:r>
        <w:t xml:space="preserve">Any differences between the Member States concerning the interpretation or application of this Agreement shall, as far as possible, be settled amicably between the parties. If such differences cannot be settled amicably, it shall be submitted to the Council referred to in Article 7 of this Agreement, and if necessary, to the AEM. </w:t>
      </w:r>
    </w:p>
    <w:p w14:paraId="4D060AD0">
      <w:pPr>
        <w:numPr>
          <w:ilvl w:val="0"/>
          <w:numId w:val="0"/>
        </w:numPr>
        <w:ind w:left="425" w:leftChars="0" w:hanging="425" w:firstLineChars="0"/>
      </w:pPr>
      <w:r>
        <w:rPr>
          <w:rFonts w:hint="default" w:ascii="Arial" w:hAnsi="Arial" w:eastAsia="Calibri" w:cs="Times New Roman"/>
          <w:lang w:val="en-US" w:eastAsia="en-US" w:bidi="ar-SA"/>
        </w:rPr>
        <w:t>28.</w:t>
      </w:r>
      <w:r>
        <w:t xml:space="preserve">Nothing in this Agreement shall prevent any Member State from taking action and adopting measures, which it considers necessary for the protection of its national security, the protection of public morals, the protection of human, animal or plant life and health, and the protection of articles of artistic, historic and archaeological value. </w:t>
      </w:r>
    </w:p>
    <w:p w14:paraId="4A3B8680">
      <w:pPr>
        <w:numPr>
          <w:ilvl w:val="0"/>
          <w:numId w:val="0"/>
        </w:numPr>
        <w:ind w:left="425" w:leftChars="0" w:hanging="425" w:firstLineChars="0"/>
      </w:pPr>
      <w:r>
        <w:rPr>
          <w:rFonts w:hint="default" w:ascii="Arial" w:hAnsi="Arial" w:eastAsia="Calibri" w:cs="Times New Roman"/>
          <w:lang w:val="en-US" w:eastAsia="en-US" w:bidi="ar-SA"/>
        </w:rPr>
        <w:t>29.</w:t>
      </w:r>
      <w:r>
        <w:t xml:space="preserve">The respective Governments of Member States shall undertake the appropriate measures to fulfill the agreed obligations arising from this Agreement. </w:t>
      </w:r>
    </w:p>
    <w:p w14:paraId="70E8D232">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30.</w:t>
      </w:r>
      <w:r>
        <w:t xml:space="preserve">Any amendment to this Agreement shall be made by consensus and shall become effective upon acceptance by all Member States. </w:t>
      </w:r>
    </w:p>
    <w:p w14:paraId="6B4C5DB8">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31.</w:t>
      </w:r>
      <w:r>
        <w:t xml:space="preserve">This Agreement shall be effective upon signing. </w:t>
      </w:r>
    </w:p>
    <w:p w14:paraId="6949AE2A">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32.</w:t>
      </w:r>
      <w:r>
        <w:t xml:space="preserve">This Agreement shall be deposited with the Secretary-General of the ASEAN Secretariat, who shall likewise promptly furnish a certified copy thereof to each Member State. </w:t>
      </w:r>
    </w:p>
    <w:p w14:paraId="4A81C088">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33.</w:t>
      </w:r>
      <w:r>
        <w:t xml:space="preserve">No reservation shall be made with respect to any of the provisions of this Agreement. </w:t>
      </w:r>
    </w:p>
    <w:p w14:paraId="42D0C9F3">
      <w:pPr>
        <w:jc w:val="left"/>
      </w:pPr>
    </w:p>
    <w:p w14:paraId="3EB8CB2B"/>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59425C">
    <w:pPr>
      <w:pStyle w:val="10"/>
      <w:tabs>
        <w:tab w:val="right" w:pos="8931"/>
        <w:tab w:val="clear" w:pos="9360"/>
      </w:tabs>
      <w:jc w:val="right"/>
    </w:pPr>
  </w:p>
  <w:p w14:paraId="3ACE9836">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7</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7</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D9781E">
    <w:pPr>
      <w:pStyle w:val="10"/>
      <w:tabs>
        <w:tab w:val="right" w:pos="8931"/>
        <w:tab w:val="clear" w:pos="9360"/>
      </w:tabs>
      <w:jc w:val="right"/>
    </w:pPr>
  </w:p>
  <w:p w14:paraId="663FC76F">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FA3FFB">
    <w:pPr>
      <w:pStyle w:val="11"/>
      <w:pBdr>
        <w:bottom w:val="single" w:color="auto" w:sz="4" w:space="1"/>
      </w:pBdr>
    </w:pPr>
    <w:r>
      <w:rPr>
        <w:rFonts w:cs="Arial"/>
        <w:caps/>
        <w:color w:val="808080"/>
        <w:sz w:val="16"/>
        <w:szCs w:val="16"/>
      </w:rPr>
      <w:t>1992 AGREEMENT ON THE CEPT SCHEME FOR THE ASEAN FREE TRADE AREA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662"/>
    <w:rsid w:val="00000FB0"/>
    <w:rsid w:val="00002446"/>
    <w:rsid w:val="000034A4"/>
    <w:rsid w:val="000043E5"/>
    <w:rsid w:val="00011723"/>
    <w:rsid w:val="00013D73"/>
    <w:rsid w:val="000173F4"/>
    <w:rsid w:val="00022AE1"/>
    <w:rsid w:val="00023AFA"/>
    <w:rsid w:val="00025831"/>
    <w:rsid w:val="000260A8"/>
    <w:rsid w:val="00032218"/>
    <w:rsid w:val="00032623"/>
    <w:rsid w:val="000326EE"/>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0273"/>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709"/>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3004"/>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47FA"/>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2D3"/>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4329"/>
    <w:rsid w:val="006D61E5"/>
    <w:rsid w:val="006D6826"/>
    <w:rsid w:val="006D6EAA"/>
    <w:rsid w:val="006D6FA4"/>
    <w:rsid w:val="006E03F3"/>
    <w:rsid w:val="006E4F21"/>
    <w:rsid w:val="006E6F86"/>
    <w:rsid w:val="006F14AC"/>
    <w:rsid w:val="006F231A"/>
    <w:rsid w:val="006F7662"/>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54645"/>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201D"/>
    <w:rsid w:val="00916941"/>
    <w:rsid w:val="009217B0"/>
    <w:rsid w:val="00921DB5"/>
    <w:rsid w:val="00923519"/>
    <w:rsid w:val="00926EA3"/>
    <w:rsid w:val="009303E7"/>
    <w:rsid w:val="00933064"/>
    <w:rsid w:val="00935B08"/>
    <w:rsid w:val="009440E2"/>
    <w:rsid w:val="0095406B"/>
    <w:rsid w:val="00956C40"/>
    <w:rsid w:val="00957449"/>
    <w:rsid w:val="009630A1"/>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202C"/>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66FA"/>
    <w:rsid w:val="00BA7E2B"/>
    <w:rsid w:val="00BB2E42"/>
    <w:rsid w:val="00BB5610"/>
    <w:rsid w:val="00BC5DE2"/>
    <w:rsid w:val="00BD1600"/>
    <w:rsid w:val="00BD2E28"/>
    <w:rsid w:val="00BD36A4"/>
    <w:rsid w:val="00BD3EF7"/>
    <w:rsid w:val="00BD7A84"/>
    <w:rsid w:val="00BE0B41"/>
    <w:rsid w:val="00BE0D36"/>
    <w:rsid w:val="00BE21D1"/>
    <w:rsid w:val="00BE47F3"/>
    <w:rsid w:val="00BE4E55"/>
    <w:rsid w:val="00BF3AB0"/>
    <w:rsid w:val="00BF4B64"/>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DF7680"/>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49994D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4"/>
    <w:autoRedefine/>
    <w:qFormat/>
    <w:uiPriority w:val="9"/>
    <w:pPr>
      <w:keepNext/>
      <w:keepLines/>
      <w:jc w:val="center"/>
      <w:outlineLvl w:val="0"/>
    </w:pPr>
    <w:rPr>
      <w:rFonts w:eastAsia="Times New Roman"/>
      <w:b/>
      <w:bCs/>
      <w:caps/>
      <w:sz w:val="28"/>
      <w:szCs w:val="28"/>
    </w:rPr>
  </w:style>
  <w:style w:type="paragraph" w:styleId="3">
    <w:name w:val="heading 2"/>
    <w:basedOn w:val="1"/>
    <w:next w:val="1"/>
    <w:link w:val="26"/>
    <w:autoRedefine/>
    <w:unhideWhenUsed/>
    <w:qFormat/>
    <w:uiPriority w:val="9"/>
    <w:pPr>
      <w:jc w:val="center"/>
      <w:outlineLvl w:val="1"/>
    </w:pPr>
    <w:rPr>
      <w:b/>
      <w:bCs/>
      <w:caps/>
      <w:szCs w:val="26"/>
    </w:rPr>
  </w:style>
  <w:style w:type="paragraph" w:styleId="4">
    <w:name w:val="heading 3"/>
    <w:basedOn w:val="1"/>
    <w:next w:val="1"/>
    <w:link w:val="33"/>
    <w:autoRedefine/>
    <w:unhideWhenUsed/>
    <w:qFormat/>
    <w:uiPriority w:val="9"/>
    <w:pPr>
      <w:outlineLvl w:val="2"/>
    </w:pPr>
    <w:rPr>
      <w:u w:val="single"/>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5"/>
    <w:semiHidden/>
    <w:unhideWhenUsed/>
    <w:qFormat/>
    <w:uiPriority w:val="99"/>
    <w:pPr>
      <w:spacing w:before="0" w:after="0" w:line="240" w:lineRule="auto"/>
    </w:pPr>
    <w:rPr>
      <w:rFonts w:ascii="Tahoma" w:hAnsi="Tahoma" w:cs="Tahoma"/>
      <w:sz w:val="16"/>
      <w:szCs w:val="16"/>
    </w:rPr>
  </w:style>
  <w:style w:type="paragraph" w:styleId="10">
    <w:name w:val="footer"/>
    <w:basedOn w:val="1"/>
    <w:link w:val="42"/>
    <w:unhideWhenUsed/>
    <w:qFormat/>
    <w:uiPriority w:val="99"/>
    <w:pPr>
      <w:tabs>
        <w:tab w:val="center" w:pos="4680"/>
        <w:tab w:val="right" w:pos="9360"/>
      </w:tabs>
      <w:spacing w:before="0" w:after="0" w:line="240" w:lineRule="auto"/>
    </w:pPr>
  </w:style>
  <w:style w:type="paragraph" w:styleId="11">
    <w:name w:val="header"/>
    <w:basedOn w:val="1"/>
    <w:link w:val="41"/>
    <w:unhideWhenUsed/>
    <w:qFormat/>
    <w:uiPriority w:val="99"/>
    <w:pPr>
      <w:tabs>
        <w:tab w:val="center" w:pos="4680"/>
        <w:tab w:val="right" w:pos="9360"/>
      </w:tabs>
      <w:spacing w:before="0" w:after="0" w:line="240" w:lineRule="auto"/>
    </w:pPr>
  </w:style>
  <w:style w:type="paragraph" w:styleId="12">
    <w:name w:val="toc 1"/>
    <w:basedOn w:val="1"/>
    <w:next w:val="1"/>
    <w:autoRedefine/>
    <w:unhideWhenUsed/>
    <w:qFormat/>
    <w:uiPriority w:val="39"/>
    <w:pPr>
      <w:spacing w:before="60" w:after="60"/>
    </w:pPr>
    <w:rPr>
      <w:caps/>
    </w:rPr>
  </w:style>
  <w:style w:type="paragraph" w:styleId="13">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39"/>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uiPriority w:val="39"/>
    <w:pPr>
      <w:spacing w:before="60" w:after="60"/>
      <w:ind w:left="284"/>
      <w:jc w:val="left"/>
      <w:outlineLvl w:val="0"/>
    </w:pPr>
    <w:rPr>
      <w:b w:val="0"/>
    </w:rPr>
  </w:style>
  <w:style w:type="paragraph" w:styleId="17">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0"/>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qFormat/>
    <w:uiPriority w:val="99"/>
  </w:style>
  <w:style w:type="character" w:styleId="22">
    <w:name w:val="Hyperlink"/>
    <w:unhideWhenUsed/>
    <w:uiPriority w:val="99"/>
    <w:rPr>
      <w:color w:val="0000FF"/>
      <w:u w:val="single"/>
    </w:rPr>
  </w:style>
  <w:style w:type="paragraph" w:customStyle="1" w:styleId="23">
    <w:name w:val="CIL 1 Heading"/>
    <w:basedOn w:val="2"/>
    <w:autoRedefine/>
    <w:uiPriority w:val="0"/>
    <w:pPr>
      <w:keepLines w:val="0"/>
      <w:outlineLvl w:val="9"/>
    </w:pPr>
    <w:rPr>
      <w:rFonts w:eastAsia="Batang" w:cs="Arial"/>
      <w:caps w:val="0"/>
      <w:kern w:val="32"/>
      <w:szCs w:val="32"/>
      <w:lang w:val="en-GB" w:eastAsia="ko-KR"/>
    </w:rPr>
  </w:style>
  <w:style w:type="character" w:customStyle="1" w:styleId="24">
    <w:name w:val="Heading 1 Char"/>
    <w:link w:val="2"/>
    <w:uiPriority w:val="9"/>
    <w:rPr>
      <w:rFonts w:ascii="Arial" w:hAnsi="Arial" w:eastAsia="Times New Roman"/>
      <w:b/>
      <w:bCs/>
      <w:caps/>
      <w:sz w:val="28"/>
      <w:szCs w:val="28"/>
      <w:lang w:val="en-US" w:eastAsia="en-US"/>
    </w:rPr>
  </w:style>
  <w:style w:type="paragraph" w:customStyle="1" w:styleId="25">
    <w:name w:val="CIL 2 Heading"/>
    <w:basedOn w:val="3"/>
    <w:autoRedefine/>
    <w:uiPriority w:val="0"/>
    <w:rPr>
      <w:rFonts w:eastAsia="Batang" w:cs="Arial"/>
      <w:b w:val="0"/>
      <w:iCs/>
      <w:caps w:val="0"/>
      <w:szCs w:val="28"/>
      <w:lang w:val="en-GB" w:eastAsia="ko-KR"/>
    </w:rPr>
  </w:style>
  <w:style w:type="character" w:customStyle="1" w:styleId="26">
    <w:name w:val="Heading 2 Char"/>
    <w:link w:val="3"/>
    <w:qFormat/>
    <w:uiPriority w:val="9"/>
    <w:rPr>
      <w:rFonts w:ascii="Arial" w:hAnsi="Arial"/>
      <w:b/>
      <w:bCs/>
      <w:caps/>
      <w:szCs w:val="26"/>
    </w:rPr>
  </w:style>
  <w:style w:type="paragraph" w:customStyle="1" w:styleId="27">
    <w:name w:val="CIL Footer"/>
    <w:basedOn w:val="1"/>
    <w:link w:val="2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8">
    <w:name w:val="CIL Footer Char"/>
    <w:link w:val="27"/>
    <w:uiPriority w:val="0"/>
    <w:rPr>
      <w:rFonts w:ascii="Arial" w:hAnsi="Arial" w:eastAsia="Batang" w:cs="Arial"/>
      <w:color w:val="808080"/>
      <w:sz w:val="16"/>
      <w:szCs w:val="16"/>
      <w:lang w:val="en-GB" w:eastAsia="ko-KR"/>
    </w:rPr>
  </w:style>
  <w:style w:type="paragraph" w:customStyle="1" w:styleId="29">
    <w:name w:val="CIL paragraph"/>
    <w:basedOn w:val="1"/>
    <w:autoRedefine/>
    <w:qFormat/>
    <w:uiPriority w:val="0"/>
    <w:pPr>
      <w:contextualSpacing/>
    </w:pPr>
    <w:rPr>
      <w:rFonts w:eastAsia="Batang" w:cs="Arial"/>
      <w:szCs w:val="24"/>
      <w:lang w:val="en-GB" w:eastAsia="ko-KR"/>
    </w:rPr>
  </w:style>
  <w:style w:type="paragraph" w:customStyle="1" w:styleId="30">
    <w:name w:val="CIL Subtitle"/>
    <w:basedOn w:val="1"/>
    <w:link w:val="31"/>
    <w:autoRedefine/>
    <w:qFormat/>
    <w:uiPriority w:val="0"/>
    <w:pPr>
      <w:jc w:val="center"/>
    </w:pPr>
    <w:rPr>
      <w:rFonts w:eastAsia="Batang" w:cs="Arial"/>
      <w:i/>
      <w:szCs w:val="24"/>
      <w:lang w:val="en-GB" w:eastAsia="ko-KR"/>
    </w:rPr>
  </w:style>
  <w:style w:type="character" w:customStyle="1" w:styleId="31">
    <w:name w:val="CIL Subtitle Char"/>
    <w:link w:val="30"/>
    <w:qFormat/>
    <w:uiPriority w:val="0"/>
    <w:rPr>
      <w:rFonts w:ascii="Arial" w:hAnsi="Arial" w:eastAsia="Batang" w:cs="Arial"/>
      <w:i/>
      <w:szCs w:val="24"/>
      <w:lang w:eastAsia="ko-KR"/>
    </w:rPr>
  </w:style>
  <w:style w:type="paragraph" w:customStyle="1" w:styleId="32">
    <w:name w:val="CIL Title"/>
    <w:basedOn w:val="1"/>
    <w:autoRedefine/>
    <w:qFormat/>
    <w:uiPriority w:val="0"/>
    <w:pPr>
      <w:jc w:val="center"/>
    </w:pPr>
    <w:rPr>
      <w:rFonts w:eastAsia="Batang" w:cs="Arial"/>
      <w:b/>
      <w:bCs/>
      <w:caps/>
      <w:kern w:val="32"/>
      <w:sz w:val="28"/>
      <w:szCs w:val="32"/>
      <w:lang w:val="en-GB" w:eastAsia="ko-KR"/>
    </w:rPr>
  </w:style>
  <w:style w:type="character" w:customStyle="1" w:styleId="33">
    <w:name w:val="Heading 3 Char"/>
    <w:link w:val="4"/>
    <w:qFormat/>
    <w:uiPriority w:val="9"/>
    <w:rPr>
      <w:rFonts w:ascii="Arial" w:hAnsi="Arial"/>
      <w:u w:val="single"/>
      <w:lang w:val="en-US" w:eastAsia="en-US"/>
    </w:rPr>
  </w:style>
  <w:style w:type="paragraph" w:customStyle="1" w:styleId="34">
    <w:name w:val="CIL L1 TOC"/>
    <w:basedOn w:val="12"/>
    <w:autoRedefine/>
    <w:qFormat/>
    <w:uiPriority w:val="0"/>
    <w:pPr>
      <w:tabs>
        <w:tab w:val="right" w:leader="dot" w:pos="9350"/>
      </w:tabs>
      <w:spacing w:before="120" w:after="120" w:line="360" w:lineRule="auto"/>
    </w:pPr>
    <w:rPr>
      <w:rFonts w:cs="Arial"/>
    </w:rPr>
  </w:style>
  <w:style w:type="paragraph" w:customStyle="1" w:styleId="35">
    <w:name w:val="Style1"/>
    <w:basedOn w:val="16"/>
    <w:autoRedefine/>
    <w:qFormat/>
    <w:uiPriority w:val="0"/>
    <w:pPr>
      <w:tabs>
        <w:tab w:val="right" w:leader="dot" w:pos="9350"/>
      </w:tabs>
      <w:spacing w:line="360" w:lineRule="auto"/>
      <w:ind w:left="202"/>
    </w:pPr>
    <w:rPr>
      <w:rFonts w:cs="Arial"/>
    </w:rPr>
  </w:style>
  <w:style w:type="paragraph" w:customStyle="1" w:styleId="36">
    <w:name w:val="CIL L2 TOC"/>
    <w:basedOn w:val="16"/>
    <w:autoRedefine/>
    <w:qFormat/>
    <w:uiPriority w:val="0"/>
    <w:pPr>
      <w:tabs>
        <w:tab w:val="right" w:leader="dot" w:pos="9350"/>
      </w:tabs>
      <w:spacing w:line="360" w:lineRule="auto"/>
      <w:ind w:left="202"/>
    </w:pPr>
    <w:rPr>
      <w:rFonts w:cs="Arial"/>
    </w:rPr>
  </w:style>
  <w:style w:type="paragraph" w:customStyle="1" w:styleId="37">
    <w:name w:val="CIL Paragraph"/>
    <w:basedOn w:val="1"/>
    <w:next w:val="1"/>
    <w:autoRedefine/>
    <w:uiPriority w:val="0"/>
  </w:style>
  <w:style w:type="paragraph" w:customStyle="1" w:styleId="38">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39">
    <w:name w:val="Subtitle Char"/>
    <w:link w:val="14"/>
    <w:uiPriority w:val="11"/>
    <w:rPr>
      <w:rFonts w:eastAsia="Times New Roman" w:cs="Times New Roman"/>
      <w:i/>
      <w:szCs w:val="24"/>
      <w:lang w:val="en-GB" w:eastAsia="ko-KR"/>
    </w:rPr>
  </w:style>
  <w:style w:type="character" w:customStyle="1" w:styleId="40">
    <w:name w:val="Title Char"/>
    <w:link w:val="18"/>
    <w:qFormat/>
    <w:uiPriority w:val="10"/>
    <w:rPr>
      <w:rFonts w:eastAsia="Times New Roman" w:cs="Times New Roman"/>
      <w:b/>
      <w:bCs/>
      <w:caps/>
      <w:kern w:val="28"/>
      <w:sz w:val="28"/>
      <w:szCs w:val="32"/>
      <w:lang w:val="en-GB" w:eastAsia="ko-KR"/>
    </w:rPr>
  </w:style>
  <w:style w:type="character" w:customStyle="1" w:styleId="41">
    <w:name w:val="Header Char"/>
    <w:link w:val="11"/>
    <w:qFormat/>
    <w:uiPriority w:val="99"/>
    <w:rPr>
      <w:rFonts w:ascii="Arial" w:hAnsi="Arial"/>
    </w:rPr>
  </w:style>
  <w:style w:type="character" w:customStyle="1" w:styleId="42">
    <w:name w:val="Footer Char"/>
    <w:link w:val="10"/>
    <w:uiPriority w:val="99"/>
    <w:rPr>
      <w:rFonts w:ascii="Arial" w:hAnsi="Arial"/>
    </w:rPr>
  </w:style>
  <w:style w:type="paragraph" w:customStyle="1" w:styleId="43">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4">
    <w:name w:val="List Paragraph"/>
    <w:basedOn w:val="1"/>
    <w:qFormat/>
    <w:uiPriority w:val="34"/>
    <w:pPr>
      <w:ind w:left="720"/>
      <w:contextualSpacing/>
    </w:pPr>
  </w:style>
  <w:style w:type="character" w:customStyle="1" w:styleId="45">
    <w:name w:val="Balloon Text Char"/>
    <w:link w:val="9"/>
    <w:semiHidden/>
    <w:qFormat/>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3246E-A7D5-455B-8487-B4B4CEEB1934}">
  <ds:schemaRefs/>
</ds:datastoreItem>
</file>

<file path=docProps/app.xml><?xml version="1.0" encoding="utf-8"?>
<Properties xmlns="http://schemas.openxmlformats.org/officeDocument/2006/extended-properties" xmlns:vt="http://schemas.openxmlformats.org/officeDocument/2006/docPropsVTypes">
  <Template>Normal</Template>
  <Pages>3</Pages>
  <Words>2301</Words>
  <Characters>12586</Characters>
  <Lines>112</Lines>
  <Paragraphs>31</Paragraphs>
  <TotalTime>2</TotalTime>
  <ScaleCrop>false</ScaleCrop>
  <LinksUpToDate>false</LinksUpToDate>
  <CharactersWithSpaces>14859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2018-07-02T04:19:00Z</dcterms:created>
  <dc:creator>XPS</dc:creator>
  <cp:lastModifiedBy>Patrick</cp:lastModifiedBy>
  <cp:lastPrinted>2018-07-02T04:19:00Z</cp:lastPrinted>
  <dcterms:modified xsi:type="dcterms:W3CDTF">2025-07-27T17:40:28Z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56673FE6F5F8468EA18DF43FAD0ED22A_12</vt:lpwstr>
  </property>
</Properties>
</file>