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1BCE23">
      <w:pPr>
        <w:pStyle w:val="33"/>
      </w:pPr>
      <w:r>
        <w:t>2008 MEMORANDUM OF UNDERSTANDING BETWEEN THE GOVERNMENTS OF THE MEMBER COUNTRIES OF THE ASSOCIATION OF SOUTHEAST ASIAN NATIONS AND THE GOVERNMENT OF THE PEOPLE'S REPUBLIC OF CHINA ON INFORMATION AND MEDIA COOPERATION</w:t>
      </w:r>
    </w:p>
    <w:p w14:paraId="0C940707">
      <w:pPr>
        <w:numPr>
          <w:ilvl w:val="0"/>
          <w:numId w:val="0"/>
        </w:numPr>
        <w:ind w:left="425" w:leftChars="0" w:hanging="425" w:firstLineChars="0"/>
      </w:pPr>
      <w:r>
        <w:rPr>
          <w:rFonts w:hint="default" w:ascii="Arial" w:hAnsi="Arial" w:eastAsia="Calibri" w:cs="Times New Roman"/>
          <w:lang w:val="en-US" w:eastAsia="en-US" w:bidi="ar-SA"/>
        </w:rPr>
        <w:t>1.</w:t>
      </w:r>
      <w:bookmarkStart w:id="0" w:name="_GoBack"/>
      <w:bookmarkEnd w:id="0"/>
      <w:r>
        <w:t>The Parties will enhance and promote cooperation and exchanges in the fields of information and media in accordance with their respective domestic laws, regulations, policies, administrative guidelines and procedures.</w:t>
      </w:r>
    </w:p>
    <w:p w14:paraId="29BD3D55">
      <w:pPr>
        <w:numPr>
          <w:ilvl w:val="0"/>
          <w:numId w:val="0"/>
        </w:numPr>
        <w:ind w:left="425" w:leftChars="0" w:hanging="425" w:firstLineChars="0"/>
      </w:pPr>
      <w:r>
        <w:rPr>
          <w:rFonts w:hint="default" w:ascii="Arial" w:hAnsi="Arial" w:eastAsia="Calibri" w:cs="Times New Roman"/>
          <w:lang w:val="en-US" w:eastAsia="en-US" w:bidi="ar-SA"/>
        </w:rPr>
        <w:t>2.</w:t>
      </w:r>
      <w:r>
        <w:t>The Parties will facilitate visits and personnel exchanges between their respective media industries, media organisations and governmental organisations in charge of media between ASEAN and China.</w:t>
      </w:r>
    </w:p>
    <w:p w14:paraId="103CCA80">
      <w:pPr>
        <w:numPr>
          <w:ilvl w:val="0"/>
          <w:numId w:val="0"/>
        </w:numPr>
        <w:ind w:left="425" w:leftChars="0" w:hanging="425" w:firstLineChars="0"/>
      </w:pPr>
      <w:r>
        <w:rPr>
          <w:rFonts w:hint="default" w:ascii="Arial" w:hAnsi="Arial" w:eastAsia="Calibri" w:cs="Times New Roman"/>
          <w:lang w:val="en-US" w:eastAsia="en-US" w:bidi="ar-SA"/>
        </w:rPr>
        <w:t>3.</w:t>
      </w:r>
      <w:r>
        <w:t>The Parties will implement and encourage training programmes in the film, broadcasting, interactive and digital media sectors (including animation, game development and special effects) for policy makers and the media industry representatives from ASEAN and China.</w:t>
      </w:r>
    </w:p>
    <w:p w14:paraId="16A45805">
      <w:pPr>
        <w:numPr>
          <w:ilvl w:val="0"/>
          <w:numId w:val="0"/>
        </w:numPr>
        <w:ind w:left="425" w:leftChars="0" w:hanging="425" w:firstLineChars="0"/>
      </w:pPr>
      <w:r>
        <w:rPr>
          <w:rFonts w:hint="default" w:ascii="Arial" w:hAnsi="Arial" w:eastAsia="Calibri" w:cs="Times New Roman"/>
          <w:lang w:val="en-US" w:eastAsia="en-US" w:bidi="ar-SA"/>
        </w:rPr>
        <w:t>4.</w:t>
      </w:r>
      <w:r>
        <w:t>The Parties will encourage film and television (including news) programme exchanges as often as required.</w:t>
      </w:r>
    </w:p>
    <w:p w14:paraId="1D7AF95C">
      <w:pPr>
        <w:numPr>
          <w:ilvl w:val="0"/>
          <w:numId w:val="0"/>
        </w:numPr>
        <w:ind w:left="425" w:leftChars="0" w:hanging="425" w:firstLineChars="0"/>
      </w:pPr>
      <w:r>
        <w:rPr>
          <w:rFonts w:hint="default" w:ascii="Arial" w:hAnsi="Arial" w:eastAsia="Calibri" w:cs="Times New Roman"/>
          <w:lang w:val="en-US" w:eastAsia="en-US" w:bidi="ar-SA"/>
        </w:rPr>
        <w:t>5.</w:t>
      </w:r>
      <w:r>
        <w:t>The Parties will promote mutual visits and exchanges of journalists and strengthen cooperation in news reporting, press interviews and production of television programmes.</w:t>
      </w:r>
    </w:p>
    <w:p w14:paraId="19ECC2F0">
      <w:pPr>
        <w:numPr>
          <w:ilvl w:val="0"/>
          <w:numId w:val="0"/>
        </w:numPr>
        <w:ind w:left="425" w:leftChars="0" w:hanging="425" w:firstLineChars="0"/>
      </w:pPr>
      <w:r>
        <w:rPr>
          <w:rFonts w:hint="default" w:ascii="Arial" w:hAnsi="Arial" w:eastAsia="Calibri" w:cs="Times New Roman"/>
          <w:lang w:val="en-US" w:eastAsia="en-US" w:bidi="ar-SA"/>
        </w:rPr>
        <w:t>6.</w:t>
      </w:r>
      <w:r>
        <w:t>The Parties will encourage participation in media-related festivals, conferences and markets held in each other's countries and create opportunities to showcase each other's talents in the media industry.</w:t>
      </w:r>
    </w:p>
    <w:p w14:paraId="356051B1">
      <w:pPr>
        <w:numPr>
          <w:ilvl w:val="0"/>
          <w:numId w:val="0"/>
        </w:numPr>
        <w:ind w:left="425" w:leftChars="0" w:hanging="425" w:firstLineChars="0"/>
      </w:pPr>
      <w:r>
        <w:rPr>
          <w:rFonts w:hint="default" w:ascii="Arial" w:hAnsi="Arial" w:eastAsia="Calibri" w:cs="Times New Roman"/>
          <w:lang w:val="en-US" w:eastAsia="en-US" w:bidi="ar-SA"/>
        </w:rPr>
        <w:t>7.</w:t>
      </w:r>
      <w:r>
        <w:t>The Parties will encourage and facilitate media co-productions between their respective media industries, as well as marketing, exhibition and distribution of such content.</w:t>
      </w:r>
    </w:p>
    <w:p w14:paraId="4C1B042F">
      <w:pPr>
        <w:numPr>
          <w:ilvl w:val="0"/>
          <w:numId w:val="0"/>
        </w:numPr>
        <w:ind w:left="425" w:leftChars="0" w:hanging="425" w:firstLineChars="0"/>
      </w:pPr>
      <w:r>
        <w:rPr>
          <w:rFonts w:hint="default" w:ascii="Arial" w:hAnsi="Arial" w:eastAsia="Calibri" w:cs="Times New Roman"/>
          <w:lang w:val="en-US" w:eastAsia="en-US" w:bidi="ar-SA"/>
        </w:rPr>
        <w:t>8.</w:t>
      </w:r>
      <w:r>
        <w:t>The Parties will facilitate market access of audio-visual products through dialogue and consultations.</w:t>
      </w:r>
    </w:p>
    <w:p w14:paraId="08B72B47">
      <w:pPr>
        <w:numPr>
          <w:ilvl w:val="0"/>
          <w:numId w:val="0"/>
        </w:numPr>
        <w:ind w:left="425" w:leftChars="0" w:hanging="425" w:firstLineChars="0"/>
      </w:pPr>
      <w:r>
        <w:rPr>
          <w:rFonts w:hint="default" w:ascii="Arial" w:hAnsi="Arial" w:eastAsia="Calibri" w:cs="Times New Roman"/>
          <w:lang w:val="en-US" w:eastAsia="en-US" w:bidi="ar-SA"/>
        </w:rPr>
        <w:t>9.</w:t>
      </w:r>
      <w:r>
        <w:t>The Parties will hold annual consultations and dialogue sessions on broadcasting Issues, media policies and technology developments in the broadcasting and media industry, with the aim of exchanging views and best practices on issues of common concern.</w:t>
      </w:r>
    </w:p>
    <w:p w14:paraId="5548B30D">
      <w:pPr>
        <w:numPr>
          <w:ilvl w:val="0"/>
          <w:numId w:val="0"/>
        </w:numPr>
        <w:ind w:left="425" w:leftChars="0" w:hanging="425" w:firstLineChars="0"/>
      </w:pPr>
      <w:r>
        <w:rPr>
          <w:rFonts w:hint="default" w:ascii="Arial" w:hAnsi="Arial" w:eastAsia="Calibri" w:cs="Times New Roman"/>
          <w:lang w:val="en-US" w:eastAsia="en-US" w:bidi="ar-SA"/>
        </w:rPr>
        <w:t>10.</w:t>
      </w:r>
      <w:r>
        <w:t>The Parties will facilitate collaborations and partnerships between their respective media industries, including networking events, co-productions, information and technology sharing, training, internships, R&amp;D collaborations and participation in international media conferences.</w:t>
      </w:r>
    </w:p>
    <w:p w14:paraId="5C91D7CA">
      <w:pPr>
        <w:numPr>
          <w:ilvl w:val="0"/>
          <w:numId w:val="0"/>
        </w:numPr>
        <w:ind w:left="425" w:leftChars="0" w:hanging="425" w:firstLineChars="0"/>
      </w:pPr>
      <w:r>
        <w:rPr>
          <w:rFonts w:hint="default" w:ascii="Arial" w:hAnsi="Arial" w:eastAsia="Calibri" w:cs="Times New Roman"/>
          <w:lang w:val="en-US" w:eastAsia="en-US" w:bidi="ar-SA"/>
        </w:rPr>
        <w:t>11.</w:t>
      </w:r>
      <w:r>
        <w:t>The Parties will advance and reinforce a positive international image of ASEAN and China relations which is supportive of the interests, policies, programmes and goals of both ASEAN and China.</w:t>
      </w:r>
    </w:p>
    <w:p w14:paraId="6E2913D0">
      <w:pPr>
        <w:numPr>
          <w:ilvl w:val="0"/>
          <w:numId w:val="0"/>
        </w:numPr>
        <w:ind w:left="425" w:leftChars="0" w:hanging="425" w:firstLineChars="0"/>
      </w:pPr>
      <w:r>
        <w:rPr>
          <w:rFonts w:hint="default" w:ascii="Arial" w:hAnsi="Arial" w:eastAsia="Calibri" w:cs="Times New Roman"/>
          <w:lang w:val="en-US" w:eastAsia="en-US" w:bidi="ar-SA"/>
        </w:rPr>
        <w:t>12.</w:t>
      </w:r>
      <w:r>
        <w:t>The Parties will promote information and cultural exchanges between ASEAN and China.</w:t>
      </w:r>
    </w:p>
    <w:p w14:paraId="4ED71919">
      <w:pPr>
        <w:numPr>
          <w:ilvl w:val="0"/>
          <w:numId w:val="0"/>
        </w:numPr>
        <w:ind w:left="425" w:leftChars="0" w:hanging="425" w:firstLineChars="0"/>
      </w:pPr>
      <w:r>
        <w:rPr>
          <w:rFonts w:hint="default" w:ascii="Arial" w:hAnsi="Arial" w:eastAsia="Calibri" w:cs="Times New Roman"/>
          <w:lang w:val="en-US" w:eastAsia="en-US" w:bidi="ar-SA"/>
        </w:rPr>
        <w:t>13.</w:t>
      </w:r>
      <w:r>
        <w:t>The Parties agreed that the implementing agencies of this Memorandum of Understanding are the ASEAN Committee on Culture and Information (ASEAN-COCI) and the State Council Information Office of the People's Republic of China. These agencies will also be the respective contact agencies that are responsible for co-ordinating the identification, implementation and supervision of cooperation projects.</w:t>
      </w:r>
    </w:p>
    <w:p w14:paraId="65373EC5">
      <w:pPr>
        <w:numPr>
          <w:ilvl w:val="0"/>
          <w:numId w:val="0"/>
        </w:numPr>
        <w:ind w:left="425" w:leftChars="0" w:hanging="425" w:firstLineChars="0"/>
      </w:pPr>
      <w:r>
        <w:rPr>
          <w:rFonts w:hint="default" w:ascii="Arial" w:hAnsi="Arial" w:eastAsia="Calibri" w:cs="Times New Roman"/>
          <w:lang w:val="en-US" w:eastAsia="en-US" w:bidi="ar-SA"/>
        </w:rPr>
        <w:t>14.</w:t>
      </w:r>
      <w:r>
        <w:t>The implementing agencies of the Parties shall determine through consultations the details, schedule and arrangements for the implementation of the cooperation provided in this Memorandum of Understanding, and shall serve as coordinators for such cooperation.</w:t>
      </w:r>
    </w:p>
    <w:p w14:paraId="4C4A915E">
      <w:pPr>
        <w:numPr>
          <w:ilvl w:val="0"/>
          <w:numId w:val="0"/>
        </w:numPr>
        <w:ind w:left="425" w:leftChars="0" w:hanging="425" w:firstLineChars="0"/>
      </w:pPr>
      <w:r>
        <w:rPr>
          <w:rFonts w:hint="default" w:ascii="Arial" w:hAnsi="Arial" w:eastAsia="Calibri" w:cs="Times New Roman"/>
          <w:lang w:val="en-US" w:eastAsia="en-US" w:bidi="ar-SA"/>
        </w:rPr>
        <w:t>15.</w:t>
      </w:r>
      <w:r>
        <w:t>The Parties agree that project formulation, monitoring and evaluation will be carried out through the cooperation mechanisms established under the ASEAN -China dialogue relations.</w:t>
      </w:r>
    </w:p>
    <w:p w14:paraId="1CE29D5C">
      <w:pPr>
        <w:numPr>
          <w:ilvl w:val="0"/>
          <w:numId w:val="0"/>
        </w:numPr>
        <w:ind w:left="425" w:leftChars="0" w:hanging="425" w:firstLineChars="0"/>
      </w:pPr>
      <w:r>
        <w:rPr>
          <w:rFonts w:hint="default" w:ascii="Arial" w:hAnsi="Arial" w:eastAsia="Calibri" w:cs="Times New Roman"/>
          <w:lang w:val="en-US" w:eastAsia="en-US" w:bidi="ar-SA"/>
        </w:rPr>
        <w:t>16.</w:t>
      </w:r>
      <w:r>
        <w:t>The financial arrangements to cover expenses under this Memorandum of Understanding shall be mutually agreed upon by the respective Parties on a case-by-case basis subject to the availability of funds.</w:t>
      </w:r>
    </w:p>
    <w:p w14:paraId="310AF3CB">
      <w:pPr>
        <w:numPr>
          <w:ilvl w:val="0"/>
          <w:numId w:val="0"/>
        </w:numPr>
        <w:ind w:left="425" w:leftChars="0" w:hanging="425" w:firstLineChars="0"/>
      </w:pPr>
      <w:r>
        <w:rPr>
          <w:rFonts w:hint="default" w:ascii="Arial" w:hAnsi="Arial" w:eastAsia="Calibri" w:cs="Times New Roman"/>
          <w:lang w:val="en-US" w:eastAsia="en-US" w:bidi="ar-SA"/>
        </w:rPr>
        <w:t>17.</w:t>
      </w:r>
      <w:r>
        <w:t xml:space="preserve">The provisions of this Memorandum of Understanding shall not affect the implementation of the Parties' international obligations arising out of other international treaties to which the Parties are also parties. </w:t>
      </w:r>
    </w:p>
    <w:p w14:paraId="31EDD208">
      <w:pPr>
        <w:numPr>
          <w:ilvl w:val="0"/>
          <w:numId w:val="0"/>
        </w:numPr>
        <w:ind w:left="425" w:leftChars="0" w:hanging="425" w:firstLineChars="0"/>
      </w:pPr>
      <w:r>
        <w:rPr>
          <w:rFonts w:hint="default" w:ascii="Arial" w:hAnsi="Arial" w:eastAsia="Calibri" w:cs="Times New Roman"/>
          <w:lang w:val="en-US" w:eastAsia="en-US" w:bidi="ar-SA"/>
        </w:rPr>
        <w:t>18.</w:t>
      </w:r>
      <w:r>
        <w:t>The Parties shall undertake that neither Party shall disclose or distribute any confidential information document/data received or supplied to the other Party in the course of the implementation of this Memorandum of Understanding and any other agreements made pursuant to this Memorandum of Understanding, to any third party except if they have been authorised in writing to do so by the other Party.</w:t>
      </w:r>
    </w:p>
    <w:p w14:paraId="5E188035">
      <w:pPr>
        <w:numPr>
          <w:ilvl w:val="0"/>
          <w:numId w:val="0"/>
        </w:numPr>
        <w:ind w:left="425" w:leftChars="0" w:hanging="425" w:firstLineChars="0"/>
      </w:pPr>
      <w:r>
        <w:rPr>
          <w:rFonts w:hint="default" w:ascii="Arial" w:hAnsi="Arial" w:eastAsia="Calibri" w:cs="Times New Roman"/>
          <w:lang w:val="en-US" w:eastAsia="en-US" w:bidi="ar-SA"/>
        </w:rPr>
        <w:t>19.</w:t>
      </w:r>
      <w:r>
        <w:t>The Parties agree that the provisions of this Article shall continue to be binding between the Parties notwithstanding the termination of this Memorandum of Understanding.</w:t>
      </w:r>
    </w:p>
    <w:p w14:paraId="22557384">
      <w:pPr>
        <w:numPr>
          <w:ilvl w:val="0"/>
          <w:numId w:val="0"/>
        </w:numPr>
        <w:ind w:left="425" w:leftChars="0" w:hanging="425" w:firstLineChars="0"/>
      </w:pPr>
      <w:r>
        <w:rPr>
          <w:rFonts w:hint="default" w:ascii="Arial" w:hAnsi="Arial" w:eastAsia="Calibri" w:cs="Times New Roman"/>
          <w:lang w:val="en-US" w:eastAsia="en-US" w:bidi="ar-SA"/>
        </w:rPr>
        <w:t>20.</w:t>
      </w:r>
      <w:r>
        <w:t>The protection of copyright within the jurisdiction of each Party as well as each individual ASEAN Member Country will be enforced in conformity with its domestic laws, regulations, administrative policies, guidelines and procedures and also with the international agreements to which the individual ASEAN Member Country concerned and China are parties.</w:t>
      </w:r>
    </w:p>
    <w:p w14:paraId="6EB7870B">
      <w:pPr>
        <w:numPr>
          <w:ilvl w:val="0"/>
          <w:numId w:val="0"/>
        </w:numPr>
        <w:ind w:left="425" w:leftChars="0" w:hanging="425" w:firstLineChars="0"/>
      </w:pPr>
      <w:r>
        <w:rPr>
          <w:rFonts w:hint="default" w:ascii="Arial" w:hAnsi="Arial" w:eastAsia="Calibri" w:cs="Times New Roman"/>
          <w:lang w:val="en-US" w:eastAsia="en-US" w:bidi="ar-SA"/>
        </w:rPr>
        <w:t>21.</w:t>
      </w:r>
      <w:r>
        <w:t>Any dispute between the Parties on the interpretation and implementation of this Memorandum of Understanding shall be settled amicably through consultations and negotiations between both Parties.</w:t>
      </w:r>
    </w:p>
    <w:p w14:paraId="03059EC9">
      <w:pPr>
        <w:numPr>
          <w:ilvl w:val="0"/>
          <w:numId w:val="0"/>
        </w:numPr>
        <w:ind w:left="425" w:leftChars="0" w:hanging="425" w:firstLineChars="0"/>
      </w:pPr>
      <w:r>
        <w:rPr>
          <w:rFonts w:hint="default" w:ascii="Arial" w:hAnsi="Arial" w:eastAsia="Calibri" w:cs="Times New Roman"/>
          <w:lang w:val="en-US" w:eastAsia="en-US" w:bidi="ar-SA"/>
        </w:rPr>
        <w:t>22.</w:t>
      </w:r>
      <w:r>
        <w:t>This Memorandum of Understanding may be amended by mutual consent between the Parties. Such amendments shall be in writing. Such amendments, if mutually agreed upon, will come into force on such date as determined by the Parties and shall form an integral part of this Memorandum of Understanding.</w:t>
      </w:r>
    </w:p>
    <w:p w14:paraId="795FC778">
      <w:pPr>
        <w:numPr>
          <w:ilvl w:val="0"/>
          <w:numId w:val="0"/>
        </w:numPr>
        <w:ind w:left="425" w:leftChars="0" w:hanging="425" w:firstLineChars="0"/>
      </w:pPr>
      <w:r>
        <w:rPr>
          <w:rFonts w:hint="default" w:ascii="Arial" w:hAnsi="Arial" w:eastAsia="Calibri" w:cs="Times New Roman"/>
          <w:lang w:val="en-US" w:eastAsia="en-US" w:bidi="ar-SA"/>
        </w:rPr>
        <w:t>23.</w:t>
      </w:r>
      <w:r>
        <w:t>Any amendments made in accordance with paragraph 1 shall not affect any ongoing cooperation arising out of this Memorandum of Understanding before or up to the date of such amendments.</w:t>
      </w:r>
    </w:p>
    <w:p w14:paraId="562AED57">
      <w:pPr>
        <w:numPr>
          <w:ilvl w:val="0"/>
          <w:numId w:val="0"/>
        </w:numPr>
        <w:ind w:left="425" w:leftChars="0" w:hanging="425" w:firstLineChars="0"/>
      </w:pPr>
      <w:r>
        <w:rPr>
          <w:rFonts w:hint="default" w:ascii="Arial" w:hAnsi="Arial" w:eastAsia="Calibri" w:cs="Times New Roman"/>
          <w:lang w:val="en-US" w:eastAsia="en-US" w:bidi="ar-SA"/>
        </w:rPr>
        <w:t>24.</w:t>
      </w:r>
      <w:r>
        <w:t xml:space="preserve">This Memorandum of Understanding shall come into force on the date of its signature. </w:t>
      </w:r>
    </w:p>
    <w:p w14:paraId="33CA258C">
      <w:pPr>
        <w:numPr>
          <w:ilvl w:val="0"/>
          <w:numId w:val="0"/>
        </w:numPr>
        <w:ind w:left="425" w:leftChars="0" w:hanging="425" w:firstLineChars="0"/>
      </w:pPr>
      <w:r>
        <w:rPr>
          <w:rFonts w:hint="default" w:ascii="Arial" w:hAnsi="Arial" w:eastAsia="Calibri" w:cs="Times New Roman"/>
          <w:lang w:val="en-US" w:eastAsia="en-US" w:bidi="ar-SA"/>
        </w:rPr>
        <w:t>25.</w:t>
      </w:r>
      <w:r>
        <w:t xml:space="preserve">This Memorandum of Understanding shall remain in force for a period of five years and be automatically extended for subsequent periods of three years unless terminated by either party, giving at least six months’ written notification to the other party prior to the expiration of the relevant period. </w:t>
      </w:r>
    </w:p>
    <w:p w14:paraId="7AE1394D">
      <w:pPr>
        <w:numPr>
          <w:ilvl w:val="0"/>
          <w:numId w:val="0"/>
        </w:numPr>
        <w:ind w:left="425" w:leftChars="0" w:hanging="425" w:firstLineChars="0"/>
      </w:pPr>
      <w:r>
        <w:rPr>
          <w:rFonts w:hint="default" w:ascii="Arial" w:hAnsi="Arial" w:eastAsia="Calibri" w:cs="Times New Roman"/>
          <w:lang w:val="en-US" w:eastAsia="en-US" w:bidi="ar-SA"/>
        </w:rPr>
        <w:t>26.</w:t>
      </w:r>
      <w:r>
        <w:t>The termination of this Memorandum of Understanding shall not affect the implementation of ongoing programmes/activities which have been agreed upon prior to the date of the termination of this Memorandum of Understanding.</w:t>
      </w:r>
    </w:p>
    <w:p w14:paraId="4DEA30CB">
      <w:pPr>
        <w:numPr>
          <w:ilvl w:val="0"/>
          <w:numId w:val="0"/>
        </w:numPr>
        <w:ind w:left="425" w:leftChars="0" w:hanging="425" w:firstLineChars="0"/>
      </w:pPr>
      <w:r>
        <w:rPr>
          <w:rFonts w:hint="default" w:ascii="Arial" w:hAnsi="Arial" w:eastAsia="Calibri" w:cs="Times New Roman"/>
          <w:lang w:val="en-US" w:eastAsia="en-US" w:bidi="ar-SA"/>
        </w:rPr>
        <w:t>27.</w:t>
      </w:r>
      <w:r>
        <w:t>In the event of an event of force majeure which includes acts of God, outbreak of any epidemic disease, war or warlike hostilities, acts of terrorism, new statutory enactments or modifications, civil commotion, riots, blockades, embargoes, sabotage, strikes, lockouts, shortage of material or labour, or any other event that is unforeseen and beyond the reasonable control of any of the Parties, each Party reserves the right for reasons of security, public order, pubic interest or public health to suspend temporarily either in whole or part, of the implementation of this Memorandum of Understanding, which shall take effect thirty (30) days after notification has been given to the other Party through diplomatic channels.</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942255">
    <w:pPr>
      <w:pStyle w:val="10"/>
      <w:tabs>
        <w:tab w:val="right" w:pos="8931"/>
        <w:tab w:val="clear" w:pos="9360"/>
      </w:tabs>
      <w:jc w:val="right"/>
    </w:pPr>
  </w:p>
  <w:p w14:paraId="0C5F5451">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3"/>
        <w:rFonts w:cs="Arial"/>
        <w:color w:val="7F7F7F"/>
        <w:sz w:val="16"/>
        <w:szCs w:val="16"/>
      </w:rPr>
      <w:t>www.cil.nus.edu.sg</w:t>
    </w:r>
    <w:r>
      <w:rPr>
        <w:rStyle w:val="23"/>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5</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6</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603786">
    <w:pPr>
      <w:pStyle w:val="10"/>
      <w:tabs>
        <w:tab w:val="right" w:pos="8931"/>
        <w:tab w:val="clear" w:pos="9360"/>
      </w:tabs>
      <w:jc w:val="right"/>
    </w:pPr>
  </w:p>
  <w:p w14:paraId="17F88F89">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3"/>
        <w:rFonts w:cs="Arial"/>
        <w:color w:val="7F7F7F"/>
        <w:sz w:val="16"/>
        <w:szCs w:val="16"/>
      </w:rPr>
      <w:t>www.cil.nus.edu.sg</w:t>
    </w:r>
    <w:r>
      <w:rPr>
        <w:rStyle w:val="23"/>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A860AD">
    <w:pPr>
      <w:pStyle w:val="11"/>
      <w:pBdr>
        <w:bottom w:val="single" w:color="auto" w:sz="4" w:space="1"/>
      </w:pBdr>
    </w:pPr>
    <w:r>
      <w:rPr>
        <w:rFonts w:cs="Arial"/>
        <w:caps/>
        <w:color w:val="808080"/>
        <w:sz w:val="16"/>
        <w:szCs w:val="16"/>
      </w:rPr>
      <w:t>2008 ASEAN-CHINA MOU ON INFORMATION AND MEDIA COOPERATION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0D4"/>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870DC"/>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B5294"/>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70E11"/>
    <w:rsid w:val="006819D0"/>
    <w:rsid w:val="006829B2"/>
    <w:rsid w:val="00686294"/>
    <w:rsid w:val="006878B4"/>
    <w:rsid w:val="00695153"/>
    <w:rsid w:val="006970D4"/>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57FC5"/>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021A"/>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34CC"/>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638BA"/>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74F0B"/>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0C7331F6"/>
    <w:rsid w:val="654F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5"/>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7"/>
    <w:autoRedefine/>
    <w:unhideWhenUsed/>
    <w:qFormat/>
    <w:uiPriority w:val="9"/>
    <w:pPr>
      <w:jc w:val="center"/>
      <w:outlineLvl w:val="1"/>
    </w:pPr>
    <w:rPr>
      <w:b/>
      <w:bCs/>
      <w:caps/>
      <w:szCs w:val="26"/>
    </w:rPr>
  </w:style>
  <w:style w:type="paragraph" w:styleId="4">
    <w:name w:val="heading 3"/>
    <w:basedOn w:val="1"/>
    <w:next w:val="1"/>
    <w:link w:val="34"/>
    <w:autoRedefine/>
    <w:unhideWhenUsed/>
    <w:qFormat/>
    <w:uiPriority w:val="9"/>
    <w:pPr>
      <w:outlineLvl w:val="2"/>
    </w:pPr>
    <w:rPr>
      <w:u w:val="single"/>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u w:val="none"/>
    </w:rPr>
  </w:style>
  <w:style w:type="paragraph" w:styleId="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5"/>
    <w:semiHidden/>
    <w:unhideWhenUsed/>
    <w:qFormat/>
    <w:uiPriority w:val="99"/>
    <w:pPr>
      <w:spacing w:before="0" w:after="0" w:line="240" w:lineRule="auto"/>
    </w:pPr>
    <w:rPr>
      <w:rFonts w:ascii="Tahoma" w:hAnsi="Tahoma" w:cs="Tahoma"/>
      <w:sz w:val="16"/>
      <w:szCs w:val="16"/>
    </w:rPr>
  </w:style>
  <w:style w:type="paragraph" w:styleId="10">
    <w:name w:val="footer"/>
    <w:basedOn w:val="1"/>
    <w:link w:val="43"/>
    <w:unhideWhenUsed/>
    <w:qFormat/>
    <w:uiPriority w:val="99"/>
    <w:pPr>
      <w:tabs>
        <w:tab w:val="center" w:pos="4680"/>
        <w:tab w:val="right" w:pos="9360"/>
      </w:tabs>
      <w:spacing w:before="0" w:after="0" w:line="240" w:lineRule="auto"/>
    </w:pPr>
  </w:style>
  <w:style w:type="paragraph" w:styleId="11">
    <w:name w:val="header"/>
    <w:basedOn w:val="1"/>
    <w:link w:val="42"/>
    <w:unhideWhenUsed/>
    <w:qFormat/>
    <w:uiPriority w:val="99"/>
    <w:pPr>
      <w:tabs>
        <w:tab w:val="center" w:pos="4680"/>
        <w:tab w:val="right" w:pos="9360"/>
      </w:tabs>
      <w:spacing w:before="0" w:after="0" w:line="240" w:lineRule="auto"/>
    </w:pPr>
  </w:style>
  <w:style w:type="paragraph" w:styleId="12">
    <w:name w:val="toc 1"/>
    <w:basedOn w:val="1"/>
    <w:next w:val="1"/>
    <w:autoRedefine/>
    <w:unhideWhenUsed/>
    <w:qFormat/>
    <w:uiPriority w:val="39"/>
    <w:pPr>
      <w:spacing w:before="60" w:after="60"/>
    </w:pPr>
    <w:rPr>
      <w:caps/>
    </w:rPr>
  </w:style>
  <w:style w:type="paragraph" w:styleId="13">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40"/>
    <w:autoRedefine/>
    <w:qFormat/>
    <w:uiPriority w:val="11"/>
    <w:pPr>
      <w:jc w:val="center"/>
    </w:pPr>
    <w:rPr>
      <w:rFonts w:ascii="Calibri" w:hAnsi="Calibri" w:eastAsia="Times New Roman"/>
      <w:i/>
      <w:szCs w:val="24"/>
      <w:lang w:val="en-GB" w:eastAsia="ko-KR"/>
    </w:rPr>
  </w:style>
  <w:style w:type="paragraph" w:styleId="15">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qFormat/>
    <w:uiPriority w:val="39"/>
    <w:pPr>
      <w:spacing w:before="60" w:after="60"/>
      <w:ind w:left="284"/>
      <w:jc w:val="left"/>
      <w:outlineLvl w:val="0"/>
    </w:pPr>
    <w:rPr>
      <w:b w:val="0"/>
    </w:rPr>
  </w:style>
  <w:style w:type="paragraph" w:styleId="17">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1"/>
    <w:autoRedefine/>
    <w:qFormat/>
    <w:uiPriority w:val="10"/>
    <w:pPr>
      <w:jc w:val="center"/>
    </w:pPr>
    <w:rPr>
      <w:rFonts w:ascii="Calibri" w:hAnsi="Calibri" w:eastAsia="Times New Roman"/>
      <w:b/>
      <w:bCs/>
      <w:caps/>
      <w:kern w:val="28"/>
      <w:sz w:val="28"/>
      <w:szCs w:val="32"/>
      <w:lang w:val="en-GB" w:eastAsia="ko-KR"/>
    </w:rPr>
  </w:style>
  <w:style w:type="table" w:styleId="20">
    <w:name w:val="Table Grid"/>
    <w:basedOn w:val="1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semiHidden/>
    <w:unhideWhenUsed/>
    <w:qFormat/>
    <w:uiPriority w:val="99"/>
  </w:style>
  <w:style w:type="character" w:styleId="23">
    <w:name w:val="Hyperlink"/>
    <w:unhideWhenUsed/>
    <w:qFormat/>
    <w:uiPriority w:val="99"/>
    <w:rPr>
      <w:color w:val="0000FF"/>
      <w:u w:val="single"/>
    </w:rPr>
  </w:style>
  <w:style w:type="paragraph" w:customStyle="1" w:styleId="24">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5">
    <w:name w:val="Heading 1 Char"/>
    <w:link w:val="2"/>
    <w:qFormat/>
    <w:uiPriority w:val="9"/>
    <w:rPr>
      <w:rFonts w:ascii="Arial" w:hAnsi="Arial" w:eastAsia="Times New Roman" w:cs="Times New Roman"/>
      <w:b/>
      <w:bCs/>
      <w:caps/>
      <w:sz w:val="28"/>
      <w:szCs w:val="28"/>
    </w:rPr>
  </w:style>
  <w:style w:type="paragraph" w:customStyle="1" w:styleId="26">
    <w:name w:val="CIL 2 Heading"/>
    <w:basedOn w:val="3"/>
    <w:autoRedefine/>
    <w:qFormat/>
    <w:uiPriority w:val="0"/>
    <w:rPr>
      <w:rFonts w:eastAsia="Batang" w:cs="Arial"/>
      <w:b w:val="0"/>
      <w:iCs/>
      <w:caps w:val="0"/>
      <w:szCs w:val="28"/>
      <w:lang w:val="en-GB" w:eastAsia="ko-KR"/>
    </w:rPr>
  </w:style>
  <w:style w:type="character" w:customStyle="1" w:styleId="27">
    <w:name w:val="Heading 2 Char"/>
    <w:link w:val="3"/>
    <w:qFormat/>
    <w:uiPriority w:val="9"/>
    <w:rPr>
      <w:rFonts w:ascii="Arial" w:hAnsi="Arial"/>
      <w:b/>
      <w:bCs/>
      <w:caps/>
      <w:szCs w:val="26"/>
    </w:rPr>
  </w:style>
  <w:style w:type="paragraph" w:customStyle="1" w:styleId="28">
    <w:name w:val="CIL Footer"/>
    <w:basedOn w:val="1"/>
    <w:link w:val="29"/>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9">
    <w:name w:val="CIL Footer Char"/>
    <w:link w:val="28"/>
    <w:qFormat/>
    <w:uiPriority w:val="0"/>
    <w:rPr>
      <w:rFonts w:ascii="Arial" w:hAnsi="Arial" w:eastAsia="Batang" w:cs="Arial"/>
      <w:color w:val="808080"/>
      <w:sz w:val="16"/>
      <w:szCs w:val="16"/>
      <w:lang w:val="en-GB" w:eastAsia="ko-KR"/>
    </w:rPr>
  </w:style>
  <w:style w:type="paragraph" w:customStyle="1" w:styleId="30">
    <w:name w:val="CIL paragraph"/>
    <w:basedOn w:val="1"/>
    <w:autoRedefine/>
    <w:qFormat/>
    <w:uiPriority w:val="0"/>
    <w:pPr>
      <w:contextualSpacing/>
    </w:pPr>
    <w:rPr>
      <w:rFonts w:eastAsia="Batang" w:cs="Arial"/>
      <w:szCs w:val="24"/>
      <w:lang w:val="en-GB" w:eastAsia="ko-KR"/>
    </w:rPr>
  </w:style>
  <w:style w:type="paragraph" w:customStyle="1" w:styleId="31">
    <w:name w:val="CIL Subtitle"/>
    <w:basedOn w:val="1"/>
    <w:link w:val="32"/>
    <w:autoRedefine/>
    <w:qFormat/>
    <w:uiPriority w:val="0"/>
    <w:pPr>
      <w:jc w:val="center"/>
    </w:pPr>
    <w:rPr>
      <w:rFonts w:eastAsia="Batang" w:cs="Arial"/>
      <w:i/>
      <w:szCs w:val="24"/>
      <w:lang w:val="en-GB" w:eastAsia="ko-KR"/>
    </w:rPr>
  </w:style>
  <w:style w:type="character" w:customStyle="1" w:styleId="32">
    <w:name w:val="CIL Subtitle Char"/>
    <w:link w:val="31"/>
    <w:qFormat/>
    <w:uiPriority w:val="0"/>
    <w:rPr>
      <w:rFonts w:ascii="Arial" w:hAnsi="Arial" w:eastAsia="Batang" w:cs="Arial"/>
      <w:i/>
      <w:szCs w:val="24"/>
      <w:lang w:eastAsia="ko-KR"/>
    </w:rPr>
  </w:style>
  <w:style w:type="paragraph" w:customStyle="1" w:styleId="33">
    <w:name w:val="CIL Title"/>
    <w:basedOn w:val="1"/>
    <w:autoRedefine/>
    <w:qFormat/>
    <w:uiPriority w:val="0"/>
    <w:pPr>
      <w:jc w:val="center"/>
    </w:pPr>
    <w:rPr>
      <w:rFonts w:eastAsia="Batang" w:cs="Arial"/>
      <w:b/>
      <w:bCs/>
      <w:caps/>
      <w:kern w:val="32"/>
      <w:sz w:val="28"/>
      <w:szCs w:val="32"/>
      <w:lang w:val="en-GB" w:eastAsia="ko-KR"/>
    </w:rPr>
  </w:style>
  <w:style w:type="character" w:customStyle="1" w:styleId="34">
    <w:name w:val="Heading 3 Char"/>
    <w:link w:val="4"/>
    <w:qFormat/>
    <w:uiPriority w:val="9"/>
    <w:rPr>
      <w:rFonts w:ascii="Arial" w:hAnsi="Arial"/>
      <w:u w:val="single"/>
      <w:lang w:val="en-US" w:eastAsia="en-US"/>
    </w:rPr>
  </w:style>
  <w:style w:type="paragraph" w:customStyle="1" w:styleId="35">
    <w:name w:val="CIL L1 TOC"/>
    <w:basedOn w:val="12"/>
    <w:autoRedefine/>
    <w:qFormat/>
    <w:uiPriority w:val="0"/>
    <w:pPr>
      <w:tabs>
        <w:tab w:val="right" w:leader="dot" w:pos="9350"/>
      </w:tabs>
      <w:spacing w:before="120" w:after="120" w:line="360" w:lineRule="auto"/>
    </w:pPr>
    <w:rPr>
      <w:rFonts w:cs="Arial"/>
    </w:rPr>
  </w:style>
  <w:style w:type="paragraph" w:customStyle="1" w:styleId="36">
    <w:name w:val="Style1"/>
    <w:basedOn w:val="16"/>
    <w:autoRedefine/>
    <w:qFormat/>
    <w:uiPriority w:val="0"/>
    <w:pPr>
      <w:tabs>
        <w:tab w:val="right" w:leader="dot" w:pos="9350"/>
      </w:tabs>
      <w:spacing w:line="360" w:lineRule="auto"/>
      <w:ind w:left="202"/>
    </w:pPr>
    <w:rPr>
      <w:rFonts w:cs="Arial"/>
    </w:rPr>
  </w:style>
  <w:style w:type="paragraph" w:customStyle="1" w:styleId="37">
    <w:name w:val="CIL L2 TOC"/>
    <w:basedOn w:val="16"/>
    <w:autoRedefine/>
    <w:qFormat/>
    <w:uiPriority w:val="0"/>
    <w:pPr>
      <w:tabs>
        <w:tab w:val="right" w:leader="dot" w:pos="9350"/>
      </w:tabs>
      <w:spacing w:line="360" w:lineRule="auto"/>
      <w:ind w:left="202"/>
    </w:pPr>
    <w:rPr>
      <w:rFonts w:cs="Arial"/>
    </w:rPr>
  </w:style>
  <w:style w:type="paragraph" w:customStyle="1" w:styleId="38">
    <w:name w:val="CIL Paragraph"/>
    <w:basedOn w:val="1"/>
    <w:next w:val="1"/>
    <w:autoRedefine/>
    <w:qFormat/>
    <w:uiPriority w:val="0"/>
  </w:style>
  <w:style w:type="paragraph" w:customStyle="1" w:styleId="39">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40">
    <w:name w:val="Subtitle Char"/>
    <w:link w:val="14"/>
    <w:qFormat/>
    <w:uiPriority w:val="11"/>
    <w:rPr>
      <w:rFonts w:eastAsia="Times New Roman" w:cs="Times New Roman"/>
      <w:i/>
      <w:szCs w:val="24"/>
      <w:lang w:val="en-GB" w:eastAsia="ko-KR"/>
    </w:rPr>
  </w:style>
  <w:style w:type="character" w:customStyle="1" w:styleId="41">
    <w:name w:val="Title Char"/>
    <w:link w:val="18"/>
    <w:qFormat/>
    <w:uiPriority w:val="10"/>
    <w:rPr>
      <w:rFonts w:eastAsia="Times New Roman" w:cs="Times New Roman"/>
      <w:b/>
      <w:bCs/>
      <w:caps/>
      <w:kern w:val="28"/>
      <w:sz w:val="28"/>
      <w:szCs w:val="32"/>
      <w:lang w:val="en-GB" w:eastAsia="ko-KR"/>
    </w:rPr>
  </w:style>
  <w:style w:type="character" w:customStyle="1" w:styleId="42">
    <w:name w:val="Header Char"/>
    <w:link w:val="11"/>
    <w:qFormat/>
    <w:uiPriority w:val="99"/>
    <w:rPr>
      <w:rFonts w:ascii="Arial" w:hAnsi="Arial"/>
    </w:rPr>
  </w:style>
  <w:style w:type="character" w:customStyle="1" w:styleId="43">
    <w:name w:val="Footer Char"/>
    <w:link w:val="10"/>
    <w:qFormat/>
    <w:uiPriority w:val="99"/>
    <w:rPr>
      <w:rFonts w:ascii="Arial" w:hAnsi="Arial"/>
    </w:rPr>
  </w:style>
  <w:style w:type="paragraph" w:customStyle="1" w:styleId="44">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45">
    <w:name w:val="Balloon Text Char"/>
    <w:link w:val="9"/>
    <w:semiHidden/>
    <w:qFormat/>
    <w:uiPriority w:val="99"/>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Dropbox\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C625B-BA15-4BAF-AD22-51A0F56682C3}">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3</Pages>
  <Words>957</Words>
  <Characters>5708</Characters>
  <Lines>215</Lines>
  <Paragraphs>139</Paragraphs>
  <TotalTime>8</TotalTime>
  <ScaleCrop>false</ScaleCrop>
  <LinksUpToDate>false</LinksUpToDate>
  <CharactersWithSpaces>6640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2020-01-08T03:26:00Z</dcterms:created>
  <dc:creator>XPS</dc:creator>
  <cp:lastModifiedBy>Patrick</cp:lastModifiedBy>
  <cp:lastPrinted>2017-01-13T09:16:00Z</cp:lastPrinted>
  <dcterms:modified xsi:type="dcterms:W3CDTF">2025-07-27T17:25:25Z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DC9FB6ACB1BF42C4B4D24BC262B222D9_12</vt:lpwstr>
  </property>
</Properties>
</file>