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040E12">
      <w:pPr>
        <w:pStyle w:val="46"/>
      </w:pPr>
      <w:r>
        <w:t>2010 ASEAN MULTILATERAL AGREEMENT ON FULL LIBERALISATION OF PASSENGER AIR SERVICES</w:t>
      </w:r>
    </w:p>
    <w:p w14:paraId="671CB3BD">
      <w:pPr>
        <w:pStyle w:val="50"/>
        <w:numPr>
          <w:ilvl w:val="0"/>
          <w:numId w:val="0"/>
        </w:numPr>
        <w:ind w:left="425" w:leftChars="0" w:hanging="425" w:firstLineChars="0"/>
      </w:pPr>
      <w:r>
        <w:rPr>
          <w:rFonts w:hint="default" w:ascii="Arial" w:hAnsi="Arial" w:eastAsia="Calibri" w:cs="Arial"/>
          <w:sz w:val="20"/>
          <w:szCs w:val="20"/>
          <w:lang w:val="en-US" w:eastAsia="en-US" w:bidi="ar-SA"/>
        </w:rPr>
        <w:t>1.</w:t>
      </w:r>
      <w:bookmarkStart w:id="1" w:name="_GoBack"/>
      <w:bookmarkEnd w:id="1"/>
      <w:r>
        <w:t>Each Contracting Party grants to the other Contracting Parties the following rights for the conduct of international air services by the designated airlines of the other Contracting Parties: the right to fly across its territory without landing;  the right to make stops in its territory for non-traffic purposes; and the rights otherwise specified in this Agreement, including those rights stated in the Annex I (Scheduled Air Services) and, where applicable, Annex II (Implementing Protocols).</w:t>
      </w:r>
    </w:p>
    <w:p w14:paraId="35472BE2">
      <w:pPr>
        <w:pStyle w:val="50"/>
        <w:numPr>
          <w:ilvl w:val="0"/>
          <w:numId w:val="0"/>
        </w:numPr>
        <w:ind w:left="425" w:leftChars="0" w:hanging="425" w:firstLineChars="0"/>
      </w:pPr>
      <w:r>
        <w:rPr>
          <w:rFonts w:hint="default" w:ascii="Arial" w:hAnsi="Arial" w:eastAsia="Calibri" w:cs="Arial"/>
          <w:sz w:val="20"/>
          <w:szCs w:val="20"/>
          <w:lang w:val="en-US" w:eastAsia="en-US" w:bidi="ar-SA"/>
        </w:rPr>
        <w:t>2.</w:t>
      </w:r>
      <w:r>
        <w:t xml:space="preserve">The airline(s) of each Contracting Party, other than those designated under Article 3 (Designation and Authorisation of Airlines) of this Agreement, shall also enjoy the rights specified in paragraphs 1 (a) and (b) of this Article. These airlines shall be required to meet other conditions prescribed under the laws, regulations and rules normally applied to the operation of the international air services by the Contracting Party considering the application. </w:t>
      </w:r>
    </w:p>
    <w:p w14:paraId="303140E3">
      <w:pPr>
        <w:pStyle w:val="50"/>
        <w:numPr>
          <w:ilvl w:val="0"/>
          <w:numId w:val="0"/>
        </w:numPr>
        <w:ind w:left="425" w:leftChars="0" w:hanging="425" w:firstLineChars="0"/>
      </w:pPr>
      <w:r>
        <w:rPr>
          <w:rFonts w:hint="default" w:ascii="Arial" w:hAnsi="Arial" w:eastAsia="Calibri" w:cs="Arial"/>
          <w:sz w:val="20"/>
          <w:szCs w:val="20"/>
          <w:lang w:val="en-US" w:eastAsia="en-US" w:bidi="ar-SA"/>
        </w:rPr>
        <w:t>3.</w:t>
      </w:r>
      <w:r>
        <w:t xml:space="preserve">Nothing in this Agreement shall be deemed to confer on the airline(s) of one Contracting Party the right to take on board, in the territory of another Contracting Party, passengers, baggage, cargo, or mail carried for remuneration and destined for another point in the territory of that other Contracting Party. </w:t>
      </w:r>
    </w:p>
    <w:p w14:paraId="2BF3CB72">
      <w:pPr>
        <w:pStyle w:val="50"/>
        <w:numPr>
          <w:ilvl w:val="0"/>
          <w:numId w:val="0"/>
        </w:numPr>
        <w:ind w:left="425" w:leftChars="0" w:hanging="425" w:firstLineChars="0"/>
      </w:pPr>
      <w:r>
        <w:rPr>
          <w:rFonts w:hint="default" w:ascii="Arial" w:hAnsi="Arial" w:eastAsia="Calibri" w:cs="Arial"/>
          <w:sz w:val="20"/>
          <w:szCs w:val="20"/>
          <w:lang w:val="en-US" w:eastAsia="en-US" w:bidi="ar-SA"/>
        </w:rPr>
        <w:t>4.</w:t>
      </w:r>
      <w:r>
        <w:t xml:space="preserve">Each Contracting Party shall have the right to designate as many airlines as it wishes for the purpose of conducting international air services in accordance with this Agreement and to withdraw or alter such designation. Such designation shall be transmitted in writing through diplomatic channels to the Depositary who shall subsequently inform all the Contracting Parties. </w:t>
      </w:r>
    </w:p>
    <w:p w14:paraId="6C1274A0">
      <w:pPr>
        <w:pStyle w:val="50"/>
        <w:numPr>
          <w:ilvl w:val="0"/>
          <w:numId w:val="0"/>
        </w:numPr>
        <w:ind w:left="425" w:leftChars="0" w:hanging="425" w:firstLineChars="0"/>
      </w:pPr>
      <w:r>
        <w:rPr>
          <w:rFonts w:hint="default" w:ascii="Arial" w:hAnsi="Arial" w:eastAsia="Calibri" w:cs="Arial"/>
          <w:sz w:val="20"/>
          <w:szCs w:val="20"/>
          <w:lang w:val="en-US" w:eastAsia="en-US" w:bidi="ar-SA"/>
        </w:rPr>
        <w:t>5.</w:t>
      </w:r>
      <w:r>
        <w:t xml:space="preserve">On receipt of such a designation, and of application from the designated airline(s), in the form and manner prescribed for operating </w:t>
      </w:r>
      <w:r>
        <w:rPr>
          <w:lang w:val="en-SG"/>
        </w:rPr>
        <w:t>authorisation</w:t>
      </w:r>
      <w:r>
        <w:t xml:space="preserve"> and technical permission, each Contracting Party shall grant the appropriate authorisation and technical permission with minimum procedural delay, provided that: substantial ownership and effective control of that airline are vested in the Contracting Party designating the airline, nationals of that Contracting Party, or both; or subject to acceptance by a Contracting Party receiving such application, the designated airline which is incorporated and has its principal place of business in the territory of the Contracting Party that designates the airline, is and remains substantially owned and effectively controlled by one or more ASEAN Member States and/or its nationals, and the Contracting Party designating the airline has and maintains effective regulatory control; or subject to acceptance by a Contracting Party receiving such application, the designated airline is incorporated in and has its principal place of business in the territory of the Contracting Party that designates the airline in which the Contracting Party designating the airline, has and maintains effective regulatory control of that airline, provided that such arrangements will not be equivalent to allowing that airline or its subsidiaries access to traffic rights not otherwise available to that airline; and the designated airline is qualified to meet other conditions prescribed under the laws, regulations, and rules not normally applied to the operation of international air services by the Contracting Party considering the application; and</w:t>
      </w:r>
    </w:p>
    <w:p w14:paraId="14B47318">
      <w:pPr>
        <w:pStyle w:val="50"/>
        <w:numPr>
          <w:ilvl w:val="0"/>
          <w:numId w:val="0"/>
        </w:numPr>
        <w:ind w:left="425" w:leftChars="0" w:hanging="425" w:firstLineChars="0"/>
      </w:pPr>
      <w:r>
        <w:rPr>
          <w:rFonts w:hint="default" w:ascii="Arial" w:hAnsi="Arial" w:eastAsia="Calibri" w:cs="Arial"/>
          <w:sz w:val="20"/>
          <w:szCs w:val="20"/>
          <w:lang w:val="en-US" w:eastAsia="en-US" w:bidi="ar-SA"/>
        </w:rPr>
        <w:t>6.</w:t>
      </w:r>
      <w:r>
        <w:t xml:space="preserve">The Contracting Parties granting operational authorizations in accordance with accordance with paragraph 2 of this Article shall notify such action to the Depositary who will subsequently inform all the Contracting Parties. </w:t>
      </w:r>
    </w:p>
    <w:p w14:paraId="6BCE2541">
      <w:pPr>
        <w:pStyle w:val="50"/>
        <w:numPr>
          <w:ilvl w:val="0"/>
          <w:numId w:val="0"/>
        </w:numPr>
        <w:ind w:left="425" w:leftChars="0" w:hanging="425" w:firstLineChars="0"/>
      </w:pPr>
      <w:r>
        <w:rPr>
          <w:rFonts w:hint="default" w:ascii="Arial" w:hAnsi="Arial" w:eastAsia="Calibri" w:cs="Arial"/>
          <w:sz w:val="20"/>
          <w:szCs w:val="20"/>
          <w:lang w:val="en-US" w:eastAsia="en-US" w:bidi="ar-SA"/>
        </w:rPr>
        <w:t>7.</w:t>
      </w:r>
      <w:r>
        <w:t xml:space="preserve">Each Contracting Party shall have the right to withhold, revoke, suspend, impose conditions on or limit the operating authorisations or technical permission referred to in Article 3 (Designation and Authorisation of Airlines) of this Agreement with respect to an airline designated by another Contracting Party, temporarily or permanently where: the airline has failed to prove that it is qualified under Article 3 paragraphs 2 (a) (i) or (ii) or (iii) as applicable; or the airline has failed to comply with laws, regulations, and rules referred to in Article 14 (Application of Laws and Regulations) of this Agreement; or the other Contracting Party is not maintaining and administering the standards as set forth in Article 5 (Safety) of this Agreement. </w:t>
      </w:r>
    </w:p>
    <w:p w14:paraId="51DA898F">
      <w:pPr>
        <w:pStyle w:val="50"/>
        <w:numPr>
          <w:ilvl w:val="0"/>
          <w:numId w:val="0"/>
        </w:numPr>
        <w:ind w:left="425" w:leftChars="0" w:hanging="425" w:firstLineChars="0"/>
      </w:pPr>
      <w:r>
        <w:rPr>
          <w:rFonts w:hint="default" w:ascii="Arial" w:hAnsi="Arial" w:eastAsia="Calibri" w:cs="Arial"/>
          <w:sz w:val="20"/>
          <w:szCs w:val="20"/>
          <w:lang w:val="en-US" w:eastAsia="en-US" w:bidi="ar-SA"/>
        </w:rPr>
        <w:t>8.</w:t>
      </w:r>
      <w:r>
        <w:t xml:space="preserve">Unless immediate action is essential to prevent further noncompliance with paragraphs 1 (b) or 1 (c) of this Article, the rights established by this Article shall be exercised only after consultations with the Contracting Party designating the airline, in accordance with the provisions set forth in Article 16 (Consultations and Amendments). </w:t>
      </w:r>
    </w:p>
    <w:p w14:paraId="0BE76C2D">
      <w:pPr>
        <w:pStyle w:val="50"/>
        <w:numPr>
          <w:ilvl w:val="0"/>
          <w:numId w:val="0"/>
        </w:numPr>
        <w:ind w:left="425" w:leftChars="0" w:hanging="425" w:firstLineChars="0"/>
      </w:pPr>
      <w:r>
        <w:rPr>
          <w:rFonts w:hint="default" w:ascii="Arial" w:hAnsi="Arial" w:eastAsia="Calibri" w:cs="Arial"/>
          <w:sz w:val="20"/>
          <w:szCs w:val="20"/>
          <w:lang w:val="en-US" w:eastAsia="en-US" w:bidi="ar-SA"/>
        </w:rPr>
        <w:t>9.</w:t>
      </w:r>
      <w:r>
        <w:t xml:space="preserve">A Contracting Party that has exercised its right to withhold, revoke, suspend, impose conditions on or limit the operating authorisation or technical permission of an airline in accordance with paragraph 1 of this Article shall notify its action to the Depositary and the Depositary shall subsequently inform all the Contracting Parties. </w:t>
      </w:r>
    </w:p>
    <w:p w14:paraId="5A935F2B">
      <w:pPr>
        <w:pStyle w:val="50"/>
        <w:numPr>
          <w:ilvl w:val="0"/>
          <w:numId w:val="0"/>
        </w:numPr>
        <w:ind w:left="425" w:leftChars="0" w:hanging="425" w:firstLineChars="0"/>
      </w:pPr>
      <w:r>
        <w:rPr>
          <w:rFonts w:hint="default" w:ascii="Arial" w:hAnsi="Arial" w:eastAsia="Calibri" w:cs="Arial"/>
          <w:sz w:val="20"/>
          <w:szCs w:val="20"/>
          <w:lang w:val="en-US" w:eastAsia="en-US" w:bidi="ar-SA"/>
        </w:rPr>
        <w:t>10.</w:t>
      </w:r>
      <w:r>
        <w:t xml:space="preserve">This Article does not limit the rights of any Contracting Party to withhold, revoke, suspend, impose conditions on or limit the operating authorisation or technical permission of an airline(s) of the other Contracting Parties in accordance with the provisions of Article 6 (Aviation Security). </w:t>
      </w:r>
    </w:p>
    <w:p w14:paraId="649D28A1">
      <w:pPr>
        <w:numPr>
          <w:ilvl w:val="0"/>
          <w:numId w:val="0"/>
        </w:numPr>
        <w:spacing w:after="160" w:line="259" w:lineRule="auto"/>
        <w:ind w:left="425" w:leftChars="0" w:hanging="425" w:firstLineChars="0"/>
      </w:pPr>
      <w:r>
        <w:rPr>
          <w:rFonts w:hint="default" w:ascii="Calibri" w:hAnsi="Calibri" w:eastAsia="Calibri" w:cs="Times New Roman"/>
          <w:sz w:val="22"/>
          <w:szCs w:val="22"/>
          <w:lang w:val="en-US" w:eastAsia="en-US" w:bidi="ar-SA"/>
        </w:rPr>
        <w:t>11.</w:t>
      </w:r>
      <w:r>
        <w:t xml:space="preserve">Each Contracting Party shall recognise as valid, for the purpose of operating the air services provided for in this Agreement, certificates of airworthiness, certificates of competency, and licences issued, or validated by the Contracting Party that designates that said airline and still in force, provided that the requirements for such certificates or licences are at least equal to the minimum standards which may be established pursuant to the Convention. Each Contracting Party reserves the right, however, to refuse to recognise as valid for the purpose of flight above its territory, certificates of competency and licences granted to or validated for its own nationals by another Contracting Party. </w:t>
      </w:r>
    </w:p>
    <w:p w14:paraId="6C2DC599">
      <w:pPr>
        <w:pStyle w:val="50"/>
        <w:numPr>
          <w:ilvl w:val="0"/>
          <w:numId w:val="0"/>
        </w:numPr>
        <w:ind w:left="425" w:leftChars="0" w:hanging="425" w:firstLineChars="0"/>
      </w:pPr>
      <w:r>
        <w:rPr>
          <w:rFonts w:hint="default" w:ascii="Arial" w:hAnsi="Arial" w:eastAsia="Calibri" w:cs="Arial"/>
          <w:sz w:val="20"/>
          <w:szCs w:val="20"/>
          <w:lang w:val="en-US" w:eastAsia="en-US" w:bidi="ar-SA"/>
        </w:rPr>
        <w:t>12.</w:t>
      </w:r>
      <w:r>
        <w:t xml:space="preserve">Each Contracting Party may request consultations concerning the aviation safety and security standards maintained by another Contracting Party relating to aeronautical facilities, flight crew, aircraft, and operation of that other Contracting Party's designated airline(s). If, following such consultations, the first Contracting Party finds that the other Contracting Party does not effectively maintain and administer safety and aviation security standards and requirements in these areas that are at least equal to the minimum standards which may be established pursuant to the Convention, the other Contracting Party shall be notified of such findings and the steps considered necessary to conform with these minimum standards; and the other Contracting Party shall take appropriate corrective action. Each Contracting Party reserves the right to withhold, revoke, suspend, impose conditions on or limit the operating authorisation or technical permissions of an airline or airlines designated by the other Contracting Party in the event the other Contracting Party does not take such appropriate corrective action within a reasonable time. </w:t>
      </w:r>
    </w:p>
    <w:p w14:paraId="35E90C17">
      <w:pPr>
        <w:pStyle w:val="50"/>
        <w:numPr>
          <w:ilvl w:val="0"/>
          <w:numId w:val="0"/>
        </w:numPr>
        <w:ind w:left="425" w:leftChars="0" w:hanging="425" w:firstLineChars="0"/>
      </w:pPr>
      <w:r>
        <w:rPr>
          <w:rFonts w:hint="default" w:ascii="Arial" w:hAnsi="Arial" w:eastAsia="Calibri" w:cs="Arial"/>
          <w:sz w:val="20"/>
          <w:szCs w:val="20"/>
          <w:lang w:val="en-US" w:eastAsia="en-US" w:bidi="ar-SA"/>
        </w:rPr>
        <w:t>13.</w:t>
      </w:r>
      <w:r>
        <w:t xml:space="preserve">In accordance with their rights and obligations under international law, the Contracting Parties reaffirm their obligation to one another to protect the security of civil aviation against acts of unlawful interference forms an integral part of this Agreement. Without limiting the generality of their rights and obligations under international law, the Contracting Parties shall in particular act in conformity with the provisions of the Convention on Offences and Certain Other Acts Committed on Board Aircraft, signed at Tokyo on 14 September 1963, the Convention for the Suppression of Unlawful Seizure of Aircraft, signed at The Hague on 16 December 1970, the Convention for the Suppression of Unlawful Acts against the Safety of Civil Aviation, signed at Montreal on 23 September 1971, as well as any other convention or protocol relating to the security of civil aviation which all the Contracting Parties adhere to. </w:t>
      </w:r>
    </w:p>
    <w:p w14:paraId="5ED96B93">
      <w:pPr>
        <w:pStyle w:val="50"/>
        <w:numPr>
          <w:ilvl w:val="0"/>
          <w:numId w:val="0"/>
        </w:numPr>
        <w:ind w:left="425" w:leftChars="0" w:hanging="425" w:firstLineChars="0"/>
      </w:pPr>
      <w:r>
        <w:rPr>
          <w:rFonts w:hint="default" w:ascii="Arial" w:hAnsi="Arial" w:eastAsia="Calibri" w:cs="Arial"/>
          <w:sz w:val="20"/>
          <w:szCs w:val="20"/>
          <w:lang w:val="en-US" w:eastAsia="en-US" w:bidi="ar-SA"/>
        </w:rPr>
        <w:t>14.</w:t>
      </w:r>
      <w:r>
        <w:t xml:space="preserve">The Contracting Parties shall provide upon request all necessary assistance to one another to prevent acts of unlawful seizure of civil aircraft and other unlawful acts against the safety of such aircraft, their passengers and crew, airports and air navigation facilities, and to address any other threats to the security of civil aviation. </w:t>
      </w:r>
    </w:p>
    <w:p w14:paraId="410D7180">
      <w:pPr>
        <w:pStyle w:val="50"/>
        <w:numPr>
          <w:ilvl w:val="0"/>
          <w:numId w:val="0"/>
        </w:numPr>
        <w:ind w:left="425" w:leftChars="0" w:hanging="425" w:firstLineChars="0"/>
      </w:pPr>
      <w:r>
        <w:rPr>
          <w:rFonts w:hint="default" w:ascii="Arial" w:hAnsi="Arial" w:eastAsia="Calibri" w:cs="Arial"/>
          <w:sz w:val="20"/>
          <w:szCs w:val="20"/>
          <w:lang w:val="en-US" w:eastAsia="en-US" w:bidi="ar-SA"/>
        </w:rPr>
        <w:t>15.</w:t>
      </w:r>
      <w:r>
        <w:t xml:space="preserve">The Contracting Parties shall, in their mutual relations, act in conformity with the aviation security provisions established by the International Civil Aviation Organisation (ICAO) and designated as Annexes to the Convention; they shall require that operators of aircraft of their registry, operators of aircraft who have their principal place of business or permanent residence in their territory, and the operators of airports in their territory act in conformity with such aviation security provisions. </w:t>
      </w:r>
    </w:p>
    <w:p w14:paraId="1178FB6F">
      <w:pPr>
        <w:pStyle w:val="50"/>
        <w:numPr>
          <w:ilvl w:val="0"/>
          <w:numId w:val="0"/>
        </w:numPr>
        <w:ind w:left="425" w:leftChars="0" w:hanging="425" w:firstLineChars="0"/>
      </w:pPr>
      <w:r>
        <w:rPr>
          <w:rFonts w:hint="default" w:ascii="Arial" w:hAnsi="Arial" w:eastAsia="Calibri" w:cs="Arial"/>
          <w:sz w:val="20"/>
          <w:szCs w:val="20"/>
          <w:lang w:val="en-US" w:eastAsia="en-US" w:bidi="ar-SA"/>
        </w:rPr>
        <w:t>16.</w:t>
      </w:r>
      <w:r>
        <w:t xml:space="preserve">Each Contracting Party shall observe the aviation security provisions required by the other Contracting Parties for entry into, departure from, and while within their respective territories and to take adequate measures to protect aircraft and to inspect passengers, crew, and their carry-on items, as well as cargo and aircraft stores, prior to and during loading or unloading. Each Contracting Party shall also give positive consideration to any request from another Contracting Party for special security measures to meet a particular threat. </w:t>
      </w:r>
    </w:p>
    <w:p w14:paraId="2294C803">
      <w:pPr>
        <w:pStyle w:val="50"/>
        <w:numPr>
          <w:ilvl w:val="0"/>
          <w:numId w:val="0"/>
        </w:numPr>
        <w:ind w:left="425" w:leftChars="0" w:hanging="425" w:firstLineChars="0"/>
      </w:pPr>
      <w:r>
        <w:rPr>
          <w:rFonts w:hint="default" w:ascii="Arial" w:hAnsi="Arial" w:eastAsia="Calibri" w:cs="Arial"/>
          <w:sz w:val="20"/>
          <w:szCs w:val="20"/>
          <w:lang w:val="en-US" w:eastAsia="en-US" w:bidi="ar-SA"/>
        </w:rPr>
        <w:t>17.</w:t>
      </w:r>
      <w:r>
        <w:t xml:space="preserve">When an incident or threat of an incident of unlawful seizure of civil aircraft or other unlawful acts against the safety of aircraft, passengers and crew, airports or air navigation facilities occurs, the Contracting Parties shall assist one another by facilitating communications and other appropriate measures intended to terminate rapidly and safely such incident or threat. </w:t>
      </w:r>
    </w:p>
    <w:p w14:paraId="1CED47C1">
      <w:pPr>
        <w:pStyle w:val="50"/>
        <w:numPr>
          <w:ilvl w:val="0"/>
          <w:numId w:val="0"/>
        </w:numPr>
        <w:ind w:left="425" w:leftChars="0" w:hanging="425" w:firstLineChars="0"/>
      </w:pPr>
      <w:r>
        <w:rPr>
          <w:rFonts w:hint="default" w:ascii="Arial" w:hAnsi="Arial" w:eastAsia="Calibri" w:cs="Arial"/>
          <w:sz w:val="20"/>
          <w:szCs w:val="20"/>
          <w:lang w:val="en-US" w:eastAsia="en-US" w:bidi="ar-SA"/>
        </w:rPr>
        <w:t>18.</w:t>
      </w:r>
      <w:r>
        <w:t xml:space="preserve">When a Contracting Party has reasonable grounds to believe that another Contracting Party has departed from the aviation security provisions of this Article, the aeronautical authorities of that Contracting Party may request immediate consultations with the aeronautical authorities of the other Contracting Party. Failure to reach a satisfactory agreement within fifteen (15) days from the date of receipt of such request shall constitute grounds to withhold, revoke, suspend, impose conditions on or limit the operating authorisation and technical permission of an airline(s) of that Contracting Party. When required by an emergency, a Contracting Party may take interim action prior to the expiry of fifteen (15) days. </w:t>
      </w:r>
    </w:p>
    <w:p w14:paraId="129C383C">
      <w:pPr>
        <w:pStyle w:val="50"/>
        <w:numPr>
          <w:ilvl w:val="0"/>
          <w:numId w:val="0"/>
        </w:numPr>
        <w:ind w:left="425" w:leftChars="0" w:hanging="425" w:firstLineChars="0"/>
      </w:pPr>
      <w:r>
        <w:rPr>
          <w:rFonts w:hint="default" w:ascii="Arial" w:hAnsi="Arial" w:eastAsia="Calibri" w:cs="Arial"/>
          <w:sz w:val="20"/>
          <w:szCs w:val="20"/>
          <w:lang w:val="en-US" w:eastAsia="en-US" w:bidi="ar-SA"/>
        </w:rPr>
        <w:t>19.</w:t>
      </w:r>
      <w:r>
        <w:t xml:space="preserve">Each Contracting Party shall require the airline(s) of another Contracting Party providing service to that Contracting Party to submit a written operator security programme which has been approved by the aeronautical authorities of the Contracting Party of that airline for acceptance. </w:t>
      </w:r>
    </w:p>
    <w:p w14:paraId="40FD8517">
      <w:pPr>
        <w:pStyle w:val="50"/>
        <w:numPr>
          <w:ilvl w:val="0"/>
          <w:numId w:val="0"/>
        </w:numPr>
        <w:ind w:left="425" w:leftChars="0" w:hanging="425" w:firstLineChars="0"/>
      </w:pPr>
      <w:r>
        <w:rPr>
          <w:rFonts w:hint="default" w:ascii="Arial" w:hAnsi="Arial" w:eastAsia="Calibri" w:cs="Arial"/>
          <w:sz w:val="20"/>
          <w:szCs w:val="20"/>
          <w:lang w:val="en-US" w:eastAsia="en-US" w:bidi="ar-SA"/>
        </w:rPr>
        <w:t>20.</w:t>
      </w:r>
      <w:r>
        <w:t xml:space="preserve">The tariffs to be applied by the designated airline(s) of a Contracting Party for air services covered by this Agreement shall be established at reasonable levels, due regard being paid to all relevant factors, including interests of users, cost of operation, characteristics of service, reasonable profit, tariffs of other airlines, and other commercial considerations in the </w:t>
      </w:r>
      <w:r>
        <w:br w:type="textWrapping"/>
      </w:r>
      <w:r>
        <w:t xml:space="preserve">market-place. </w:t>
      </w:r>
    </w:p>
    <w:p w14:paraId="5E9FEFE7">
      <w:pPr>
        <w:pStyle w:val="50"/>
        <w:numPr>
          <w:ilvl w:val="0"/>
          <w:numId w:val="0"/>
        </w:numPr>
        <w:ind w:left="425" w:leftChars="0" w:hanging="425" w:firstLineChars="0"/>
      </w:pPr>
      <w:r>
        <w:rPr>
          <w:rFonts w:hint="default" w:ascii="Arial" w:hAnsi="Arial" w:eastAsia="Calibri" w:cs="Arial"/>
          <w:sz w:val="20"/>
          <w:szCs w:val="20"/>
          <w:lang w:val="en-US" w:eastAsia="en-US" w:bidi="ar-SA"/>
        </w:rPr>
        <w:t>21.</w:t>
      </w:r>
      <w:r>
        <w:t xml:space="preserve">Tariffs charged by airlines need not be filed with, or approved, by either Contracting Party. However, in the event the national law of a Contracting Party requires prior approval of a tariff, the tariff application shall be dealt with accordingly. In such cases, the principle of reciprocity may be applied by the Contracting Parties concerned at their discretion. </w:t>
      </w:r>
    </w:p>
    <w:p w14:paraId="15980C34">
      <w:pPr>
        <w:pStyle w:val="50"/>
        <w:numPr>
          <w:ilvl w:val="0"/>
          <w:numId w:val="0"/>
        </w:numPr>
        <w:ind w:left="425" w:leftChars="0" w:hanging="425" w:firstLineChars="0"/>
      </w:pPr>
      <w:r>
        <w:rPr>
          <w:rFonts w:hint="default" w:ascii="Arial" w:hAnsi="Arial" w:eastAsia="Calibri" w:cs="Arial"/>
          <w:sz w:val="20"/>
          <w:szCs w:val="20"/>
          <w:lang w:val="en-US" w:eastAsia="en-US" w:bidi="ar-SA"/>
        </w:rPr>
        <w:t>22.</w:t>
      </w:r>
      <w:r>
        <w:t xml:space="preserve">The Contracting Parties agree to give particular attention to tariffs that may be objectionable because they appear unreasonably discriminatory, unduly high or restrictive because of the abuse of a dominant position, or artificially low because of direct or indirect governmental subsidy or support or other anticompetitive practices. </w:t>
      </w:r>
    </w:p>
    <w:p w14:paraId="5CAB6884">
      <w:pPr>
        <w:pStyle w:val="50"/>
        <w:numPr>
          <w:ilvl w:val="0"/>
          <w:numId w:val="0"/>
        </w:numPr>
        <w:ind w:left="425" w:leftChars="0" w:hanging="425" w:firstLineChars="0"/>
      </w:pPr>
      <w:r>
        <w:rPr>
          <w:rFonts w:hint="default" w:ascii="Arial" w:hAnsi="Arial" w:eastAsia="Calibri" w:cs="Arial"/>
          <w:sz w:val="20"/>
          <w:szCs w:val="20"/>
          <w:lang w:val="en-US" w:eastAsia="en-US" w:bidi="ar-SA"/>
        </w:rPr>
        <w:t>23.</w:t>
      </w:r>
      <w:r>
        <w:t xml:space="preserve">The Contracting Parties shall ensure that their designated airline(s) provide the general public with full and comprehensive information on their air fares and rates and the conditions attached in advertisements to the public concerning their fares. </w:t>
      </w:r>
    </w:p>
    <w:p w14:paraId="5029F237">
      <w:pPr>
        <w:numPr>
          <w:ilvl w:val="0"/>
          <w:numId w:val="0"/>
        </w:numPr>
        <w:spacing w:after="160" w:line="259" w:lineRule="auto"/>
        <w:ind w:left="425" w:leftChars="0" w:hanging="425" w:firstLineChars="0"/>
        <w:rPr>
          <w:rFonts w:ascii="Arial" w:hAnsi="Arial" w:cs="Arial"/>
          <w:b/>
          <w:caps/>
          <w:sz w:val="28"/>
          <w:szCs w:val="28"/>
        </w:rPr>
      </w:pPr>
      <w:bookmarkStart w:id="0" w:name="_Toc295300497"/>
      <w:r>
        <w:rPr>
          <w:rFonts w:hint="default" w:ascii="Arial" w:hAnsi="Arial" w:eastAsia="Calibri" w:cs="Arial"/>
          <w:b/>
          <w:caps/>
          <w:sz w:val="28"/>
          <w:szCs w:val="28"/>
          <w:lang w:val="en-US" w:eastAsia="en-US" w:bidi="ar-SA"/>
        </w:rPr>
        <w:t>24.</w:t>
      </w:r>
      <w:r>
        <w:br w:type="page"/>
      </w:r>
    </w:p>
    <w:bookmarkEnd w:id="0"/>
    <w:p w14:paraId="7786FA30">
      <w:pPr>
        <w:pStyle w:val="50"/>
        <w:numPr>
          <w:ilvl w:val="0"/>
          <w:numId w:val="0"/>
        </w:numPr>
        <w:ind w:left="425" w:leftChars="0" w:hanging="425" w:firstLineChars="0"/>
      </w:pPr>
      <w:r>
        <w:rPr>
          <w:rFonts w:hint="default" w:ascii="Arial" w:hAnsi="Arial" w:eastAsia="Calibri" w:cs="Arial"/>
          <w:sz w:val="20"/>
          <w:szCs w:val="20"/>
          <w:lang w:val="en-US" w:eastAsia="en-US" w:bidi="ar-SA"/>
        </w:rPr>
        <w:t>25.</w:t>
      </w:r>
      <w:r>
        <w:t xml:space="preserve">When a designated airline proposes to use an aircraft other than one owned by it on the air services provided hereunder, this would only be done subject to the following conditions: that such arrangements will not be equivalent to allowing a lessor airline access to traffic rights not otherwise available to that airline; that the financial benefit to be obtained by the lessor airline will not be dependent on the profit or loss of the operation of the designated airline concerned; and that the responsibility for the continued airworthiness and the adequacy of operating and maintenance standards of any leased aircraft operated by an airline designated by one Contracting Party will be established in conformity with the Convention. </w:t>
      </w:r>
    </w:p>
    <w:p w14:paraId="512268BF">
      <w:pPr>
        <w:pStyle w:val="50"/>
        <w:numPr>
          <w:ilvl w:val="0"/>
          <w:numId w:val="0"/>
        </w:numPr>
        <w:ind w:left="425" w:leftChars="0" w:hanging="425" w:firstLineChars="0"/>
      </w:pPr>
      <w:r>
        <w:rPr>
          <w:rFonts w:hint="default" w:ascii="Arial" w:hAnsi="Arial" w:eastAsia="Calibri" w:cs="Arial"/>
          <w:sz w:val="20"/>
          <w:szCs w:val="20"/>
          <w:lang w:val="en-US" w:eastAsia="en-US" w:bidi="ar-SA"/>
        </w:rPr>
        <w:t>26.</w:t>
      </w:r>
      <w:r>
        <w:t xml:space="preserve">A designated airline is not otherwise prohibited from providing services using leased aircraft provided that any lease arrangement entered into satisfies the conditions listed in paragraph 1 of this Article. </w:t>
      </w:r>
    </w:p>
    <w:p w14:paraId="3941CBA2">
      <w:pPr>
        <w:pStyle w:val="50"/>
        <w:numPr>
          <w:ilvl w:val="0"/>
          <w:numId w:val="0"/>
        </w:numPr>
        <w:ind w:left="425" w:leftChars="0" w:hanging="425" w:firstLineChars="0"/>
      </w:pPr>
      <w:r>
        <w:rPr>
          <w:rFonts w:hint="default" w:ascii="Arial" w:hAnsi="Arial" w:eastAsia="Calibri" w:cs="Arial"/>
          <w:sz w:val="20"/>
          <w:szCs w:val="20"/>
          <w:lang w:val="en-US" w:eastAsia="en-US" w:bidi="ar-SA"/>
        </w:rPr>
        <w:t>27.</w:t>
      </w:r>
      <w:r>
        <w:t xml:space="preserve">In operating or holding out the authorised services on the agreed routes, the designated airline(s) may, subject to national laws and regulations and policies, enter into cooperative marketing arrangements, which may include but are not limited to, code-sharing or block-space with: an airline(s) of the same Contracting Party; and an airline(s) of the other Contracting Parties, provided that all participants in such arrangements hold the underlying traffic rights and appropriate authorisation and meet the requirements applied to such arrangements. </w:t>
      </w:r>
    </w:p>
    <w:p w14:paraId="37C3B88D">
      <w:pPr>
        <w:pStyle w:val="50"/>
        <w:numPr>
          <w:ilvl w:val="0"/>
          <w:numId w:val="0"/>
        </w:numPr>
        <w:ind w:left="425" w:leftChars="0" w:hanging="425" w:firstLineChars="0"/>
      </w:pPr>
      <w:r>
        <w:rPr>
          <w:rFonts w:hint="default" w:ascii="Arial" w:hAnsi="Arial" w:eastAsia="Calibri" w:cs="Arial"/>
          <w:sz w:val="20"/>
          <w:szCs w:val="20"/>
          <w:lang w:val="en-US" w:eastAsia="en-US" w:bidi="ar-SA"/>
        </w:rPr>
        <w:t>28.</w:t>
      </w:r>
      <w:r>
        <w:t xml:space="preserve">The marketing airline may be required to file for approval to the aeronautical authorities of each Contracting Party of any cooperative marketing arrangements entered into with an operating airline, in accordance with paragraph 2 of this Article, before its proposed introduction. </w:t>
      </w:r>
    </w:p>
    <w:p w14:paraId="1E80B127">
      <w:pPr>
        <w:pStyle w:val="50"/>
        <w:numPr>
          <w:ilvl w:val="0"/>
          <w:numId w:val="0"/>
        </w:numPr>
        <w:ind w:left="425" w:leftChars="0" w:hanging="425" w:firstLineChars="0"/>
      </w:pPr>
      <w:r>
        <w:rPr>
          <w:rFonts w:hint="default" w:ascii="Arial" w:hAnsi="Arial" w:eastAsia="Calibri" w:cs="Arial"/>
          <w:sz w:val="20"/>
          <w:szCs w:val="20"/>
          <w:lang w:val="en-US" w:eastAsia="en-US" w:bidi="ar-SA"/>
        </w:rPr>
        <w:t>29.</w:t>
      </w:r>
      <w:r>
        <w:t xml:space="preserve">When holding out air services for sale, the marketing airline(s) will make it clear to the purchaser of tickets for such services, at the point of sale, which airline(s) will be the operating airline on each sector of the services and with which airline(s) the purchaser is entering into a contractual relationship. </w:t>
      </w:r>
    </w:p>
    <w:p w14:paraId="44037B49">
      <w:pPr>
        <w:pStyle w:val="50"/>
        <w:numPr>
          <w:ilvl w:val="0"/>
          <w:numId w:val="0"/>
        </w:numPr>
        <w:ind w:left="425" w:leftChars="0" w:hanging="425" w:firstLineChars="0"/>
      </w:pPr>
      <w:r>
        <w:rPr>
          <w:rFonts w:hint="default" w:ascii="Arial" w:hAnsi="Arial" w:eastAsia="Calibri" w:cs="Arial"/>
          <w:sz w:val="20"/>
          <w:szCs w:val="20"/>
          <w:lang w:val="en-US" w:eastAsia="en-US" w:bidi="ar-SA"/>
        </w:rPr>
        <w:t>30.</w:t>
      </w:r>
      <w:r>
        <w:t xml:space="preserve">No Contracting Party shall impose or permit to be imposed on the designated airline(s) of another Contracting Party user charges higher than those imposed on its own airline(s) operating similar international air services. </w:t>
      </w:r>
    </w:p>
    <w:p w14:paraId="760ABF5A">
      <w:pPr>
        <w:pStyle w:val="50"/>
        <w:numPr>
          <w:ilvl w:val="0"/>
          <w:numId w:val="0"/>
        </w:numPr>
        <w:ind w:left="425" w:leftChars="0" w:hanging="425" w:firstLineChars="0"/>
      </w:pPr>
      <w:r>
        <w:rPr>
          <w:rFonts w:hint="default" w:ascii="Arial" w:hAnsi="Arial" w:eastAsia="Calibri" w:cs="Arial"/>
          <w:sz w:val="20"/>
          <w:szCs w:val="20"/>
          <w:lang w:val="en-US" w:eastAsia="en-US" w:bidi="ar-SA"/>
        </w:rPr>
        <w:t>31.</w:t>
      </w:r>
      <w:r>
        <w:t xml:space="preserve">Each Contracting Party shall encourage consultations on user charges between its competent charging authorities and airline(s) using the services and facilities provided by those charging authorities, where practicable through those airlines' representative organisations. Reasonable notice of any proposals for changes in user charges should be given to such users to enable them to express their views before changes are made. Each Contracting Party shall further encourage its competent charging authorities and such users to exchange appropriate information concerning user charges. </w:t>
      </w:r>
    </w:p>
    <w:p w14:paraId="609D9CBC">
      <w:pPr>
        <w:pStyle w:val="50"/>
        <w:numPr>
          <w:ilvl w:val="0"/>
          <w:numId w:val="0"/>
        </w:numPr>
        <w:ind w:left="425" w:leftChars="0" w:hanging="425" w:firstLineChars="0"/>
      </w:pPr>
      <w:r>
        <w:rPr>
          <w:rFonts w:hint="default" w:ascii="Arial" w:hAnsi="Arial" w:eastAsia="Calibri" w:cs="Arial"/>
          <w:sz w:val="20"/>
          <w:szCs w:val="20"/>
          <w:lang w:val="en-US" w:eastAsia="en-US" w:bidi="ar-SA"/>
        </w:rPr>
        <w:t>32.</w:t>
      </w:r>
      <w:r>
        <w:t xml:space="preserve">Each Contracting Party shall on the basis of reciprocity, exempt a designated airline or designated airlines of another Contracting Party to the fullest extent possible under its national law from customs duties, excise taxes, inspection fees and other national duties and charges on aircraft, fuel, ground equipment, lubricating oils, consumable technical supplies, spare parts including engines, regular aircraft equipment, aircraft stores and other items, such as printed air waybills, any printed material which bears the insignia of the company printed thereon and usual publicity material distributed free of charge by those designated airlines, intended for use or used solely in connection with the operation or servicing of aircraft of those designated airline(s) operating the agreed services. </w:t>
      </w:r>
    </w:p>
    <w:p w14:paraId="4F252CDF">
      <w:pPr>
        <w:numPr>
          <w:ilvl w:val="0"/>
          <w:numId w:val="0"/>
        </w:numPr>
        <w:spacing w:after="160" w:line="259" w:lineRule="auto"/>
        <w:ind w:left="425" w:leftChars="0" w:hanging="425" w:firstLineChars="0"/>
        <w:rPr>
          <w:rFonts w:hint="eastAsia" w:eastAsia="宋体"/>
          <w:lang w:val="en-US" w:eastAsia="zh-CN"/>
        </w:rPr>
      </w:pPr>
      <w:r>
        <w:rPr>
          <w:rFonts w:hint="default" w:ascii="Calibri" w:hAnsi="Calibri" w:eastAsia="宋体" w:cs="Times New Roman"/>
          <w:sz w:val="22"/>
          <w:szCs w:val="22"/>
          <w:lang w:val="en-US" w:eastAsia="zh-CN" w:bidi="ar-SA"/>
        </w:rPr>
        <w:t>33.</w:t>
      </w:r>
      <w:r>
        <w:br w:type="page"/>
      </w:r>
      <w:r>
        <w:t>The exemptions granted by this Article shall apply to the items referred to in paragraph 1: a) introduced into the territory of the Contracting Party by or on behalf of the designated airline(s) of another Contracting Party; or b) retained on board aircraft of the designated airline(s) of one Contracting Party upon arrival in or leaving the territory of another Contracting Party; or c) taken on board aircraft of the designated airline(s) of one Contracting Party in the territory of another Contracting Party and intended for use in operating the agreed services</w:t>
      </w:r>
      <w:r>
        <w:rPr>
          <w:rFonts w:hint="eastAsia" w:eastAsia="宋体"/>
          <w:lang w:val="en-US" w:eastAsia="zh-CN"/>
        </w:rPr>
        <w:t>.</w:t>
      </w:r>
    </w:p>
    <w:p w14:paraId="5D8F3534">
      <w:pPr>
        <w:pStyle w:val="50"/>
        <w:numPr>
          <w:ilvl w:val="0"/>
          <w:numId w:val="0"/>
        </w:numPr>
        <w:ind w:left="425" w:leftChars="0" w:hanging="425" w:firstLineChars="0"/>
      </w:pPr>
      <w:r>
        <w:rPr>
          <w:rFonts w:hint="default" w:ascii="Arial" w:hAnsi="Arial" w:eastAsia="Calibri" w:cs="Arial"/>
          <w:sz w:val="20"/>
          <w:szCs w:val="20"/>
          <w:lang w:val="en-US" w:eastAsia="en-US" w:bidi="ar-SA"/>
        </w:rPr>
        <w:t>34.</w:t>
      </w:r>
      <w:r>
        <w:t xml:space="preserve">The regular airborne equipment, as well as the materials and supplies normally retained on board the aircraft of a designated airline(s) of any Contracting Party, may be unloaded in the territory of another Contracting Party only with the approval of the customs authorities of that territory. In such case, they may be placed under the supervision of the said authorities up to such time as they are re-exported or otherwise disposed of in accordance with customs regulations. </w:t>
      </w:r>
    </w:p>
    <w:p w14:paraId="6ADC97AD">
      <w:pPr>
        <w:pStyle w:val="50"/>
        <w:numPr>
          <w:ilvl w:val="0"/>
          <w:numId w:val="0"/>
        </w:numPr>
        <w:ind w:left="425" w:leftChars="0" w:hanging="425" w:firstLineChars="0"/>
      </w:pPr>
      <w:r>
        <w:rPr>
          <w:rFonts w:hint="default" w:ascii="Arial" w:hAnsi="Arial" w:eastAsia="Calibri" w:cs="Arial"/>
          <w:sz w:val="20"/>
          <w:szCs w:val="20"/>
          <w:lang w:val="en-US" w:eastAsia="en-US" w:bidi="ar-SA"/>
        </w:rPr>
        <w:t>35.</w:t>
      </w:r>
      <w:r>
        <w:t xml:space="preserve">The exemptions provided by this Article shall also be available where the designated airline(s) of one Contracting Party has contracted with another designated airline(s), which similarly enjoys such exemptions from other Contracting Parties, for the loan or transfer in the territory of the other Contracting Parties of the items specified in paragraph 1 of this Article. </w:t>
      </w:r>
    </w:p>
    <w:p w14:paraId="10BF5939">
      <w:pPr>
        <w:pStyle w:val="50"/>
        <w:numPr>
          <w:ilvl w:val="0"/>
          <w:numId w:val="0"/>
        </w:numPr>
        <w:ind w:left="425" w:leftChars="0" w:hanging="425" w:firstLineChars="0"/>
      </w:pPr>
      <w:r>
        <w:rPr>
          <w:rFonts w:hint="default" w:ascii="Arial" w:hAnsi="Arial" w:eastAsia="Calibri" w:cs="Arial"/>
          <w:sz w:val="20"/>
          <w:szCs w:val="20"/>
          <w:lang w:val="en-US" w:eastAsia="en-US" w:bidi="ar-SA"/>
        </w:rPr>
        <w:t>36.</w:t>
      </w:r>
      <w:r>
        <w:t xml:space="preserve">Each Contracting Party agrees: </w:t>
      </w:r>
      <w:r>
        <w:tab/>
      </w:r>
      <w:r>
        <w:t>that each designated airline shall have a fair and equal opportunity to compete in providing the international air services governed by this Agreement; and to take action to eliminate all forms of discrimination and/or anti-competitive practices by that Contracting Party and/or its designated airline(s) that it deems to adversely affect the competitive position of a designated airline of any other Contracting Party.</w:t>
      </w:r>
    </w:p>
    <w:p w14:paraId="7E9182BA">
      <w:pPr>
        <w:pStyle w:val="50"/>
        <w:numPr>
          <w:ilvl w:val="0"/>
          <w:numId w:val="0"/>
        </w:numPr>
        <w:ind w:left="425" w:leftChars="0" w:hanging="425" w:firstLineChars="0"/>
      </w:pPr>
      <w:r>
        <w:rPr>
          <w:rFonts w:hint="default" w:ascii="Arial" w:hAnsi="Arial" w:eastAsia="Calibri" w:cs="Arial"/>
          <w:sz w:val="20"/>
          <w:szCs w:val="20"/>
          <w:lang w:val="en-US" w:eastAsia="en-US" w:bidi="ar-SA"/>
        </w:rPr>
        <w:t>37.</w:t>
      </w:r>
      <w:r>
        <w:t>The Contracting Parties agree that the following airline practices may be regarded as possible anti-competitive practices that may merit closer examination:</w:t>
      </w:r>
      <w:r>
        <w:rPr>
          <w:rFonts w:hint="eastAsia" w:eastAsia="宋体"/>
          <w:lang w:val="en-US" w:eastAsia="zh-CN"/>
        </w:rPr>
        <w:t xml:space="preserve"> </w:t>
      </w:r>
      <w:r>
        <w:t>charging fares and rates on routes at levels which are, in the aggregate, insufficient to cover the costs of providing the air services to which they relate;</w:t>
      </w:r>
      <w:r>
        <w:rPr>
          <w:rFonts w:hint="eastAsia" w:eastAsia="宋体"/>
          <w:lang w:val="en-US" w:eastAsia="zh-CN"/>
        </w:rPr>
        <w:t xml:space="preserve"> </w:t>
      </w:r>
      <w:r>
        <w:t>the addition of excessive capacity or frequency of air services;</w:t>
      </w:r>
      <w:r>
        <w:rPr>
          <w:rFonts w:hint="eastAsia" w:eastAsia="宋体"/>
          <w:lang w:val="en-US" w:eastAsia="zh-CN"/>
        </w:rPr>
        <w:t xml:space="preserve"> </w:t>
      </w:r>
      <w:r>
        <w:t>the practices in question are sustained rather than temporary;</w:t>
      </w:r>
      <w:r>
        <w:rPr>
          <w:rFonts w:hint="eastAsia" w:eastAsia="宋体"/>
          <w:lang w:val="en-US" w:eastAsia="zh-CN"/>
        </w:rPr>
        <w:t xml:space="preserve"> </w:t>
      </w:r>
      <w:r>
        <w:t>the practices in question have a serious negative economic effect on, or cause significant damage to another airline;</w:t>
      </w:r>
      <w:r>
        <w:rPr>
          <w:rFonts w:hint="eastAsia" w:eastAsia="宋体"/>
          <w:lang w:val="en-US" w:eastAsia="zh-CN"/>
        </w:rPr>
        <w:t xml:space="preserve"> </w:t>
      </w:r>
      <w:r>
        <w:t>the practices in question reflect an apparent intent or have the probable effect, of crippling, excluding or driving another airline from the market; and</w:t>
      </w:r>
      <w:r>
        <w:rPr>
          <w:rFonts w:hint="eastAsia" w:eastAsia="宋体"/>
          <w:lang w:val="en-US" w:eastAsia="zh-CN"/>
        </w:rPr>
        <w:t xml:space="preserve"> </w:t>
      </w:r>
      <w:r>
        <w:t>behaviour indicating an abuse of dominant position on the route.</w:t>
      </w:r>
    </w:p>
    <w:p w14:paraId="4676C9C1">
      <w:pPr>
        <w:pStyle w:val="50"/>
        <w:numPr>
          <w:ilvl w:val="0"/>
          <w:numId w:val="0"/>
        </w:numPr>
        <w:ind w:left="425" w:leftChars="0" w:hanging="425" w:firstLineChars="0"/>
      </w:pPr>
      <w:r>
        <w:rPr>
          <w:rFonts w:hint="default" w:ascii="Arial" w:hAnsi="Arial" w:eastAsia="Calibri" w:cs="Arial"/>
          <w:sz w:val="20"/>
          <w:szCs w:val="20"/>
          <w:lang w:val="en-US" w:eastAsia="en-US" w:bidi="ar-SA"/>
        </w:rPr>
        <w:t>38.</w:t>
      </w:r>
      <w:r>
        <w:t>The grant of state aid and/or subsidy shall be transparent among the Contracting Parties, and shall not distort competition among the designated airlines of the Contracting Parties. The Contracting Parties concerned shall furnish other interested Contracting Parties, upon their requests, with complete information on such grant and any revision to or extension of such grant. Such information shall be treated with the utmost sensitivity and confidentiality.</w:t>
      </w:r>
    </w:p>
    <w:p w14:paraId="6A23A389">
      <w:pPr>
        <w:pStyle w:val="50"/>
        <w:numPr>
          <w:ilvl w:val="0"/>
          <w:numId w:val="0"/>
        </w:numPr>
        <w:ind w:left="425" w:leftChars="0" w:hanging="425" w:firstLineChars="0"/>
      </w:pPr>
      <w:r>
        <w:rPr>
          <w:rFonts w:hint="default" w:ascii="Arial" w:hAnsi="Arial" w:eastAsia="Calibri" w:cs="Arial"/>
          <w:sz w:val="20"/>
          <w:szCs w:val="20"/>
          <w:lang w:val="en-US" w:eastAsia="en-US" w:bidi="ar-SA"/>
        </w:rPr>
        <w:t>39.</w:t>
      </w:r>
      <w:r>
        <w:t>If the aeronautical authorities of one Contracting Party consider that an operation or operations intended or conducted by the designated airline of another Contracting Party may constitute unfair competitive behaviour in accordance with the indicators listed in paragraph 1, or any discrimination by means of undue state aid and/or subsidy by that other Contracting Party, they may request consultations in accordance with Article 16 (Consultations and Amendment) with a view to resolving the problem. Any such request shall be accompanied by notice of the reasons for the request, and the consultations shall begin within fifteen (15) days of the receipt of such request.</w:t>
      </w:r>
    </w:p>
    <w:p w14:paraId="73E700DC">
      <w:pPr>
        <w:pStyle w:val="50"/>
        <w:numPr>
          <w:ilvl w:val="0"/>
          <w:numId w:val="0"/>
        </w:numPr>
        <w:ind w:left="425" w:leftChars="0" w:hanging="425" w:firstLineChars="0"/>
      </w:pPr>
      <w:r>
        <w:rPr>
          <w:rFonts w:hint="default" w:ascii="Arial" w:hAnsi="Arial" w:eastAsia="Calibri" w:cs="Arial"/>
          <w:sz w:val="20"/>
          <w:szCs w:val="20"/>
          <w:lang w:val="en-US" w:eastAsia="en-US" w:bidi="ar-SA"/>
        </w:rPr>
        <w:t>40.</w:t>
      </w:r>
      <w:r>
        <w:t>If the Contracting Parties fail to reach a resolution of the problem through consultations, any Contracting Party may invoke the dispute resolution mechanism under Article 17 (Settlement of Disputes) to resolve the dispute.</w:t>
      </w:r>
    </w:p>
    <w:p w14:paraId="128A6BDA">
      <w:pPr>
        <w:pStyle w:val="50"/>
        <w:numPr>
          <w:ilvl w:val="0"/>
          <w:numId w:val="0"/>
        </w:numPr>
        <w:ind w:left="425" w:leftChars="0" w:hanging="425" w:firstLineChars="0"/>
      </w:pPr>
      <w:r>
        <w:rPr>
          <w:rFonts w:hint="default" w:ascii="Arial" w:hAnsi="Arial" w:eastAsia="Calibri" w:cs="Arial"/>
          <w:sz w:val="20"/>
          <w:szCs w:val="20"/>
          <w:lang w:val="en-US" w:eastAsia="en-US" w:bidi="ar-SA"/>
        </w:rPr>
        <w:t>41.</w:t>
      </w:r>
      <w:r>
        <w:t>Each Contracting Party shall have the right to withhold, revoke, suspend, impose conditions on or limit the operating authorisations with respect to an airline designated by another Contracting Party temporarily, should there be reasonable ground to believe that unfair or anti-competitive practices related to paragraphs 1 and 2 of this Article committed by a Contracting Party or its designated airline seriously affect the operation of its designated airline.</w:t>
      </w:r>
    </w:p>
    <w:p w14:paraId="51725F43">
      <w:pPr>
        <w:pStyle w:val="50"/>
        <w:numPr>
          <w:ilvl w:val="0"/>
          <w:numId w:val="0"/>
        </w:numPr>
        <w:ind w:left="425" w:leftChars="0" w:hanging="425" w:firstLineChars="0"/>
      </w:pPr>
      <w:r>
        <w:rPr>
          <w:rFonts w:hint="default" w:ascii="Arial" w:hAnsi="Arial" w:eastAsia="Calibri" w:cs="Arial"/>
          <w:sz w:val="20"/>
          <w:szCs w:val="20"/>
          <w:lang w:val="en-US" w:eastAsia="en-US" w:bidi="ar-SA"/>
        </w:rPr>
        <w:t>42.</w:t>
      </w:r>
      <w:r>
        <w:t xml:space="preserve">While entering, within, or leaving the territory of one Contracting Party, its laws, regulations and rules relating to the operation and navigation of aircraft shall be complied with by the airline(s) designated by any other Contracting Party. </w:t>
      </w:r>
    </w:p>
    <w:p w14:paraId="61082028">
      <w:pPr>
        <w:pStyle w:val="50"/>
        <w:numPr>
          <w:ilvl w:val="0"/>
          <w:numId w:val="0"/>
        </w:numPr>
        <w:ind w:left="425" w:leftChars="0" w:hanging="425" w:firstLineChars="0"/>
      </w:pPr>
      <w:r>
        <w:rPr>
          <w:rFonts w:hint="default" w:ascii="Arial" w:hAnsi="Arial" w:eastAsia="Calibri" w:cs="Arial"/>
          <w:sz w:val="20"/>
          <w:szCs w:val="20"/>
          <w:lang w:val="en-US" w:eastAsia="en-US" w:bidi="ar-SA"/>
        </w:rPr>
        <w:t>43.</w:t>
      </w:r>
      <w:r>
        <w:t xml:space="preserve">While entering, within, or leaving the territory of one Contracting Party, its laws, regulations and rules relating to the admission to or departure from its territory of passengers, crew or cargo on aircraft (including regulations relating to entry, clearance, aviation security, immigration, passports, customs and quarantine or, in the case of mail, postal regulations) shall be complied with by, or on behalf of, such passengers, crew or cargo of the airline(s) of any other Contracting Party. </w:t>
      </w:r>
    </w:p>
    <w:p w14:paraId="069B17D3">
      <w:pPr>
        <w:pStyle w:val="50"/>
        <w:numPr>
          <w:ilvl w:val="0"/>
          <w:numId w:val="0"/>
        </w:numPr>
        <w:ind w:left="425" w:leftChars="0" w:hanging="425" w:firstLineChars="0"/>
      </w:pPr>
      <w:r>
        <w:rPr>
          <w:rFonts w:hint="default" w:ascii="Arial" w:hAnsi="Arial" w:eastAsia="Calibri" w:cs="Arial"/>
          <w:sz w:val="20"/>
          <w:szCs w:val="20"/>
          <w:lang w:val="en-US" w:eastAsia="en-US" w:bidi="ar-SA"/>
        </w:rPr>
        <w:t>44.</w:t>
      </w:r>
      <w:r>
        <w:t xml:space="preserve">Passengers, baggage and cargo in transit through the territory of any Contracting Party and not leaving the area of the airport reserved for such purpose shall not undergo any examination except for reasons of aviation security, narcotics control, prevention of illegal entry or in special circumstances. </w:t>
      </w:r>
    </w:p>
    <w:p w14:paraId="1C7B211E">
      <w:pPr>
        <w:pStyle w:val="50"/>
        <w:numPr>
          <w:ilvl w:val="0"/>
          <w:numId w:val="0"/>
        </w:numPr>
        <w:ind w:left="425" w:leftChars="0" w:hanging="425" w:firstLineChars="0"/>
      </w:pPr>
      <w:r>
        <w:rPr>
          <w:rFonts w:hint="default" w:ascii="Arial" w:hAnsi="Arial" w:eastAsia="Calibri" w:cs="Arial"/>
          <w:sz w:val="20"/>
          <w:szCs w:val="20"/>
          <w:lang w:val="en-US" w:eastAsia="en-US" w:bidi="ar-SA"/>
        </w:rPr>
        <w:t>45.</w:t>
      </w:r>
      <w:r>
        <w:t xml:space="preserve">The aeronautical authority of each Contracting Party shall provide the aeronautical authorities of the other Contracting Parties, upon request, with periodic statistics or other similar information relating to the traffic carried on the agreed services. </w:t>
      </w:r>
    </w:p>
    <w:p w14:paraId="44EE08F3">
      <w:pPr>
        <w:pStyle w:val="50"/>
        <w:numPr>
          <w:ilvl w:val="0"/>
          <w:numId w:val="0"/>
        </w:numPr>
        <w:ind w:left="425" w:leftChars="0" w:hanging="425" w:firstLineChars="0"/>
      </w:pPr>
      <w:r>
        <w:rPr>
          <w:rFonts w:hint="default" w:ascii="Arial" w:hAnsi="Arial" w:eastAsia="Calibri" w:cs="Arial"/>
          <w:sz w:val="20"/>
          <w:szCs w:val="20"/>
          <w:lang w:val="en-US" w:eastAsia="en-US" w:bidi="ar-SA"/>
        </w:rPr>
        <w:t>46.</w:t>
      </w:r>
      <w:r>
        <w:t xml:space="preserve">The aeronautical authorities of the Contracting Parties shall consult one another from time to time with a view to ensuring the implementation of, and satisfactory compliance with, the provisions of this Agreement. Unless otherwise agreed, such consultations shall begin at the earliest possible date, but not later than sixty (60) days from the date the other Contracting Party receives, through diplomatic or other appropriate channels, a written request, including an explanation of the issues to be raised. When the date for consultations has been agreed, the requesting Contracting Party shall also notify all the other Contracting Parties of the consultations and the issues to be raised. Any Contracting Party may attend. Once the consultations have been concluded, all the Contracting Parties as well as the Depositary shall be notified of the results. </w:t>
      </w:r>
    </w:p>
    <w:p w14:paraId="18A7ED3B">
      <w:pPr>
        <w:pStyle w:val="50"/>
        <w:numPr>
          <w:ilvl w:val="0"/>
          <w:numId w:val="0"/>
        </w:numPr>
        <w:ind w:left="425" w:leftChars="0" w:hanging="425" w:firstLineChars="0"/>
      </w:pPr>
      <w:r>
        <w:rPr>
          <w:rFonts w:hint="default" w:ascii="Arial" w:hAnsi="Arial" w:eastAsia="Calibri" w:cs="Arial"/>
          <w:sz w:val="20"/>
          <w:szCs w:val="20"/>
          <w:lang w:val="en-US" w:eastAsia="en-US" w:bidi="ar-SA"/>
        </w:rPr>
        <w:t>47.</w:t>
      </w:r>
      <w:r>
        <w:t xml:space="preserve">If one third of the Contracting Parties consider it desirable to amend any provision of this Agreement they shall be entitled, by request addressed to the Secretary-General of ASEAN, given not earlier than twelve (12) months after the entry into force of this Agreement, to call a meeting of all the Contracting Parties in order to consider any amendments which they may propose to this Agreement. Such amendment, if agreed among all the Contracting Parties and if necessary after consultations in accordance with paragraph 1 of this Article, shall come into effect when more than half of the Contracting Parties have deposited their Instruments of Ratification or Acceptance of such amendment. </w:t>
      </w:r>
    </w:p>
    <w:p w14:paraId="4E9839A0">
      <w:pPr>
        <w:pStyle w:val="50"/>
        <w:numPr>
          <w:ilvl w:val="0"/>
          <w:numId w:val="0"/>
        </w:numPr>
        <w:ind w:left="425" w:leftChars="0" w:hanging="425" w:firstLineChars="0"/>
      </w:pPr>
      <w:r>
        <w:rPr>
          <w:rFonts w:hint="default" w:ascii="Arial" w:hAnsi="Arial" w:eastAsia="Calibri" w:cs="Arial"/>
          <w:sz w:val="20"/>
          <w:szCs w:val="20"/>
          <w:lang w:val="en-US" w:eastAsia="en-US" w:bidi="ar-SA"/>
        </w:rPr>
        <w:t>48.</w:t>
      </w:r>
      <w:r>
        <w:t xml:space="preserve">In the event of the conclusion of any general multilateral convention concerning international air services by which all the Contracting Parties become bound, this Agreement shall be so modified as to conform with the provisions of such convention. </w:t>
      </w:r>
    </w:p>
    <w:p w14:paraId="4DB4479D">
      <w:pPr>
        <w:pStyle w:val="50"/>
        <w:numPr>
          <w:ilvl w:val="0"/>
          <w:numId w:val="0"/>
        </w:numPr>
        <w:ind w:left="425" w:leftChars="0" w:hanging="425" w:firstLineChars="0"/>
      </w:pPr>
      <w:r>
        <w:rPr>
          <w:rFonts w:hint="default" w:ascii="Arial" w:hAnsi="Arial" w:eastAsia="Calibri" w:cs="Arial"/>
          <w:sz w:val="20"/>
          <w:szCs w:val="20"/>
          <w:lang w:val="en-US" w:eastAsia="en-US" w:bidi="ar-SA"/>
        </w:rPr>
        <w:t>49.</w:t>
      </w:r>
      <w:r>
        <w:t xml:space="preserve">The provisions of the ASEAN Protocol on Enhanced Dispute Settlement Mechanism, done at Vientiane, Lao PDR, on 29 November 2004 and any amendment thereto, shall apply to disputes arising under this Agreement. </w:t>
      </w:r>
    </w:p>
    <w:p w14:paraId="59733121">
      <w:pPr>
        <w:pStyle w:val="50"/>
        <w:numPr>
          <w:ilvl w:val="0"/>
          <w:numId w:val="0"/>
        </w:numPr>
        <w:ind w:left="425" w:leftChars="0" w:hanging="425" w:firstLineChars="0"/>
      </w:pPr>
      <w:r>
        <w:rPr>
          <w:rFonts w:hint="default" w:ascii="Arial" w:hAnsi="Arial" w:eastAsia="Calibri" w:cs="Arial"/>
          <w:sz w:val="20"/>
          <w:szCs w:val="20"/>
          <w:lang w:val="en-US" w:eastAsia="en-US" w:bidi="ar-SA"/>
        </w:rPr>
        <w:t>50.</w:t>
      </w:r>
      <w:r>
        <w:t xml:space="preserve">This Agreement or any actions taken thereto shall not affect the rights and obligations of the Contracting Parties under any existing agreements or international conventions to which they are also Contracting Parties, except as provided in paragraph 3 of this Article. </w:t>
      </w:r>
    </w:p>
    <w:p w14:paraId="1E86CA5A">
      <w:pPr>
        <w:pStyle w:val="50"/>
        <w:numPr>
          <w:ilvl w:val="0"/>
          <w:numId w:val="0"/>
        </w:numPr>
        <w:ind w:left="425" w:leftChars="0" w:hanging="425" w:firstLineChars="0"/>
      </w:pPr>
      <w:r>
        <w:rPr>
          <w:rFonts w:hint="default" w:ascii="Arial" w:hAnsi="Arial" w:eastAsia="Calibri" w:cs="Arial"/>
          <w:sz w:val="20"/>
          <w:szCs w:val="20"/>
          <w:lang w:val="en-US" w:eastAsia="en-US" w:bidi="ar-SA"/>
        </w:rPr>
        <w:t>51.</w:t>
      </w:r>
      <w:r>
        <w:t xml:space="preserve">Nothing in this Agreement shall prejudice the rights or the exercise of these rights by any Contracting Party under the provisions of the United Nations Convention on the Law of the Sea of 1982, in particular with regard to freedom of the high seas, rights of innocent passage, archipelagic sea lanes passage or transit passage of ships and aircraft, and consistent with the Charter of the United Nations. </w:t>
      </w:r>
    </w:p>
    <w:p w14:paraId="1919F77B">
      <w:pPr>
        <w:pStyle w:val="50"/>
        <w:numPr>
          <w:ilvl w:val="0"/>
          <w:numId w:val="0"/>
        </w:numPr>
        <w:ind w:left="425" w:leftChars="0" w:hanging="425" w:firstLineChars="0"/>
      </w:pPr>
      <w:r>
        <w:rPr>
          <w:rFonts w:hint="default" w:ascii="Arial" w:hAnsi="Arial" w:eastAsia="Calibri" w:cs="Arial"/>
          <w:sz w:val="20"/>
          <w:szCs w:val="20"/>
          <w:lang w:val="en-US" w:eastAsia="en-US" w:bidi="ar-SA"/>
        </w:rPr>
        <w:t>52.</w:t>
      </w:r>
      <w:r>
        <w:t xml:space="preserve">In the event of any inconsistency between a provision of this Agreement and a provision of any existing bilateral or multilateral air services agreement(s) (including any amendments thereto), by which two or more of the ASEAN Member States are bound or which is not covered by this Agreement, the provision which is less restrictive or more liberal or which is not covered by this Agreement, shall prevail. If the inconsistency concerns provisions relating to safety or aviation security, the provisions prescribing a higher or more stringent standard of safety or aviation security shall prevail to the extent of the inconsistency. </w:t>
      </w:r>
    </w:p>
    <w:p w14:paraId="74752082">
      <w:pPr>
        <w:pStyle w:val="50"/>
        <w:numPr>
          <w:ilvl w:val="0"/>
          <w:numId w:val="0"/>
        </w:numPr>
        <w:ind w:left="425" w:leftChars="0" w:hanging="425" w:firstLineChars="0"/>
      </w:pPr>
      <w:r>
        <w:rPr>
          <w:rFonts w:hint="default" w:ascii="Arial" w:hAnsi="Arial" w:eastAsia="Calibri" w:cs="Arial"/>
          <w:sz w:val="20"/>
          <w:szCs w:val="20"/>
          <w:lang w:val="en-US" w:eastAsia="en-US" w:bidi="ar-SA"/>
        </w:rPr>
        <w:t>53.</w:t>
      </w:r>
      <w:r>
        <w:t xml:space="preserve">This Agreement shall be deposited with the Depositary who shall promptly furnish a certified true copy thereof to each Contracting Party. </w:t>
      </w:r>
    </w:p>
    <w:p w14:paraId="57CE8958">
      <w:pPr>
        <w:pStyle w:val="50"/>
        <w:numPr>
          <w:ilvl w:val="0"/>
          <w:numId w:val="0"/>
        </w:numPr>
        <w:ind w:left="425" w:leftChars="0" w:hanging="425" w:firstLineChars="0"/>
      </w:pPr>
      <w:r>
        <w:rPr>
          <w:rFonts w:hint="default" w:ascii="Arial" w:hAnsi="Arial" w:eastAsia="Calibri" w:cs="Arial"/>
          <w:sz w:val="20"/>
          <w:szCs w:val="20"/>
          <w:lang w:val="en-US" w:eastAsia="en-US" w:bidi="ar-SA"/>
        </w:rPr>
        <w:t>54.</w:t>
      </w:r>
      <w:r>
        <w:t xml:space="preserve">This Agreement is subject to ratification or acceptance by the Contracting Parties. The Instruments of Ratification or Acceptance shall be deposited with the Depositary and the Depositary shall promptly inform each Contracting Party of such deposit. </w:t>
      </w:r>
    </w:p>
    <w:p w14:paraId="3390C6E8">
      <w:pPr>
        <w:pStyle w:val="50"/>
        <w:numPr>
          <w:ilvl w:val="0"/>
          <w:numId w:val="0"/>
        </w:numPr>
        <w:ind w:left="425" w:leftChars="0" w:hanging="425" w:firstLineChars="0"/>
      </w:pPr>
      <w:r>
        <w:rPr>
          <w:rFonts w:hint="default" w:ascii="Arial" w:hAnsi="Arial" w:eastAsia="Calibri" w:cs="Arial"/>
          <w:sz w:val="20"/>
          <w:szCs w:val="20"/>
          <w:lang w:val="en-US" w:eastAsia="en-US" w:bidi="ar-SA"/>
        </w:rPr>
        <w:t>55.</w:t>
      </w:r>
      <w:r>
        <w:t xml:space="preserve">This Agreement shall enter into force on the date of the deposit of the third (3rd) Instrument of Ratification or Acceptance with the Depositary and shall become effective only among the Contracting Parties that have ratified, or accepted it. </w:t>
      </w:r>
    </w:p>
    <w:p w14:paraId="4B4A29AF">
      <w:pPr>
        <w:pStyle w:val="50"/>
        <w:numPr>
          <w:ilvl w:val="0"/>
          <w:numId w:val="0"/>
        </w:numPr>
        <w:ind w:left="425" w:leftChars="0" w:hanging="425" w:firstLineChars="0"/>
      </w:pPr>
      <w:r>
        <w:rPr>
          <w:rFonts w:hint="default" w:ascii="Arial" w:hAnsi="Arial" w:eastAsia="Calibri" w:cs="Arial"/>
          <w:sz w:val="20"/>
          <w:szCs w:val="20"/>
          <w:lang w:val="en-US" w:eastAsia="en-US" w:bidi="ar-SA"/>
        </w:rPr>
        <w:t>56.</w:t>
      </w:r>
      <w:r>
        <w:t xml:space="preserve">Subject to paragraph 3 of this Article, the Implementing Protocols as listed in Annex II of this Agreement shall enter into force upon ratification or acceptance as set out in the "Final Provisions" of the respective Implementing Protocols. The provisions of this Agreement shall only apply in respect of the Implementing Protocol that has entered into force among the Contracting Parties that have ratified or accepted it. </w:t>
      </w:r>
    </w:p>
    <w:p w14:paraId="4CF45798">
      <w:pPr>
        <w:pStyle w:val="50"/>
        <w:numPr>
          <w:ilvl w:val="0"/>
          <w:numId w:val="0"/>
        </w:numPr>
        <w:ind w:left="425" w:leftChars="0" w:hanging="425" w:firstLineChars="0"/>
      </w:pPr>
      <w:r>
        <w:rPr>
          <w:rFonts w:hint="default" w:ascii="Arial" w:hAnsi="Arial" w:eastAsia="Calibri" w:cs="Arial"/>
          <w:sz w:val="20"/>
          <w:szCs w:val="20"/>
          <w:lang w:val="en-US" w:eastAsia="en-US" w:bidi="ar-SA"/>
        </w:rPr>
        <w:t>57.</w:t>
      </w:r>
      <w:r>
        <w:t xml:space="preserve">The Depositary shall maintain a centralised register of airline designations and operating authorisation in accordance with Article 3 (Designation and Authorisation of Airlines) of this Agreement. </w:t>
      </w:r>
    </w:p>
    <w:p w14:paraId="6873F2E5">
      <w:pPr>
        <w:pStyle w:val="50"/>
        <w:numPr>
          <w:ilvl w:val="0"/>
          <w:numId w:val="0"/>
        </w:numPr>
        <w:ind w:left="425" w:leftChars="0" w:hanging="425" w:firstLineChars="0"/>
      </w:pPr>
      <w:r>
        <w:rPr>
          <w:rFonts w:hint="default" w:ascii="Arial" w:hAnsi="Arial" w:eastAsia="Calibri" w:cs="Arial"/>
          <w:sz w:val="20"/>
          <w:szCs w:val="20"/>
          <w:lang w:val="en-US" w:eastAsia="en-US" w:bidi="ar-SA"/>
        </w:rPr>
        <w:t>58.</w:t>
      </w:r>
      <w:r>
        <w:t>The Depositary shall register this Agreement with the ICAO as soon as it enters into force.</w:t>
      </w:r>
    </w:p>
    <w:sectPr>
      <w:footerReference r:id="rId7" w:type="first"/>
      <w:headerReference r:id="rId5" w:type="default"/>
      <w:footerReference r:id="rId6" w:type="default"/>
      <w:pgSz w:w="11909" w:h="16834"/>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Lucida Sans">
    <w:panose1 w:val="020B0602030504020204"/>
    <w:charset w:val="00"/>
    <w:family w:val="swiss"/>
    <w:pitch w:val="default"/>
    <w:sig w:usb0="00000003" w:usb1="00000000" w:usb2="00000000" w:usb3="00000000" w:csb0="20000001"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449469"/>
      <w:docPartObj>
        <w:docPartGallery w:val="AutoText"/>
      </w:docPartObj>
    </w:sdtPr>
    <w:sdtContent>
      <w:p w14:paraId="26EF5639">
        <w:pPr>
          <w:pStyle w:val="17"/>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33"/>
            <w:rFonts w:ascii="Arial" w:hAnsi="Arial" w:cs="Arial"/>
            <w:sz w:val="16"/>
            <w:szCs w:val="16"/>
          </w:rPr>
          <w:t>www.cil.nus.edu</w:t>
        </w:r>
        <w:r>
          <w:rPr>
            <w:rStyle w:val="33"/>
            <w:rFonts w:ascii="Arial" w:hAnsi="Arial" w:cs="Arial"/>
            <w:sz w:val="16"/>
            <w:szCs w:val="16"/>
          </w:rPr>
          <w:fldChar w:fldCharType="end"/>
        </w:r>
        <w:r>
          <w:rPr>
            <w:rStyle w:val="33"/>
            <w:rFonts w:ascii="Arial" w:hAnsi="Arial" w:cs="Arial"/>
            <w:sz w:val="16"/>
            <w:szCs w:val="16"/>
          </w:rPr>
          <w:t>.sg</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8</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17</w:t>
        </w:r>
        <w:r>
          <w:rPr>
            <w:rFonts w:cs="Arial"/>
            <w:color w:val="7F7F7F"/>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844170">
    <w:pPr>
      <w:pStyle w:val="17"/>
      <w:framePr w:wrap="around" w:vAnchor="text" w:hAnchor="margin" w:xAlign="right" w:y="1"/>
      <w:rPr>
        <w:rStyle w:val="31"/>
      </w:rPr>
    </w:pPr>
  </w:p>
  <w:sdt>
    <w:sdtPr>
      <w:id w:val="-1993248767"/>
      <w:docPartObj>
        <w:docPartGallery w:val="AutoText"/>
      </w:docPartObj>
    </w:sdtPr>
    <w:sdtContent>
      <w:p w14:paraId="2AFCEAC4">
        <w:pPr>
          <w:pStyle w:val="17"/>
          <w:pBdr>
            <w:top w:val="single" w:color="auto" w:sz="4" w:space="8"/>
          </w:pBdr>
          <w:tabs>
            <w:tab w:val="left" w:pos="7938"/>
          </w:tabs>
          <w:ind w:right="91"/>
          <w:rPr>
            <w:rFonts w:ascii="Lucida Sans" w:hAnsi="Lucida Sans" w:eastAsia="Batang"/>
            <w:lang w:val="en-GB"/>
          </w:rPr>
        </w:pPr>
        <w:r>
          <w:rPr>
            <w:rFonts w:ascii="Arial" w:hAnsi="Arial" w:cs="Arial"/>
            <w:color w:val="808080"/>
            <w:sz w:val="16"/>
            <w:szCs w:val="16"/>
          </w:rPr>
          <w:t xml:space="preserve">UNOFFICIAL TEXT · CENTRE FOR INTERNATIONAL LAW · </w:t>
        </w:r>
        <w:r>
          <w:fldChar w:fldCharType="begin"/>
        </w:r>
        <w:r>
          <w:instrText xml:space="preserve"> HYPERLINK "http://www.cil.nus.edu" </w:instrText>
        </w:r>
        <w:r>
          <w:fldChar w:fldCharType="separate"/>
        </w:r>
        <w:r>
          <w:rPr>
            <w:rStyle w:val="33"/>
            <w:rFonts w:ascii="Arial" w:hAnsi="Arial" w:cs="Arial"/>
            <w:sz w:val="16"/>
            <w:szCs w:val="16"/>
          </w:rPr>
          <w:t>www.cil.nus.edu</w:t>
        </w:r>
        <w:r>
          <w:rPr>
            <w:rStyle w:val="33"/>
            <w:rFonts w:ascii="Arial" w:hAnsi="Arial" w:cs="Arial"/>
            <w:sz w:val="16"/>
            <w:szCs w:val="16"/>
          </w:rPr>
          <w:fldChar w:fldCharType="end"/>
        </w:r>
        <w:r>
          <w:rPr>
            <w:rStyle w:val="33"/>
            <w:rFonts w:ascii="Arial" w:hAnsi="Arial" w:cs="Arial"/>
            <w:sz w:val="16"/>
            <w:szCs w:val="16"/>
          </w:rPr>
          <w:t>.sg</w:t>
        </w:r>
        <w:r>
          <w:rPr>
            <w:rFonts w:ascii="Arial" w:hAnsi="Arial" w:cs="Arial"/>
            <w:sz w:val="16"/>
            <w:szCs w:val="16"/>
          </w:rPr>
          <w:tab/>
        </w:r>
        <w:r>
          <w:rPr>
            <w:rFonts w:cs="Arial"/>
            <w:color w:val="7F7F7F"/>
            <w:sz w:val="16"/>
            <w:szCs w:val="16"/>
          </w:rPr>
          <w:t xml:space="preserve">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1</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17</w:t>
        </w:r>
        <w:r>
          <w:rPr>
            <w:rFonts w:cs="Arial"/>
            <w:color w:val="7F7F7F"/>
            <w:sz w:val="16"/>
            <w:szCs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16A11E">
    <w:pPr>
      <w:pBdr>
        <w:bottom w:val="single" w:color="auto" w:sz="4" w:space="1"/>
      </w:pBdr>
      <w:spacing w:after="120"/>
      <w:rPr>
        <w:b/>
        <w:color w:val="808080"/>
        <w:sz w:val="16"/>
        <w:szCs w:val="16"/>
      </w:rPr>
    </w:pPr>
    <w:r>
      <w:rPr>
        <w:rStyle w:val="79"/>
        <w:rFonts w:ascii="Arial" w:hAnsi="Arial" w:eastAsia="Arial" w:cs="Arial"/>
        <w:b w:val="0"/>
        <w:i w:val="0"/>
        <w:caps/>
        <w:color w:val="808080"/>
        <w:sz w:val="16"/>
        <w:szCs w:val="16"/>
        <w:lang w:val="en-GB"/>
      </w:rPr>
      <w:t>2010 ASEAN MULTILATERAL AGREEMENT ON FULL LIBERALISATION OF PASSENGER AIR SERVICES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3E5"/>
    <w:rsid w:val="00005566"/>
    <w:rsid w:val="00020FCE"/>
    <w:rsid w:val="00022662"/>
    <w:rsid w:val="00025279"/>
    <w:rsid w:val="00031E3A"/>
    <w:rsid w:val="00032179"/>
    <w:rsid w:val="000517B2"/>
    <w:rsid w:val="00056002"/>
    <w:rsid w:val="00071DEB"/>
    <w:rsid w:val="00091CB6"/>
    <w:rsid w:val="000927BC"/>
    <w:rsid w:val="0009322B"/>
    <w:rsid w:val="00096356"/>
    <w:rsid w:val="000A0777"/>
    <w:rsid w:val="000A20B4"/>
    <w:rsid w:val="000A2A83"/>
    <w:rsid w:val="000B2F33"/>
    <w:rsid w:val="000B38F8"/>
    <w:rsid w:val="000C0938"/>
    <w:rsid w:val="000D639B"/>
    <w:rsid w:val="000E032D"/>
    <w:rsid w:val="00133A56"/>
    <w:rsid w:val="00153158"/>
    <w:rsid w:val="00160819"/>
    <w:rsid w:val="00176930"/>
    <w:rsid w:val="001901B5"/>
    <w:rsid w:val="00195774"/>
    <w:rsid w:val="001C5255"/>
    <w:rsid w:val="001D23E1"/>
    <w:rsid w:val="001D6B82"/>
    <w:rsid w:val="001D7363"/>
    <w:rsid w:val="001E338F"/>
    <w:rsid w:val="00211989"/>
    <w:rsid w:val="00226EE3"/>
    <w:rsid w:val="00235EE9"/>
    <w:rsid w:val="002540CF"/>
    <w:rsid w:val="00270F22"/>
    <w:rsid w:val="002801A3"/>
    <w:rsid w:val="00291438"/>
    <w:rsid w:val="00294AA0"/>
    <w:rsid w:val="002E5AF1"/>
    <w:rsid w:val="00313DD3"/>
    <w:rsid w:val="00325B75"/>
    <w:rsid w:val="00332826"/>
    <w:rsid w:val="003331BE"/>
    <w:rsid w:val="00334154"/>
    <w:rsid w:val="00344987"/>
    <w:rsid w:val="00357A47"/>
    <w:rsid w:val="003623A2"/>
    <w:rsid w:val="00364DFC"/>
    <w:rsid w:val="00365F19"/>
    <w:rsid w:val="00366B7D"/>
    <w:rsid w:val="00393662"/>
    <w:rsid w:val="003A1855"/>
    <w:rsid w:val="003A23C3"/>
    <w:rsid w:val="003A29DC"/>
    <w:rsid w:val="003A33AA"/>
    <w:rsid w:val="003C0653"/>
    <w:rsid w:val="003C5F1A"/>
    <w:rsid w:val="003D3DF9"/>
    <w:rsid w:val="003D4F4E"/>
    <w:rsid w:val="003E4E8C"/>
    <w:rsid w:val="003F4524"/>
    <w:rsid w:val="003F45F2"/>
    <w:rsid w:val="003F50A9"/>
    <w:rsid w:val="004077FA"/>
    <w:rsid w:val="0041101D"/>
    <w:rsid w:val="00431978"/>
    <w:rsid w:val="00455E9F"/>
    <w:rsid w:val="00466AE6"/>
    <w:rsid w:val="00475FAF"/>
    <w:rsid w:val="004944B6"/>
    <w:rsid w:val="00494E10"/>
    <w:rsid w:val="004B0982"/>
    <w:rsid w:val="004B5D4B"/>
    <w:rsid w:val="004E5AF1"/>
    <w:rsid w:val="004F0275"/>
    <w:rsid w:val="00502D51"/>
    <w:rsid w:val="005277F2"/>
    <w:rsid w:val="00527886"/>
    <w:rsid w:val="00527C44"/>
    <w:rsid w:val="00556CA4"/>
    <w:rsid w:val="005A3EA3"/>
    <w:rsid w:val="005C174D"/>
    <w:rsid w:val="005C34D6"/>
    <w:rsid w:val="005C387E"/>
    <w:rsid w:val="005C6A7A"/>
    <w:rsid w:val="005E2C91"/>
    <w:rsid w:val="005E4755"/>
    <w:rsid w:val="005E6C74"/>
    <w:rsid w:val="005F0CDC"/>
    <w:rsid w:val="005F2049"/>
    <w:rsid w:val="00620805"/>
    <w:rsid w:val="00636489"/>
    <w:rsid w:val="006442A4"/>
    <w:rsid w:val="00646A8E"/>
    <w:rsid w:val="00646B8B"/>
    <w:rsid w:val="00657627"/>
    <w:rsid w:val="006757A7"/>
    <w:rsid w:val="00681854"/>
    <w:rsid w:val="0072590A"/>
    <w:rsid w:val="0074341F"/>
    <w:rsid w:val="007476D1"/>
    <w:rsid w:val="00780B19"/>
    <w:rsid w:val="007A0CE1"/>
    <w:rsid w:val="007A2C7A"/>
    <w:rsid w:val="007B5E5C"/>
    <w:rsid w:val="007D5461"/>
    <w:rsid w:val="007F6ECE"/>
    <w:rsid w:val="00807C56"/>
    <w:rsid w:val="00820548"/>
    <w:rsid w:val="00822313"/>
    <w:rsid w:val="00822B9F"/>
    <w:rsid w:val="00867C5F"/>
    <w:rsid w:val="00870650"/>
    <w:rsid w:val="008913FA"/>
    <w:rsid w:val="008D5CC1"/>
    <w:rsid w:val="008E3018"/>
    <w:rsid w:val="00926A9A"/>
    <w:rsid w:val="009453BE"/>
    <w:rsid w:val="009610D1"/>
    <w:rsid w:val="0098625E"/>
    <w:rsid w:val="00992FE8"/>
    <w:rsid w:val="009973C2"/>
    <w:rsid w:val="009A07DC"/>
    <w:rsid w:val="009B104E"/>
    <w:rsid w:val="009B6600"/>
    <w:rsid w:val="009C410C"/>
    <w:rsid w:val="009D4184"/>
    <w:rsid w:val="009E0DD3"/>
    <w:rsid w:val="009E6377"/>
    <w:rsid w:val="00A041AA"/>
    <w:rsid w:val="00A10E6B"/>
    <w:rsid w:val="00A2282A"/>
    <w:rsid w:val="00A50BEA"/>
    <w:rsid w:val="00A57D06"/>
    <w:rsid w:val="00A7204F"/>
    <w:rsid w:val="00AA15D0"/>
    <w:rsid w:val="00AB5DBE"/>
    <w:rsid w:val="00AB6617"/>
    <w:rsid w:val="00AB73C4"/>
    <w:rsid w:val="00AC53D5"/>
    <w:rsid w:val="00AD71CE"/>
    <w:rsid w:val="00AF4264"/>
    <w:rsid w:val="00AF698A"/>
    <w:rsid w:val="00AF70E2"/>
    <w:rsid w:val="00AF7998"/>
    <w:rsid w:val="00B05094"/>
    <w:rsid w:val="00B06866"/>
    <w:rsid w:val="00B153BE"/>
    <w:rsid w:val="00B27DE0"/>
    <w:rsid w:val="00B30BE2"/>
    <w:rsid w:val="00B51A1C"/>
    <w:rsid w:val="00B51CE7"/>
    <w:rsid w:val="00B558C5"/>
    <w:rsid w:val="00B94BD6"/>
    <w:rsid w:val="00BB44A9"/>
    <w:rsid w:val="00BB5EEE"/>
    <w:rsid w:val="00BB5FD5"/>
    <w:rsid w:val="00BC6379"/>
    <w:rsid w:val="00BC77B9"/>
    <w:rsid w:val="00BD225D"/>
    <w:rsid w:val="00BD4E85"/>
    <w:rsid w:val="00BE214B"/>
    <w:rsid w:val="00C12204"/>
    <w:rsid w:val="00C1510D"/>
    <w:rsid w:val="00C37EB2"/>
    <w:rsid w:val="00C53B71"/>
    <w:rsid w:val="00C611A9"/>
    <w:rsid w:val="00C61B33"/>
    <w:rsid w:val="00C803D2"/>
    <w:rsid w:val="00C9260F"/>
    <w:rsid w:val="00C943F0"/>
    <w:rsid w:val="00CA0CDC"/>
    <w:rsid w:val="00CA1660"/>
    <w:rsid w:val="00CA3915"/>
    <w:rsid w:val="00CA3BB2"/>
    <w:rsid w:val="00CD28DB"/>
    <w:rsid w:val="00CE2624"/>
    <w:rsid w:val="00CF7F8B"/>
    <w:rsid w:val="00D22588"/>
    <w:rsid w:val="00D25360"/>
    <w:rsid w:val="00D554B3"/>
    <w:rsid w:val="00D66F29"/>
    <w:rsid w:val="00D85FD1"/>
    <w:rsid w:val="00D87FE0"/>
    <w:rsid w:val="00D909F9"/>
    <w:rsid w:val="00D97DED"/>
    <w:rsid w:val="00DA2ED6"/>
    <w:rsid w:val="00DB23ED"/>
    <w:rsid w:val="00DC5E58"/>
    <w:rsid w:val="00DC66F3"/>
    <w:rsid w:val="00DE488C"/>
    <w:rsid w:val="00DF35C9"/>
    <w:rsid w:val="00E032AB"/>
    <w:rsid w:val="00E11892"/>
    <w:rsid w:val="00E302EE"/>
    <w:rsid w:val="00E453EE"/>
    <w:rsid w:val="00E50D99"/>
    <w:rsid w:val="00E51321"/>
    <w:rsid w:val="00E52981"/>
    <w:rsid w:val="00E6226E"/>
    <w:rsid w:val="00E649CE"/>
    <w:rsid w:val="00E71A2A"/>
    <w:rsid w:val="00E76781"/>
    <w:rsid w:val="00E770DD"/>
    <w:rsid w:val="00E847B9"/>
    <w:rsid w:val="00E8595B"/>
    <w:rsid w:val="00E93E46"/>
    <w:rsid w:val="00EA18DF"/>
    <w:rsid w:val="00EB2D85"/>
    <w:rsid w:val="00EC3293"/>
    <w:rsid w:val="00EC518B"/>
    <w:rsid w:val="00EE03EE"/>
    <w:rsid w:val="00EE3888"/>
    <w:rsid w:val="00F25BD9"/>
    <w:rsid w:val="00F2628F"/>
    <w:rsid w:val="00F275A5"/>
    <w:rsid w:val="00F32199"/>
    <w:rsid w:val="00F41FC4"/>
    <w:rsid w:val="00F51DB2"/>
    <w:rsid w:val="00F541E7"/>
    <w:rsid w:val="00F64047"/>
    <w:rsid w:val="00F85F82"/>
    <w:rsid w:val="00F870B8"/>
    <w:rsid w:val="00F87B2C"/>
    <w:rsid w:val="00FA7FC6"/>
    <w:rsid w:val="00FC31EC"/>
    <w:rsid w:val="00FC7E4E"/>
    <w:rsid w:val="4A6F5BAF"/>
    <w:rsid w:val="55E95A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35"/>
    <w:qFormat/>
    <w:uiPriority w:val="9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6"/>
    <w:unhideWhenUsed/>
    <w:qFormat/>
    <w:uiPriority w:val="9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7"/>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8"/>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39"/>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0"/>
    <w:qFormat/>
    <w:uiPriority w:val="99"/>
    <w:pPr>
      <w:spacing w:before="240" w:after="60" w:line="240" w:lineRule="auto"/>
      <w:jc w:val="both"/>
      <w:outlineLvl w:val="5"/>
    </w:pPr>
    <w:rPr>
      <w:rFonts w:eastAsia="Times New Roman"/>
      <w:b/>
      <w:bCs/>
    </w:rPr>
  </w:style>
  <w:style w:type="paragraph" w:styleId="8">
    <w:name w:val="heading 7"/>
    <w:basedOn w:val="1"/>
    <w:next w:val="1"/>
    <w:link w:val="41"/>
    <w:qFormat/>
    <w:uiPriority w:val="99"/>
    <w:pPr>
      <w:spacing w:before="240" w:after="60" w:line="240" w:lineRule="auto"/>
      <w:jc w:val="both"/>
      <w:outlineLvl w:val="6"/>
    </w:pPr>
    <w:rPr>
      <w:rFonts w:eastAsia="Times New Roman"/>
      <w:szCs w:val="24"/>
    </w:rPr>
  </w:style>
  <w:style w:type="paragraph" w:styleId="9">
    <w:name w:val="heading 8"/>
    <w:basedOn w:val="1"/>
    <w:next w:val="1"/>
    <w:link w:val="42"/>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3"/>
    <w:qFormat/>
    <w:uiPriority w:val="99"/>
    <w:pPr>
      <w:spacing w:before="240" w:after="60" w:line="240" w:lineRule="auto"/>
      <w:jc w:val="both"/>
      <w:outlineLvl w:val="8"/>
    </w:pPr>
    <w:rPr>
      <w:rFonts w:ascii="Cambria" w:hAnsi="Cambria" w:eastAsia="Times New Roman"/>
    </w:rPr>
  </w:style>
  <w:style w:type="character" w:default="1" w:styleId="29">
    <w:name w:val="Default Paragraph Font"/>
    <w:semiHidden/>
    <w:unhideWhenUsed/>
    <w:uiPriority w:val="1"/>
  </w:style>
  <w:style w:type="table" w:default="1" w:styleId="28">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after="100" w:line="259" w:lineRule="auto"/>
      <w:ind w:left="1320"/>
    </w:pPr>
    <w:rPr>
      <w:rFonts w:asciiTheme="minorHAnsi" w:hAnsiTheme="minorHAnsi" w:eastAsiaTheme="minorEastAsia" w:cstheme="minorBidi"/>
      <w:lang w:val="en-SG" w:eastAsia="en-SG"/>
    </w:rPr>
  </w:style>
  <w:style w:type="paragraph" w:styleId="12">
    <w:name w:val="Body Text"/>
    <w:basedOn w:val="1"/>
    <w:link w:val="85"/>
    <w:uiPriority w:val="0"/>
    <w:pPr>
      <w:spacing w:after="120"/>
      <w:jc w:val="both"/>
    </w:pPr>
  </w:style>
  <w:style w:type="paragraph" w:styleId="13">
    <w:name w:val="toc 5"/>
    <w:basedOn w:val="1"/>
    <w:next w:val="1"/>
    <w:autoRedefine/>
    <w:unhideWhenUsed/>
    <w:uiPriority w:val="39"/>
    <w:pPr>
      <w:spacing w:after="100" w:line="259" w:lineRule="auto"/>
      <w:ind w:left="880"/>
    </w:pPr>
    <w:rPr>
      <w:rFonts w:asciiTheme="minorHAnsi" w:hAnsiTheme="minorHAnsi" w:eastAsiaTheme="minorEastAsia" w:cstheme="minorBidi"/>
      <w:lang w:val="en-SG" w:eastAsia="en-SG"/>
    </w:rPr>
  </w:style>
  <w:style w:type="paragraph" w:styleId="14">
    <w:name w:val="toc 3"/>
    <w:basedOn w:val="1"/>
    <w:next w:val="1"/>
    <w:autoRedefine/>
    <w:unhideWhenUsed/>
    <w:uiPriority w:val="39"/>
    <w:pPr>
      <w:spacing w:after="0"/>
      <w:ind w:left="442"/>
    </w:pPr>
    <w:rPr>
      <w:rFonts w:ascii="Arial" w:hAnsi="Arial"/>
      <w:sz w:val="20"/>
    </w:rPr>
  </w:style>
  <w:style w:type="paragraph" w:styleId="15">
    <w:name w:val="toc 8"/>
    <w:basedOn w:val="1"/>
    <w:next w:val="1"/>
    <w:autoRedefine/>
    <w:unhideWhenUsed/>
    <w:uiPriority w:val="39"/>
    <w:pPr>
      <w:spacing w:after="100" w:line="259" w:lineRule="auto"/>
      <w:ind w:left="1540"/>
    </w:pPr>
    <w:rPr>
      <w:rFonts w:asciiTheme="minorHAnsi" w:hAnsiTheme="minorHAnsi" w:eastAsiaTheme="minorEastAsia" w:cstheme="minorBidi"/>
      <w:lang w:val="en-SG" w:eastAsia="en-SG"/>
    </w:rPr>
  </w:style>
  <w:style w:type="paragraph" w:styleId="16">
    <w:name w:val="Balloon Text"/>
    <w:basedOn w:val="1"/>
    <w:link w:val="87"/>
    <w:semiHidden/>
    <w:unhideWhenUsed/>
    <w:uiPriority w:val="99"/>
    <w:pPr>
      <w:spacing w:after="0" w:line="240" w:lineRule="auto"/>
    </w:pPr>
    <w:rPr>
      <w:rFonts w:ascii="Segoe UI" w:hAnsi="Segoe UI" w:cs="Segoe UI"/>
      <w:sz w:val="18"/>
      <w:szCs w:val="18"/>
    </w:rPr>
  </w:style>
  <w:style w:type="paragraph" w:styleId="17">
    <w:name w:val="footer"/>
    <w:basedOn w:val="1"/>
    <w:link w:val="44"/>
    <w:uiPriority w:val="99"/>
    <w:pPr>
      <w:tabs>
        <w:tab w:val="center" w:pos="4320"/>
        <w:tab w:val="right" w:pos="8640"/>
      </w:tabs>
    </w:pPr>
  </w:style>
  <w:style w:type="paragraph" w:styleId="18">
    <w:name w:val="header"/>
    <w:basedOn w:val="1"/>
    <w:link w:val="45"/>
    <w:uiPriority w:val="99"/>
    <w:pPr>
      <w:tabs>
        <w:tab w:val="center" w:pos="4320"/>
        <w:tab w:val="right" w:pos="8640"/>
      </w:tabs>
    </w:pPr>
  </w:style>
  <w:style w:type="paragraph" w:styleId="19">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20">
    <w:name w:val="toc 4"/>
    <w:basedOn w:val="1"/>
    <w:next w:val="1"/>
    <w:autoRedefine/>
    <w:unhideWhenUsed/>
    <w:uiPriority w:val="39"/>
    <w:pPr>
      <w:spacing w:after="100" w:line="259" w:lineRule="auto"/>
      <w:ind w:left="660"/>
    </w:pPr>
    <w:rPr>
      <w:rFonts w:asciiTheme="minorHAnsi" w:hAnsiTheme="minorHAnsi" w:eastAsiaTheme="minorEastAsia" w:cstheme="minorBidi"/>
      <w:lang w:val="en-SG" w:eastAsia="en-SG"/>
    </w:rPr>
  </w:style>
  <w:style w:type="paragraph" w:styleId="21">
    <w:name w:val="Subtitle"/>
    <w:basedOn w:val="1"/>
    <w:next w:val="1"/>
    <w:link w:val="67"/>
    <w:qFormat/>
    <w:uiPriority w:val="99"/>
    <w:pPr>
      <w:spacing w:after="60" w:line="240" w:lineRule="auto"/>
      <w:jc w:val="center"/>
      <w:outlineLvl w:val="1"/>
    </w:pPr>
    <w:rPr>
      <w:rFonts w:ascii="Cambria" w:hAnsi="Cambria" w:eastAsia="Times New Roman"/>
      <w:szCs w:val="24"/>
    </w:rPr>
  </w:style>
  <w:style w:type="paragraph" w:styleId="22">
    <w:name w:val="footnote text"/>
    <w:basedOn w:val="1"/>
    <w:link w:val="86"/>
    <w:semiHidden/>
    <w:unhideWhenUsed/>
    <w:uiPriority w:val="99"/>
    <w:pPr>
      <w:spacing w:after="120"/>
      <w:jc w:val="both"/>
    </w:pPr>
    <w:rPr>
      <w:rFonts w:ascii="Arial" w:hAnsi="Arial" w:eastAsia="Times New Roman"/>
      <w:sz w:val="20"/>
      <w:szCs w:val="20"/>
      <w:lang w:val="zh-CN"/>
    </w:rPr>
  </w:style>
  <w:style w:type="paragraph" w:styleId="23">
    <w:name w:val="toc 6"/>
    <w:basedOn w:val="1"/>
    <w:next w:val="1"/>
    <w:autoRedefine/>
    <w:unhideWhenUsed/>
    <w:uiPriority w:val="39"/>
    <w:pPr>
      <w:spacing w:after="100" w:line="259" w:lineRule="auto"/>
      <w:ind w:left="1100"/>
    </w:pPr>
    <w:rPr>
      <w:rFonts w:asciiTheme="minorHAnsi" w:hAnsiTheme="minorHAnsi" w:eastAsiaTheme="minorEastAsia" w:cstheme="minorBidi"/>
      <w:lang w:val="en-SG" w:eastAsia="en-SG"/>
    </w:rPr>
  </w:style>
  <w:style w:type="paragraph" w:styleId="24">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25">
    <w:name w:val="toc 9"/>
    <w:basedOn w:val="1"/>
    <w:next w:val="1"/>
    <w:autoRedefine/>
    <w:unhideWhenUsed/>
    <w:uiPriority w:val="39"/>
    <w:pPr>
      <w:spacing w:after="100" w:line="259" w:lineRule="auto"/>
      <w:ind w:left="1760"/>
    </w:pPr>
    <w:rPr>
      <w:rFonts w:asciiTheme="minorHAnsi" w:hAnsiTheme="minorHAnsi" w:eastAsiaTheme="minorEastAsia" w:cstheme="minorBidi"/>
      <w:lang w:val="en-SG" w:eastAsia="en-SG"/>
    </w:rPr>
  </w:style>
  <w:style w:type="paragraph" w:styleId="26">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paragraph" w:styleId="27">
    <w:name w:val="Title"/>
    <w:basedOn w:val="1"/>
    <w:next w:val="1"/>
    <w:link w:val="66"/>
    <w:qFormat/>
    <w:uiPriority w:val="10"/>
    <w:pPr>
      <w:spacing w:before="240" w:after="60" w:line="240" w:lineRule="auto"/>
      <w:jc w:val="center"/>
      <w:outlineLvl w:val="0"/>
    </w:pPr>
    <w:rPr>
      <w:rFonts w:ascii="Cambria" w:hAnsi="Cambria" w:eastAsia="Times New Roman"/>
      <w:b/>
      <w:bCs/>
      <w:kern w:val="28"/>
      <w:sz w:val="32"/>
      <w:szCs w:val="32"/>
    </w:rPr>
  </w:style>
  <w:style w:type="character" w:styleId="30">
    <w:name w:val="Strong"/>
    <w:basedOn w:val="29"/>
    <w:qFormat/>
    <w:uiPriority w:val="22"/>
    <w:rPr>
      <w:rFonts w:cs="Times New Roman"/>
      <w:b/>
      <w:bCs/>
    </w:rPr>
  </w:style>
  <w:style w:type="character" w:styleId="31">
    <w:name w:val="page number"/>
    <w:basedOn w:val="29"/>
    <w:uiPriority w:val="0"/>
  </w:style>
  <w:style w:type="character" w:styleId="32">
    <w:name w:val="Emphasis"/>
    <w:basedOn w:val="29"/>
    <w:qFormat/>
    <w:uiPriority w:val="20"/>
    <w:rPr>
      <w:rFonts w:ascii="Calibri" w:hAnsi="Calibri" w:cs="Times New Roman"/>
      <w:b/>
      <w:i/>
      <w:iCs/>
    </w:rPr>
  </w:style>
  <w:style w:type="character" w:styleId="33">
    <w:name w:val="Hyperlink"/>
    <w:basedOn w:val="29"/>
    <w:uiPriority w:val="99"/>
    <w:rPr>
      <w:color w:val="0000FF"/>
      <w:u w:val="single"/>
    </w:rPr>
  </w:style>
  <w:style w:type="character" w:styleId="34">
    <w:name w:val="footnote reference"/>
    <w:basedOn w:val="29"/>
    <w:semiHidden/>
    <w:uiPriority w:val="99"/>
    <w:rPr>
      <w:rFonts w:cs="Times New Roman"/>
      <w:vertAlign w:val="superscript"/>
    </w:rPr>
  </w:style>
  <w:style w:type="character" w:customStyle="1" w:styleId="35">
    <w:name w:val="Heading 1 Char"/>
    <w:basedOn w:val="29"/>
    <w:link w:val="2"/>
    <w:uiPriority w:val="9"/>
    <w:rPr>
      <w:rFonts w:asciiTheme="majorHAnsi" w:hAnsiTheme="majorHAnsi" w:eastAsiaTheme="majorEastAsia" w:cstheme="majorBidi"/>
      <w:color w:val="2E75B6" w:themeColor="accent1" w:themeShade="BF"/>
      <w:sz w:val="32"/>
      <w:szCs w:val="32"/>
      <w:lang w:val="en-US"/>
    </w:rPr>
  </w:style>
  <w:style w:type="character" w:customStyle="1" w:styleId="36">
    <w:name w:val="Heading 2 Char"/>
    <w:basedOn w:val="29"/>
    <w:link w:val="3"/>
    <w:uiPriority w:val="9"/>
    <w:rPr>
      <w:rFonts w:asciiTheme="majorHAnsi" w:hAnsiTheme="majorHAnsi" w:eastAsiaTheme="majorEastAsia" w:cstheme="majorBidi"/>
      <w:color w:val="2E75B6" w:themeColor="accent1" w:themeShade="BF"/>
      <w:sz w:val="26"/>
      <w:szCs w:val="26"/>
      <w:lang w:val="en-US"/>
    </w:rPr>
  </w:style>
  <w:style w:type="character" w:customStyle="1" w:styleId="37">
    <w:name w:val="Heading 3 Char"/>
    <w:basedOn w:val="29"/>
    <w:link w:val="4"/>
    <w:uiPriority w:val="99"/>
    <w:rPr>
      <w:rFonts w:ascii="Cambria" w:hAnsi="Cambria" w:eastAsia="Times New Roman" w:cs="Times New Roman"/>
      <w:b/>
      <w:bCs/>
      <w:sz w:val="26"/>
      <w:szCs w:val="26"/>
      <w:lang w:val="en-US"/>
    </w:rPr>
  </w:style>
  <w:style w:type="character" w:customStyle="1" w:styleId="38">
    <w:name w:val="Heading 4 Char"/>
    <w:basedOn w:val="29"/>
    <w:link w:val="5"/>
    <w:uiPriority w:val="99"/>
    <w:rPr>
      <w:rFonts w:ascii="Calibri" w:hAnsi="Calibri" w:eastAsia="Times New Roman" w:cs="Times New Roman"/>
      <w:b/>
      <w:bCs/>
      <w:sz w:val="28"/>
      <w:szCs w:val="28"/>
      <w:lang w:val="en-US"/>
    </w:rPr>
  </w:style>
  <w:style w:type="character" w:customStyle="1" w:styleId="39">
    <w:name w:val="Heading 5 Char"/>
    <w:basedOn w:val="29"/>
    <w:link w:val="6"/>
    <w:uiPriority w:val="99"/>
    <w:rPr>
      <w:rFonts w:ascii="Calibri" w:hAnsi="Calibri" w:eastAsia="Times New Roman" w:cs="Times New Roman"/>
      <w:b/>
      <w:bCs/>
      <w:i/>
      <w:iCs/>
      <w:sz w:val="26"/>
      <w:szCs w:val="26"/>
      <w:lang w:val="en-US"/>
    </w:rPr>
  </w:style>
  <w:style w:type="character" w:customStyle="1" w:styleId="40">
    <w:name w:val="Heading 6 Char"/>
    <w:basedOn w:val="29"/>
    <w:link w:val="7"/>
    <w:uiPriority w:val="99"/>
    <w:rPr>
      <w:rFonts w:ascii="Calibri" w:hAnsi="Calibri" w:eastAsia="Times New Roman" w:cs="Times New Roman"/>
      <w:b/>
      <w:bCs/>
      <w:lang w:val="en-US"/>
    </w:rPr>
  </w:style>
  <w:style w:type="character" w:customStyle="1" w:styleId="41">
    <w:name w:val="Heading 7 Char"/>
    <w:basedOn w:val="29"/>
    <w:link w:val="8"/>
    <w:uiPriority w:val="99"/>
    <w:rPr>
      <w:rFonts w:ascii="Calibri" w:hAnsi="Calibri" w:eastAsia="Times New Roman" w:cs="Times New Roman"/>
      <w:szCs w:val="24"/>
      <w:lang w:val="en-US"/>
    </w:rPr>
  </w:style>
  <w:style w:type="character" w:customStyle="1" w:styleId="42">
    <w:name w:val="Heading 8 Char"/>
    <w:basedOn w:val="29"/>
    <w:link w:val="9"/>
    <w:uiPriority w:val="99"/>
    <w:rPr>
      <w:rFonts w:ascii="Calibri" w:hAnsi="Calibri" w:eastAsia="Times New Roman" w:cs="Times New Roman"/>
      <w:i/>
      <w:iCs/>
      <w:szCs w:val="24"/>
      <w:lang w:val="en-US"/>
    </w:rPr>
  </w:style>
  <w:style w:type="character" w:customStyle="1" w:styleId="43">
    <w:name w:val="Heading 9 Char"/>
    <w:basedOn w:val="29"/>
    <w:link w:val="10"/>
    <w:uiPriority w:val="99"/>
    <w:rPr>
      <w:rFonts w:ascii="Cambria" w:hAnsi="Cambria" w:eastAsia="Times New Roman" w:cs="Times New Roman"/>
      <w:lang w:val="en-US"/>
    </w:rPr>
  </w:style>
  <w:style w:type="character" w:customStyle="1" w:styleId="44">
    <w:name w:val="Footer Char"/>
    <w:basedOn w:val="29"/>
    <w:link w:val="17"/>
    <w:uiPriority w:val="99"/>
    <w:rPr>
      <w:rFonts w:ascii="Calibri" w:hAnsi="Calibri" w:eastAsia="Calibri" w:cs="Times New Roman"/>
      <w:lang w:val="en-US"/>
    </w:rPr>
  </w:style>
  <w:style w:type="character" w:customStyle="1" w:styleId="45">
    <w:name w:val="Header Char"/>
    <w:basedOn w:val="29"/>
    <w:link w:val="18"/>
    <w:uiPriority w:val="99"/>
    <w:rPr>
      <w:rFonts w:ascii="Calibri" w:hAnsi="Calibri" w:eastAsia="Calibri" w:cs="Times New Roman"/>
      <w:lang w:val="en-US"/>
    </w:rPr>
  </w:style>
  <w:style w:type="paragraph" w:customStyle="1" w:styleId="46">
    <w:name w:val="Full Title"/>
    <w:basedOn w:val="1"/>
    <w:link w:val="47"/>
    <w:qFormat/>
    <w:uiPriority w:val="0"/>
    <w:pPr>
      <w:spacing w:before="240" w:after="120"/>
      <w:jc w:val="center"/>
    </w:pPr>
    <w:rPr>
      <w:rFonts w:ascii="Arial" w:hAnsi="Arial" w:cs="Arial"/>
      <w:b/>
      <w:caps/>
      <w:sz w:val="28"/>
    </w:rPr>
  </w:style>
  <w:style w:type="character" w:customStyle="1" w:styleId="47">
    <w:name w:val="Full Title Char"/>
    <w:basedOn w:val="29"/>
    <w:link w:val="46"/>
    <w:uiPriority w:val="0"/>
    <w:rPr>
      <w:rFonts w:ascii="Arial" w:hAnsi="Arial" w:eastAsia="Calibri" w:cs="Arial"/>
      <w:b/>
      <w:caps/>
      <w:sz w:val="28"/>
      <w:lang w:val="en-US"/>
    </w:rPr>
  </w:style>
  <w:style w:type="paragraph" w:customStyle="1" w:styleId="48">
    <w:name w:val="Subtitle1"/>
    <w:basedOn w:val="1"/>
    <w:link w:val="49"/>
    <w:qFormat/>
    <w:uiPriority w:val="0"/>
    <w:pPr>
      <w:spacing w:before="240" w:after="120"/>
      <w:jc w:val="center"/>
    </w:pPr>
    <w:rPr>
      <w:rFonts w:ascii="Arial" w:hAnsi="Arial" w:cs="Arial"/>
      <w:i/>
      <w:sz w:val="20"/>
      <w:szCs w:val="20"/>
    </w:rPr>
  </w:style>
  <w:style w:type="character" w:customStyle="1" w:styleId="49">
    <w:name w:val="Subtitle1 Char"/>
    <w:basedOn w:val="29"/>
    <w:link w:val="48"/>
    <w:uiPriority w:val="0"/>
    <w:rPr>
      <w:rFonts w:ascii="Arial" w:hAnsi="Arial" w:eastAsia="Calibri" w:cs="Arial"/>
      <w:i/>
      <w:sz w:val="20"/>
      <w:szCs w:val="20"/>
      <w:lang w:val="en-US"/>
    </w:rPr>
  </w:style>
  <w:style w:type="paragraph" w:customStyle="1" w:styleId="50">
    <w:name w:val="Paragraph Text"/>
    <w:basedOn w:val="1"/>
    <w:link w:val="51"/>
    <w:qFormat/>
    <w:uiPriority w:val="0"/>
    <w:pPr>
      <w:spacing w:before="240" w:after="120"/>
      <w:jc w:val="both"/>
    </w:pPr>
    <w:rPr>
      <w:rFonts w:ascii="Arial" w:hAnsi="Arial" w:cs="Arial"/>
      <w:sz w:val="20"/>
      <w:szCs w:val="20"/>
    </w:rPr>
  </w:style>
  <w:style w:type="character" w:customStyle="1" w:styleId="51">
    <w:name w:val="Paragraph Text Char"/>
    <w:basedOn w:val="29"/>
    <w:link w:val="50"/>
    <w:uiPriority w:val="0"/>
    <w:rPr>
      <w:rFonts w:ascii="Arial" w:hAnsi="Arial" w:eastAsia="Calibri" w:cs="Arial"/>
      <w:sz w:val="20"/>
      <w:szCs w:val="20"/>
      <w:lang w:val="en-US"/>
    </w:rPr>
  </w:style>
  <w:style w:type="paragraph" w:customStyle="1" w:styleId="52">
    <w:name w:val="Heading_1"/>
    <w:basedOn w:val="50"/>
    <w:link w:val="53"/>
    <w:qFormat/>
    <w:uiPriority w:val="0"/>
    <w:pPr>
      <w:spacing w:after="60"/>
      <w:jc w:val="center"/>
    </w:pPr>
    <w:rPr>
      <w:b/>
      <w:caps/>
      <w:sz w:val="28"/>
      <w:szCs w:val="28"/>
    </w:rPr>
  </w:style>
  <w:style w:type="character" w:customStyle="1" w:styleId="53">
    <w:name w:val="Heading_1 Char"/>
    <w:basedOn w:val="51"/>
    <w:link w:val="52"/>
    <w:uiPriority w:val="0"/>
    <w:rPr>
      <w:rFonts w:ascii="Arial" w:hAnsi="Arial" w:eastAsia="Calibri" w:cs="Arial"/>
      <w:b/>
      <w:caps/>
      <w:sz w:val="28"/>
      <w:szCs w:val="28"/>
      <w:lang w:val="en-US"/>
    </w:rPr>
  </w:style>
  <w:style w:type="paragraph" w:customStyle="1" w:styleId="54">
    <w:name w:val="Default"/>
    <w:uiPriority w:val="0"/>
    <w:pPr>
      <w:widowControl w:val="0"/>
      <w:autoSpaceDE w:val="0"/>
      <w:autoSpaceDN w:val="0"/>
      <w:adjustRightInd w:val="0"/>
      <w:spacing w:after="0" w:line="240" w:lineRule="auto"/>
    </w:pPr>
    <w:rPr>
      <w:rFonts w:ascii="Arial" w:hAnsi="Arial" w:eastAsia="Times New Roman" w:cs="Arial"/>
      <w:color w:val="000000"/>
      <w:sz w:val="24"/>
      <w:szCs w:val="24"/>
      <w:lang w:val="en-US" w:eastAsia="en-US" w:bidi="ar-SA"/>
    </w:rPr>
  </w:style>
  <w:style w:type="paragraph" w:customStyle="1" w:styleId="55">
    <w:name w:val="CM1"/>
    <w:basedOn w:val="54"/>
    <w:next w:val="54"/>
    <w:uiPriority w:val="99"/>
    <w:pPr>
      <w:spacing w:line="320" w:lineRule="atLeast"/>
    </w:pPr>
    <w:rPr>
      <w:color w:val="auto"/>
    </w:rPr>
  </w:style>
  <w:style w:type="paragraph" w:customStyle="1" w:styleId="56">
    <w:name w:val="CM8"/>
    <w:basedOn w:val="54"/>
    <w:next w:val="54"/>
    <w:uiPriority w:val="99"/>
    <w:rPr>
      <w:color w:val="auto"/>
    </w:rPr>
  </w:style>
  <w:style w:type="paragraph" w:customStyle="1" w:styleId="57">
    <w:name w:val="CM2"/>
    <w:basedOn w:val="54"/>
    <w:next w:val="54"/>
    <w:uiPriority w:val="99"/>
    <w:pPr>
      <w:spacing w:line="316" w:lineRule="atLeast"/>
    </w:pPr>
    <w:rPr>
      <w:color w:val="auto"/>
    </w:rPr>
  </w:style>
  <w:style w:type="paragraph" w:customStyle="1" w:styleId="58">
    <w:name w:val="CM9"/>
    <w:basedOn w:val="54"/>
    <w:next w:val="54"/>
    <w:uiPriority w:val="99"/>
    <w:rPr>
      <w:color w:val="auto"/>
    </w:rPr>
  </w:style>
  <w:style w:type="paragraph" w:customStyle="1" w:styleId="59">
    <w:name w:val="CM3"/>
    <w:basedOn w:val="54"/>
    <w:next w:val="54"/>
    <w:uiPriority w:val="99"/>
    <w:rPr>
      <w:color w:val="auto"/>
    </w:rPr>
  </w:style>
  <w:style w:type="paragraph" w:customStyle="1" w:styleId="60">
    <w:name w:val="CM4"/>
    <w:basedOn w:val="54"/>
    <w:next w:val="54"/>
    <w:uiPriority w:val="99"/>
    <w:pPr>
      <w:spacing w:line="323" w:lineRule="atLeast"/>
    </w:pPr>
    <w:rPr>
      <w:color w:val="auto"/>
    </w:rPr>
  </w:style>
  <w:style w:type="paragraph" w:customStyle="1" w:styleId="61">
    <w:name w:val="CM5"/>
    <w:basedOn w:val="54"/>
    <w:next w:val="54"/>
    <w:uiPriority w:val="99"/>
    <w:pPr>
      <w:spacing w:line="323" w:lineRule="atLeast"/>
    </w:pPr>
    <w:rPr>
      <w:color w:val="auto"/>
    </w:rPr>
  </w:style>
  <w:style w:type="paragraph" w:customStyle="1" w:styleId="62">
    <w:name w:val="CM6"/>
    <w:basedOn w:val="54"/>
    <w:next w:val="54"/>
    <w:uiPriority w:val="99"/>
    <w:pPr>
      <w:spacing w:line="323" w:lineRule="atLeast"/>
    </w:pPr>
    <w:rPr>
      <w:color w:val="auto"/>
    </w:rPr>
  </w:style>
  <w:style w:type="paragraph" w:customStyle="1" w:styleId="63">
    <w:name w:val="CM7"/>
    <w:basedOn w:val="54"/>
    <w:next w:val="54"/>
    <w:uiPriority w:val="99"/>
    <w:pPr>
      <w:spacing w:line="323" w:lineRule="atLeast"/>
    </w:pPr>
    <w:rPr>
      <w:color w:val="auto"/>
    </w:rPr>
  </w:style>
  <w:style w:type="paragraph" w:customStyle="1" w:styleId="64">
    <w:name w:val="CM13"/>
    <w:basedOn w:val="54"/>
    <w:next w:val="54"/>
    <w:uiPriority w:val="99"/>
    <w:rPr>
      <w:color w:val="auto"/>
    </w:rPr>
  </w:style>
  <w:style w:type="paragraph" w:customStyle="1" w:styleId="65">
    <w:name w:val="CM16"/>
    <w:basedOn w:val="54"/>
    <w:next w:val="54"/>
    <w:uiPriority w:val="99"/>
    <w:rPr>
      <w:color w:val="auto"/>
    </w:rPr>
  </w:style>
  <w:style w:type="character" w:customStyle="1" w:styleId="66">
    <w:name w:val="Title Char"/>
    <w:basedOn w:val="29"/>
    <w:link w:val="27"/>
    <w:uiPriority w:val="10"/>
    <w:rPr>
      <w:rFonts w:ascii="Cambria" w:hAnsi="Cambria" w:eastAsia="Times New Roman" w:cs="Times New Roman"/>
      <w:b/>
      <w:bCs/>
      <w:kern w:val="28"/>
      <w:sz w:val="32"/>
      <w:szCs w:val="32"/>
      <w:lang w:val="en-US"/>
    </w:rPr>
  </w:style>
  <w:style w:type="character" w:customStyle="1" w:styleId="67">
    <w:name w:val="Subtitle Char"/>
    <w:basedOn w:val="29"/>
    <w:link w:val="21"/>
    <w:uiPriority w:val="99"/>
    <w:rPr>
      <w:rFonts w:ascii="Cambria" w:hAnsi="Cambria" w:eastAsia="Times New Roman" w:cs="Times New Roman"/>
      <w:szCs w:val="24"/>
      <w:lang w:val="en-US"/>
    </w:rPr>
  </w:style>
  <w:style w:type="paragraph" w:styleId="68">
    <w:name w:val="No Spacing"/>
    <w:basedOn w:val="1"/>
    <w:qFormat/>
    <w:uiPriority w:val="99"/>
    <w:pPr>
      <w:spacing w:after="0" w:line="240" w:lineRule="auto"/>
      <w:jc w:val="both"/>
    </w:pPr>
    <w:rPr>
      <w:rFonts w:eastAsia="Times New Roman"/>
      <w:szCs w:val="32"/>
    </w:rPr>
  </w:style>
  <w:style w:type="paragraph" w:styleId="69">
    <w:name w:val="List Paragraph"/>
    <w:basedOn w:val="1"/>
    <w:link w:val="70"/>
    <w:qFormat/>
    <w:uiPriority w:val="34"/>
    <w:pPr>
      <w:spacing w:after="0" w:line="240" w:lineRule="auto"/>
      <w:ind w:left="720"/>
      <w:contextualSpacing/>
      <w:jc w:val="both"/>
    </w:pPr>
    <w:rPr>
      <w:rFonts w:eastAsia="Times New Roman"/>
      <w:szCs w:val="24"/>
    </w:rPr>
  </w:style>
  <w:style w:type="character" w:customStyle="1" w:styleId="70">
    <w:name w:val="List Paragraph Char"/>
    <w:basedOn w:val="29"/>
    <w:link w:val="69"/>
    <w:locked/>
    <w:uiPriority w:val="99"/>
    <w:rPr>
      <w:rFonts w:ascii="Calibri" w:hAnsi="Calibri" w:eastAsia="Times New Roman" w:cs="Times New Roman"/>
      <w:szCs w:val="24"/>
      <w:lang w:val="en-US"/>
    </w:rPr>
  </w:style>
  <w:style w:type="paragraph" w:styleId="71">
    <w:name w:val="Quote"/>
    <w:basedOn w:val="1"/>
    <w:next w:val="1"/>
    <w:link w:val="72"/>
    <w:qFormat/>
    <w:uiPriority w:val="99"/>
    <w:pPr>
      <w:spacing w:after="0" w:line="240" w:lineRule="auto"/>
      <w:jc w:val="both"/>
    </w:pPr>
    <w:rPr>
      <w:rFonts w:eastAsia="Times New Roman"/>
      <w:i/>
      <w:szCs w:val="24"/>
    </w:rPr>
  </w:style>
  <w:style w:type="character" w:customStyle="1" w:styleId="72">
    <w:name w:val="Quote Char"/>
    <w:basedOn w:val="29"/>
    <w:link w:val="71"/>
    <w:uiPriority w:val="99"/>
    <w:rPr>
      <w:rFonts w:ascii="Calibri" w:hAnsi="Calibri" w:eastAsia="Times New Roman" w:cs="Times New Roman"/>
      <w:i/>
      <w:szCs w:val="24"/>
      <w:lang w:val="en-US"/>
    </w:rPr>
  </w:style>
  <w:style w:type="paragraph" w:styleId="73">
    <w:name w:val="Intense Quote"/>
    <w:basedOn w:val="1"/>
    <w:next w:val="1"/>
    <w:link w:val="74"/>
    <w:qFormat/>
    <w:uiPriority w:val="99"/>
    <w:pPr>
      <w:spacing w:after="0" w:line="240" w:lineRule="auto"/>
      <w:ind w:left="720" w:right="720"/>
      <w:jc w:val="both"/>
    </w:pPr>
    <w:rPr>
      <w:rFonts w:eastAsia="Times New Roman"/>
      <w:b/>
      <w:i/>
    </w:rPr>
  </w:style>
  <w:style w:type="character" w:customStyle="1" w:styleId="74">
    <w:name w:val="Intense Quote Char"/>
    <w:basedOn w:val="29"/>
    <w:link w:val="73"/>
    <w:uiPriority w:val="99"/>
    <w:rPr>
      <w:rFonts w:ascii="Calibri" w:hAnsi="Calibri" w:eastAsia="Times New Roman" w:cs="Times New Roman"/>
      <w:b/>
      <w:i/>
      <w:lang w:val="en-US"/>
    </w:rPr>
  </w:style>
  <w:style w:type="character" w:customStyle="1" w:styleId="75">
    <w:name w:val="Subtle Emphasis"/>
    <w:basedOn w:val="29"/>
    <w:qFormat/>
    <w:uiPriority w:val="99"/>
    <w:rPr>
      <w:rFonts w:cs="Times New Roman"/>
      <w:i/>
      <w:color w:val="5A5A5A"/>
    </w:rPr>
  </w:style>
  <w:style w:type="character" w:customStyle="1" w:styleId="76">
    <w:name w:val="Intense Emphasis"/>
    <w:basedOn w:val="29"/>
    <w:qFormat/>
    <w:uiPriority w:val="99"/>
    <w:rPr>
      <w:rFonts w:cs="Times New Roman"/>
      <w:b/>
      <w:i/>
      <w:sz w:val="24"/>
      <w:szCs w:val="24"/>
      <w:u w:val="single"/>
    </w:rPr>
  </w:style>
  <w:style w:type="character" w:customStyle="1" w:styleId="77">
    <w:name w:val="Subtle Reference"/>
    <w:basedOn w:val="29"/>
    <w:qFormat/>
    <w:uiPriority w:val="99"/>
    <w:rPr>
      <w:rFonts w:cs="Times New Roman"/>
      <w:sz w:val="24"/>
      <w:szCs w:val="24"/>
      <w:u w:val="single"/>
    </w:rPr>
  </w:style>
  <w:style w:type="character" w:customStyle="1" w:styleId="78">
    <w:name w:val="Intense Reference"/>
    <w:basedOn w:val="29"/>
    <w:qFormat/>
    <w:uiPriority w:val="99"/>
    <w:rPr>
      <w:rFonts w:cs="Times New Roman"/>
      <w:b/>
      <w:sz w:val="24"/>
      <w:u w:val="single"/>
    </w:rPr>
  </w:style>
  <w:style w:type="character" w:customStyle="1" w:styleId="79">
    <w:name w:val="Book Title"/>
    <w:basedOn w:val="29"/>
    <w:qFormat/>
    <w:uiPriority w:val="99"/>
    <w:rPr>
      <w:rFonts w:ascii="Cambria" w:hAnsi="Cambria" w:cs="Times New Roman"/>
      <w:b/>
      <w:i/>
      <w:sz w:val="24"/>
      <w:szCs w:val="24"/>
    </w:rPr>
  </w:style>
  <w:style w:type="paragraph" w:customStyle="1" w:styleId="80">
    <w:name w:val="TOC Heading"/>
    <w:basedOn w:val="2"/>
    <w:next w:val="1"/>
    <w:qFormat/>
    <w:uiPriority w:val="39"/>
    <w:pPr>
      <w:keepLines w:val="0"/>
      <w:spacing w:before="360" w:after="240"/>
      <w:jc w:val="center"/>
      <w:outlineLvl w:val="9"/>
    </w:pPr>
    <w:rPr>
      <w:rFonts w:ascii="Arial" w:hAnsi="Arial" w:eastAsia="Times New Roman" w:cs="Times New Roman"/>
      <w:b/>
      <w:bCs/>
      <w:caps/>
      <w:color w:val="auto"/>
      <w:kern w:val="32"/>
      <w:sz w:val="28"/>
    </w:rPr>
  </w:style>
  <w:style w:type="paragraph" w:customStyle="1" w:styleId="81">
    <w:name w:val="Style1"/>
    <w:basedOn w:val="69"/>
    <w:link w:val="82"/>
    <w:uiPriority w:val="99"/>
    <w:pPr>
      <w:spacing w:before="120" w:after="120"/>
      <w:ind w:left="432"/>
      <w:contextualSpacing w:val="0"/>
    </w:pPr>
  </w:style>
  <w:style w:type="character" w:customStyle="1" w:styleId="82">
    <w:name w:val="Style1 Char"/>
    <w:basedOn w:val="70"/>
    <w:link w:val="81"/>
    <w:locked/>
    <w:uiPriority w:val="99"/>
    <w:rPr>
      <w:rFonts w:ascii="Calibri" w:hAnsi="Calibri" w:eastAsia="Times New Roman" w:cs="Times New Roman"/>
      <w:szCs w:val="24"/>
      <w:lang w:val="en-US"/>
    </w:rPr>
  </w:style>
  <w:style w:type="paragraph" w:customStyle="1" w:styleId="83">
    <w:name w:val="Heading_2"/>
    <w:basedOn w:val="3"/>
    <w:link w:val="84"/>
    <w:qFormat/>
    <w:uiPriority w:val="0"/>
    <w:pPr>
      <w:spacing w:before="240" w:after="120"/>
      <w:jc w:val="center"/>
    </w:pPr>
    <w:rPr>
      <w:rFonts w:ascii="Arial" w:hAnsi="Arial" w:cs="Arial"/>
      <w:b/>
      <w:caps/>
      <w:color w:val="auto"/>
      <w:sz w:val="20"/>
      <w:szCs w:val="20"/>
    </w:rPr>
  </w:style>
  <w:style w:type="character" w:customStyle="1" w:styleId="84">
    <w:name w:val="Heading_2 Char"/>
    <w:basedOn w:val="36"/>
    <w:link w:val="83"/>
    <w:uiPriority w:val="0"/>
    <w:rPr>
      <w:rFonts w:ascii="Arial" w:hAnsi="Arial" w:cs="Arial" w:eastAsiaTheme="majorEastAsia"/>
      <w:b/>
      <w:caps/>
      <w:color w:val="2E75B6" w:themeColor="accent1" w:themeShade="BF"/>
      <w:sz w:val="20"/>
      <w:szCs w:val="20"/>
      <w:lang w:val="en-US"/>
    </w:rPr>
  </w:style>
  <w:style w:type="character" w:customStyle="1" w:styleId="85">
    <w:name w:val="Body Text Char"/>
    <w:basedOn w:val="29"/>
    <w:link w:val="12"/>
    <w:uiPriority w:val="0"/>
    <w:rPr>
      <w:rFonts w:ascii="Calibri" w:hAnsi="Calibri" w:eastAsia="Calibri" w:cs="Times New Roman"/>
      <w:lang w:val="en-US"/>
    </w:rPr>
  </w:style>
  <w:style w:type="character" w:customStyle="1" w:styleId="86">
    <w:name w:val="Footnote Text Char"/>
    <w:basedOn w:val="29"/>
    <w:link w:val="22"/>
    <w:semiHidden/>
    <w:uiPriority w:val="99"/>
    <w:rPr>
      <w:rFonts w:ascii="Arial" w:hAnsi="Arial" w:eastAsia="Times New Roman" w:cs="Times New Roman"/>
      <w:sz w:val="20"/>
      <w:szCs w:val="20"/>
      <w:lang w:val="zh-CN"/>
    </w:rPr>
  </w:style>
  <w:style w:type="character" w:customStyle="1" w:styleId="87">
    <w:name w:val="Balloon Text Char"/>
    <w:basedOn w:val="29"/>
    <w:link w:val="16"/>
    <w:semiHidden/>
    <w:uiPriority w:val="99"/>
    <w:rPr>
      <w:rFonts w:ascii="Segoe UI" w:hAnsi="Segoe UI" w:eastAsia="Calibr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4FD9-97D1-4A07-A93A-D70090F7715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8</Pages>
  <Words>6212</Words>
  <Characters>34745</Characters>
  <Lines>624</Lines>
  <Paragraphs>268</Paragraphs>
  <TotalTime>8</TotalTime>
  <ScaleCrop>false</ScaleCrop>
  <LinksUpToDate>false</LinksUpToDate>
  <CharactersWithSpaces>40910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2019-04-23T05:45:00Z</dcterms:created>
  <dc:creator>Joy Priya Somasundram</dc:creator>
  <cp:lastModifiedBy>Patrick</cp:lastModifiedBy>
  <cp:lastPrinted>2016-08-26T06:34:00Z</cp:lastPrinted>
  <dcterms:modified xsi:type="dcterms:W3CDTF">2025-07-27T11:20:18Z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AD90F6A909FA4893857910B8028E153E_12</vt:lpwstr>
  </property>
</Properties>
</file>