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t xml:space="preserve">(0 ,1)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Start w:id="26" w:name="beurre-acide"/>
    <w:p>
      <w:pPr>
        <w:pStyle w:val="Heading1"/>
      </w:pPr>
      <w:r>
        <w:t xml:space="preserve">Beurre acide</w:t>
      </w:r>
    </w:p>
    <w:p>
      <w:pPr>
        <w:pStyle w:val="FirstParagraph"/>
      </w:pPr>
      <w:r>
        <w:rPr>
          <w:b/>
          <w:bCs/>
        </w:rPr>
        <w:t xml:space="preserve">Acide butyrique</w:t>
      </w:r>
      <w:r>
        <w:br/>
      </w:r>
      <w:r>
        <w:t xml:space="preserve">Les travaux de Crevreul lui ont permis d’isoler un acide gras à quatre atomes de carbone, qu’il a nommé « acide butyrique », dérivé du latin</w:t>
      </w:r>
      <w:r>
        <w:t xml:space="preserve"> </w:t>
      </w:r>
      <w:r>
        <w:rPr>
          <w:i/>
          <w:iCs/>
        </w:rPr>
        <w:t xml:space="preserve">butyrum</w:t>
      </w:r>
      <w:r>
        <w:t xml:space="preserve"> </w:t>
      </w:r>
      <w:r>
        <w:t xml:space="preserve">signifiant «</w:t>
      </w:r>
      <w:r>
        <w:t xml:space="preserve"> </w:t>
      </w:r>
      <w:r>
        <w:rPr>
          <w:i/>
          <w:iCs/>
        </w:rPr>
        <w:t xml:space="preserve">beurre</w:t>
      </w:r>
      <w:r>
        <w:t xml:space="preserve"> </w:t>
      </w:r>
      <w:r>
        <w:t xml:space="preserve">», à cause de son odeur caractéristique de beurre rance. Pour la suite, l’élément but(y)- a été repris pour former les noms de molécules à quatre atomes de carbone dont, avec le suffixe -ane des alcane, celui du butane.</w:t>
      </w:r>
      <w:r>
        <w:br/>
      </w:r>
    </w:p>
    <w:p>
      <w:pPr>
        <w:pStyle w:val="BodyText"/>
      </w:pPr>
      <w:r>
        <w:t xml:space="preserve">L’acide butyrique est un acide carboxylique possédant une chaîne carbonée, dérivée du butane. Il est présent dans le couple acide butyrique/ion butyrate (/).</w:t>
      </w:r>
    </w:p>
    <w:p>
      <w:pPr>
        <w:numPr>
          <w:ilvl w:val="0"/>
          <w:numId w:val="1001"/>
        </w:numPr>
      </w:pPr>
      <w:r>
        <w:t xml:space="preserve">Déterminer le schéma de Lewis de l’acide butyrique. (0,5pt)</w:t>
      </w:r>
    </w:p>
    <w:p>
      <w:pPr>
        <w:numPr>
          <w:ilvl w:val="0"/>
          <w:numId w:val="1001"/>
        </w:numPr>
      </w:pPr>
      <w:r>
        <w:t xml:space="preserve">Justifier le caractère "acide" de la molécule. (1pt)</w:t>
      </w:r>
    </w:p>
    <w:p>
      <w:pPr>
        <w:numPr>
          <w:ilvl w:val="0"/>
          <w:numId w:val="1001"/>
        </w:numPr>
      </w:pPr>
      <w:r>
        <w:t xml:space="preserve">Écrire la demi-équation associée à l’acide butyrique. (0,5pt)</w:t>
      </w:r>
    </w:p>
    <w:p>
      <w:pPr>
        <w:numPr>
          <w:ilvl w:val="0"/>
          <w:numId w:val="1001"/>
        </w:numPr>
      </w:pPr>
      <w:r>
        <w:t xml:space="preserve">Écrire l’équation de la réaction mise en jeu lorsque l’acide butyrique est mis dans l’eau. (1pt)</w:t>
      </w:r>
    </w:p>
    <w:p>
      <w:pPr>
        <w:numPr>
          <w:ilvl w:val="0"/>
          <w:numId w:val="1001"/>
        </w:numPr>
      </w:pPr>
      <w:r>
        <w:t xml:space="preserve">On réalise une solution d’acide butyrique à partir d’une masse de 2.2 mg dissous dans 500 mL d’eau. En partant de l’hypothèse que tout l’acide réagit avec l’eau, déterminer le pH de la solution obtenue. (1pt)</w:t>
      </w:r>
    </w:p>
    <w:p>
      <w:pPr>
        <w:pStyle w:val="FirstParagraph"/>
      </w:pPr>
      <w:r>
        <w:t xml:space="preserve">Le butanoate de méthyle est un composé chimique utilisé comme arôme pour son odeur de pomme. Il est obtenu à partir de l’acide butyrique.</w:t>
      </w:r>
    </w:p>
    <w:p>
      <w:pPr>
        <w:numPr>
          <w:ilvl w:val="0"/>
          <w:numId w:val="1002"/>
        </w:numPr>
      </w:pPr>
      <w:r>
        <w:t xml:space="preserve">Recopier puis compléter le schéma de Lewis du butanoate de méthyle suivant, puis identifier les éventuels groupes fonctionnels. (0,5pt)</w:t>
      </w:r>
    </w:p>
    <w:p>
      <w:pPr>
        <w:numPr>
          <w:ilvl w:val="0"/>
          <w:numId w:val="1002"/>
        </w:numPr>
      </w:pPr>
      <w:r>
        <w:t xml:space="preserve">Préciser si l’ester formé a un caractère acide. (0,5pt)</w:t>
      </w:r>
    </w:p>
    <w:p>
      <w:pPr>
        <w:numPr>
          <w:ilvl w:val="0"/>
          <w:numId w:val="1002"/>
        </w:numPr>
      </w:pPr>
      <w:r>
        <w:t xml:space="preserve">Attribuer chacun des spectres suivants à la molécule (acide butyrique ou butanoate de méthyle) correspondante en justifiant. (1pt)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54912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Ressources/Butanoate de méthyle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49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54105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Ressources/Butanoic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41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Spectres IR à attribuer</w:t>
      </w:r>
    </w:p>
    <w:bookmarkEnd w:id="26"/>
    <w:bookmarkStart w:id="33" w:name="les-ions-nickel"/>
    <w:p>
      <w:pPr>
        <w:pStyle w:val="Heading1"/>
      </w:pPr>
      <w:r>
        <w:t xml:space="preserve">Les ions nickel</w:t>
      </w:r>
    </w:p>
    <w:p>
      <w:pPr>
        <w:pStyle w:val="FirstParagraph"/>
      </w:pPr>
      <w:r>
        <w:t xml:space="preserve">On dispose d’une solution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 chlorure de nickel ( ; ) de concentration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 soluté apporté. on souhaite déterminer cette concentration de trois manières différentes :</w:t>
      </w:r>
    </w:p>
    <w:p>
      <w:pPr>
        <w:numPr>
          <w:ilvl w:val="0"/>
          <w:numId w:val="1003"/>
        </w:numPr>
      </w:pPr>
      <w:r>
        <w:t xml:space="preserve">en mesurant la conductivité de la solution : on trouve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7.556 mS cm</w:t>
      </w:r>
      <w:r>
        <w:rPr>
          <w:vertAlign w:val="superscript"/>
        </w:rPr>
        <w:t xml:space="preserve">−1</w:t>
      </w:r>
    </w:p>
    <w:p>
      <w:pPr>
        <w:numPr>
          <w:ilvl w:val="0"/>
          <w:numId w:val="1003"/>
        </w:numPr>
      </w:pPr>
      <w:r>
        <w:t xml:space="preserve">en mesurant l’absorbance l’absorbance de la solution : on obtient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0.663 à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720 nm</w:t>
      </w:r>
    </w:p>
    <w:p>
      <w:pPr>
        <w:numPr>
          <w:ilvl w:val="0"/>
          <w:numId w:val="1003"/>
        </w:numPr>
      </w:pPr>
      <w:r>
        <w:t xml:space="preserve">en faisant réagir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= 10.0 mL de la solution avec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= 10.0 mL d’hydroxyde de sodium de concentration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0.100 mol L</w:t>
      </w:r>
      <w:r>
        <w:rPr>
          <w:vertAlign w:val="superscript"/>
        </w:rPr>
        <w:t xml:space="preserve">−1</w:t>
      </w:r>
      <w:r>
        <w:t xml:space="preserve">, il se forme de l’hydroxyde de nickel insoluble. On mesure alors la conductivité de la solution</w:t>
      </w:r>
      <w:r>
        <w:t xml:space="preserve"> </w:t>
      </w:r>
      <m:oMath>
        <m:sSub>
          <m:e>
            <m:r>
              <m:t>σ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8.784 mS cm</w:t>
      </w:r>
      <w:r>
        <w:rPr>
          <w:vertAlign w:val="superscript"/>
        </w:rPr>
        <w:t xml:space="preserve">−1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Déterminer la couleur apparente d’une solution de chlorure de nickel. (1pt)</w:t>
      </w:r>
    </w:p>
    <w:p>
      <w:pPr>
        <w:numPr>
          <w:ilvl w:val="0"/>
          <w:numId w:val="1004"/>
        </w:numPr>
      </w:pPr>
      <w:r>
        <w:t xml:space="preserve">Déterminer la concentration en quantité de matière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obtenue par la première méthode. (1pt)</w:t>
      </w:r>
    </w:p>
    <w:p>
      <w:pPr>
        <w:numPr>
          <w:ilvl w:val="0"/>
          <w:numId w:val="1004"/>
        </w:numPr>
      </w:pPr>
      <w:r>
        <w:t xml:space="preserve">Déterminer la concentration en quantité de matière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obtenue par la deuxième méthode. (1pt)</w:t>
      </w:r>
    </w:p>
    <w:p>
      <w:pPr>
        <w:numPr>
          <w:ilvl w:val="0"/>
          <w:numId w:val="1004"/>
        </w:numPr>
      </w:pPr>
      <w:r>
        <w:t xml:space="preserve">Écrire l’équation de la réaction de précipitation entre les ions et les ions hydroxyde . On fera apparaître, dans ce cas précis, les ions spectateurs, présents en solution. (1pt)</w:t>
      </w:r>
    </w:p>
    <w:p>
      <w:pPr>
        <w:numPr>
          <w:ilvl w:val="0"/>
          <w:numId w:val="1004"/>
        </w:numPr>
      </w:pPr>
      <w:r>
        <w:t xml:space="preserve">Établir l’expression de la conductivité</w:t>
      </w:r>
      <w:r>
        <w:t xml:space="preserve"> </w:t>
      </w:r>
      <m:oMath>
        <m:sSub>
          <m:e>
            <m:r>
              <m:t>σ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en fonction des concentrations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et des conductivités molaires ioniques des ions présents à l’état final. (2pts)</w:t>
      </w:r>
    </w:p>
    <w:p>
      <w:pPr>
        <w:numPr>
          <w:ilvl w:val="0"/>
          <w:numId w:val="1004"/>
        </w:numPr>
      </w:pPr>
      <w:r>
        <w:t xml:space="preserve">En déduire la valeur de la concentration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(1pt)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59564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Ressources/TSPE_DS1_Fig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95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237564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Ressources/TSPE_C2_Fig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75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Cercle chromatique</w:t>
      </w:r>
    </w:p>
    <w:p>
      <w:pPr>
        <w:pStyle w:val="BodyText"/>
      </w:pPr>
      <w:r>
        <w:rPr>
          <w:b/>
          <w:bCs/>
        </w:rPr>
        <w:t xml:space="preserve">Données 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Conductivités molaires ioniques à 25 °C, tenant compte du nombre de charges 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Coefficient d’absorption molaire des ions nickel à 720 nm :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() = 7.6 mS m</w:t>
            </w:r>
            <w:r>
              <w:rPr>
                <w:vertAlign w:val="superscript"/>
              </w:rPr>
              <w:t xml:space="preserve">2</w:t>
            </w:r>
            <w:r>
              <w:t xml:space="preserve"> mol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ϵ</m:t>
              </m:r>
            </m:oMath>
            <w:r>
              <w:t xml:space="preserve"> </w:t>
            </w:r>
            <w:r>
              <w:t xml:space="preserve">= 22.1 L mol cm</w:t>
            </w:r>
            <w:r>
              <w:rPr>
                <w:vertAlign w:val="superscript"/>
              </w:rPr>
              <w:t xml:space="preserve">−−1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() = 9.9 mS m</w:t>
            </w:r>
            <w:r>
              <w:rPr>
                <w:vertAlign w:val="superscript"/>
              </w:rPr>
              <w:t xml:space="preserve">2</w:t>
            </w:r>
            <w:r>
              <w:t xml:space="preserve"> mol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Longueur de la cuve de spectrophotométrie :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() = 19.8 mS m</w:t>
            </w:r>
            <w:r>
              <w:rPr>
                <w:vertAlign w:val="superscript"/>
              </w:rPr>
              <w:t xml:space="preserve">2</w:t>
            </w:r>
            <w:r>
              <w:t xml:space="preserve"> mol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= 1.0 cm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() = 5.0 mS m</w:t>
            </w:r>
            <w:r>
              <w:rPr>
                <w:vertAlign w:val="superscript"/>
              </w:rPr>
              <w:t xml:space="preserve">2</w:t>
            </w:r>
            <w:r>
              <w:t xml:space="preserve"> mol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(0 ,1)     </dc:title>
  <dc:creator/>
  <cp:keywords/>
  <dcterms:created xsi:type="dcterms:W3CDTF">2025-05-07T14:04:04Z</dcterms:created>
  <dcterms:modified xsi:type="dcterms:W3CDTF">2025-05-07T14:04:04Z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