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27BE" w14:textId="77777777" w:rsidR="008B120B" w:rsidRDefault="00000000">
      <w:pPr>
        <w:pStyle w:val="Title"/>
      </w:pPr>
      <w:r>
        <w:t>Applied Readings for PADM 8410</w:t>
      </w:r>
    </w:p>
    <w:p w14:paraId="3BFA8BA6" w14:textId="77777777" w:rsidR="008B120B" w:rsidRDefault="00000000">
      <w:pPr>
        <w:spacing w:after="480"/>
        <w:jc w:val="center"/>
      </w:pPr>
      <w:r>
        <w:rPr>
          <w:i/>
          <w:iCs/>
        </w:rPr>
        <w:t>Public Data Analysis — Spring 2026</w:t>
      </w:r>
    </w:p>
    <w:p w14:paraId="15CC412A" w14:textId="0C786DB8" w:rsidR="008B120B" w:rsidRDefault="00000000">
      <w:r>
        <w:t xml:space="preserve">This reading list supplements course </w:t>
      </w:r>
      <w:proofErr w:type="gramStart"/>
      <w:r w:rsidR="005700D8">
        <w:t>text books</w:t>
      </w:r>
      <w:proofErr w:type="gramEnd"/>
      <w:r>
        <w:t xml:space="preserve"> with applied examples of policy evaluation methods. These readings demonstrate how the quantitative techniques covered in class are used in real-world policy analysis. Readings marked with * are particularly accessible for students new to quantitative methods.</w:t>
      </w:r>
    </w:p>
    <w:p w14:paraId="15B91A05" w14:textId="77777777" w:rsidR="00532A7B" w:rsidRDefault="00532A7B"/>
    <w:p w14:paraId="5EAD8674" w14:textId="77777777" w:rsidR="00532A7B" w:rsidRDefault="00532A7B" w:rsidP="00532A7B">
      <w:pPr>
        <w:pStyle w:val="font-claude-response-body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Style w:val="Strong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ML/Prediction:</w:t>
      </w:r>
    </w:p>
    <w:p w14:paraId="420BF837" w14:textId="77777777" w:rsidR="00532A7B" w:rsidRDefault="00532A7B" w:rsidP="00532A7B">
      <w:pPr>
        <w:pStyle w:val="font-claude-response-body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t>Kleinberg, Jon, Jens Ludwig, Sendhil Mullainathan, and Ziad Obermeyer. 2015. "Prediction Policy Problems." </w:t>
      </w:r>
      <w:r>
        <w:rPr>
          <w:rStyle w:val="Emphasis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American Economic Review</w:t>
      </w:r>
      <w:r>
        <w:rPr>
          <w:rFonts w:ascii="Georgia" w:hAnsi="Georgia" w:cs="Segoe UI"/>
          <w:color w:val="141413"/>
          <w:sz w:val="27"/>
          <w:szCs w:val="27"/>
        </w:rPr>
        <w:t> 105(5): 491–495.</w:t>
      </w:r>
    </w:p>
    <w:p w14:paraId="603E3B48" w14:textId="77777777" w:rsidR="00532A7B" w:rsidRDefault="00532A7B" w:rsidP="00532A7B">
      <w:pPr>
        <w:pStyle w:val="font-claude-response-body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t>Mullainathan, Sendhil and Jann Spiess. 2017. "Machine Learning: An Applied Econometric Approach." </w:t>
      </w:r>
      <w:r>
        <w:rPr>
          <w:rStyle w:val="Emphasis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Journal of Economic Perspectives</w:t>
      </w:r>
      <w:r>
        <w:rPr>
          <w:rFonts w:ascii="Georgia" w:hAnsi="Georgia" w:cs="Segoe UI"/>
          <w:color w:val="141413"/>
          <w:sz w:val="27"/>
          <w:szCs w:val="27"/>
        </w:rPr>
        <w:t> 31(2): 87–106.</w:t>
      </w:r>
    </w:p>
    <w:p w14:paraId="44D85B2F" w14:textId="77777777" w:rsidR="00532A7B" w:rsidRDefault="00532A7B" w:rsidP="00532A7B">
      <w:pPr>
        <w:pStyle w:val="font-claude-response-body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t xml:space="preserve">Kleinberg, Jon, Himabindu </w:t>
      </w:r>
      <w:proofErr w:type="spellStart"/>
      <w:r>
        <w:rPr>
          <w:rFonts w:ascii="Georgia" w:hAnsi="Georgia" w:cs="Segoe UI"/>
          <w:color w:val="141413"/>
          <w:sz w:val="27"/>
          <w:szCs w:val="27"/>
        </w:rPr>
        <w:t>Lakkaraju</w:t>
      </w:r>
      <w:proofErr w:type="spellEnd"/>
      <w:r>
        <w:rPr>
          <w:rFonts w:ascii="Georgia" w:hAnsi="Georgia" w:cs="Segoe UI"/>
          <w:color w:val="141413"/>
          <w:sz w:val="27"/>
          <w:szCs w:val="27"/>
        </w:rPr>
        <w:t>, Jure Leskovec, Jens Ludwig, and Sendhil Mullainathan. 2018. "Human Decisions and Machine Predictions." </w:t>
      </w:r>
      <w:r>
        <w:rPr>
          <w:rStyle w:val="Emphasis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Quarterly Journal of Economics</w:t>
      </w:r>
      <w:r>
        <w:rPr>
          <w:rFonts w:ascii="Georgia" w:hAnsi="Georgia" w:cs="Segoe UI"/>
          <w:color w:val="141413"/>
          <w:sz w:val="27"/>
          <w:szCs w:val="27"/>
        </w:rPr>
        <w:t> 133(1): 237–293.</w:t>
      </w:r>
    </w:p>
    <w:p w14:paraId="46879547" w14:textId="1466BFCA" w:rsidR="00532A7B" w:rsidRDefault="00532A7B" w:rsidP="00532A7B">
      <w:pPr>
        <w:pStyle w:val="font-claude-response-body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Style w:val="Strong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Nonprofit/Charitable Giving:</w:t>
      </w:r>
    </w:p>
    <w:p w14:paraId="5A769112" w14:textId="77777777" w:rsidR="00532A7B" w:rsidRDefault="00532A7B" w:rsidP="00532A7B">
      <w:pPr>
        <w:pStyle w:val="font-claude-response-body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t>Karlan, Dean and John A. List. 2007. "Does Price Matter in Charitable Giving? Evidence from a Large-Scale Natural Field Experiment." </w:t>
      </w:r>
      <w:r>
        <w:rPr>
          <w:rStyle w:val="Emphasis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American Economic Review</w:t>
      </w:r>
      <w:r>
        <w:rPr>
          <w:rFonts w:ascii="Georgia" w:hAnsi="Georgia" w:cs="Segoe UI"/>
          <w:color w:val="141413"/>
          <w:sz w:val="27"/>
          <w:szCs w:val="27"/>
        </w:rPr>
        <w:t> 97(5): 1774–1793.</w:t>
      </w:r>
    </w:p>
    <w:p w14:paraId="11A835EF" w14:textId="77777777" w:rsidR="00532A7B" w:rsidRDefault="00532A7B" w:rsidP="00532A7B"/>
    <w:p w14:paraId="0E3A75E4" w14:textId="77777777" w:rsidR="00532A7B" w:rsidRDefault="00532A7B"/>
    <w:p w14:paraId="57ECA446" w14:textId="77777777" w:rsidR="008B120B" w:rsidRDefault="00000000">
      <w:pPr>
        <w:pStyle w:val="Heading1"/>
      </w:pPr>
      <w:r>
        <w:t>Randomized Controlled Trials &amp; Policy Evaluation</w:t>
      </w:r>
    </w:p>
    <w:p w14:paraId="2C66FE3A" w14:textId="77777777" w:rsidR="008B120B" w:rsidRDefault="00000000">
      <w:r>
        <w:rPr>
          <w:i/>
          <w:iCs/>
        </w:rPr>
        <w:t>For Weeks 7–8</w:t>
      </w:r>
    </w:p>
    <w:p w14:paraId="0633C706" w14:textId="77777777" w:rsidR="008B120B" w:rsidRDefault="00000000">
      <w:pPr>
        <w:pStyle w:val="Heading2"/>
      </w:pPr>
      <w:r>
        <w:t>Mexico's PROGRESA/</w:t>
      </w:r>
      <w:proofErr w:type="spellStart"/>
      <w:r>
        <w:t>Oportunidades</w:t>
      </w:r>
      <w:proofErr w:type="spellEnd"/>
      <w:r>
        <w:t xml:space="preserve"> Program</w:t>
      </w:r>
    </w:p>
    <w:p w14:paraId="0B66DD64" w14:textId="77777777" w:rsidR="008B120B" w:rsidRDefault="00000000">
      <w:pPr>
        <w:spacing w:after="120"/>
      </w:pPr>
      <w:r>
        <w:t xml:space="preserve">The canonical example of large-scale RCT evaluation in social policy. Mexico's conditional cash transfer program provided payments to </w:t>
      </w:r>
      <w:proofErr w:type="gramStart"/>
      <w:r>
        <w:t>mothers</w:t>
      </w:r>
      <w:proofErr w:type="gramEnd"/>
      <w:r>
        <w:t xml:space="preserve"> contingent on children's school attendance and health clinic visits. The randomized evaluation helped the program survive a change in government in 2000.</w:t>
      </w:r>
    </w:p>
    <w:p w14:paraId="0447FF40" w14:textId="77777777" w:rsidR="008B120B" w:rsidRDefault="00000000">
      <w:pPr>
        <w:spacing w:after="80"/>
      </w:pPr>
      <w:r>
        <w:t xml:space="preserve">Schultz, T. Paul. 2004. </w:t>
      </w:r>
      <w:r>
        <w:rPr>
          <w:i/>
          <w:iCs/>
        </w:rPr>
        <w:t xml:space="preserve">"School Subsidies for the Poor: Evaluating the Mexican </w:t>
      </w:r>
      <w:proofErr w:type="spellStart"/>
      <w:r>
        <w:rPr>
          <w:i/>
          <w:iCs/>
        </w:rPr>
        <w:t>Progresa</w:t>
      </w:r>
      <w:proofErr w:type="spellEnd"/>
      <w:r>
        <w:rPr>
          <w:i/>
          <w:iCs/>
        </w:rPr>
        <w:t xml:space="preserve"> Poverty Program." </w:t>
      </w:r>
      <w:r>
        <w:t>Journal of Development Economics 74(1): 199-250.</w:t>
      </w:r>
    </w:p>
    <w:p w14:paraId="5917FD62" w14:textId="77777777" w:rsidR="008B120B" w:rsidRDefault="00000000">
      <w:pPr>
        <w:spacing w:after="80"/>
      </w:pPr>
      <w:r>
        <w:t xml:space="preserve">Gertler, Paul. 2004. </w:t>
      </w:r>
      <w:r>
        <w:rPr>
          <w:i/>
          <w:iCs/>
        </w:rPr>
        <w:t xml:space="preserve">"Do Conditional Cash Transfers Improve Child Health? Evidence from PROGRESA's Control Randomized Experiment." </w:t>
      </w:r>
      <w:r>
        <w:t>American Economic Review 94(2): 336-341.</w:t>
      </w:r>
    </w:p>
    <w:p w14:paraId="08608F37" w14:textId="77777777" w:rsidR="008B120B" w:rsidRDefault="00000000">
      <w:pPr>
        <w:spacing w:after="200"/>
      </w:pPr>
      <w:r>
        <w:t xml:space="preserve">*J-PAL. "The Impact of PROGRESA on Health in Mexico." Policy brief. </w:t>
      </w:r>
      <w:hyperlink r:id="rId5" w:history="1">
        <w:r w:rsidR="008B120B">
          <w:rPr>
            <w:color w:val="0000FF"/>
            <w:u w:val="single"/>
          </w:rPr>
          <w:t>Available online</w:t>
        </w:r>
      </w:hyperlink>
    </w:p>
    <w:p w14:paraId="7D5B90CB" w14:textId="77777777" w:rsidR="008B120B" w:rsidRDefault="00000000">
      <w:pPr>
        <w:pStyle w:val="Heading2"/>
      </w:pPr>
      <w:r>
        <w:t>Tennessee STAR Class Size Experiment</w:t>
      </w:r>
    </w:p>
    <w:p w14:paraId="3CCEA984" w14:textId="77777777" w:rsidR="008B120B" w:rsidRDefault="00000000">
      <w:pPr>
        <w:spacing w:after="120"/>
      </w:pPr>
      <w:r>
        <w:lastRenderedPageBreak/>
        <w:t>The landmark education RCT. Over 11,000 students were randomly assigned to small or regular-sized classes in kindergarten through third grade. Long-term follow-ups show effects on college attendance and earnings.</w:t>
      </w:r>
    </w:p>
    <w:p w14:paraId="5F4A0AD6" w14:textId="77777777" w:rsidR="008B120B" w:rsidRDefault="00000000">
      <w:pPr>
        <w:spacing w:after="80"/>
      </w:pPr>
      <w:r>
        <w:t xml:space="preserve">Krueger, Alan B. 1999. </w:t>
      </w:r>
      <w:r>
        <w:rPr>
          <w:i/>
          <w:iCs/>
        </w:rPr>
        <w:t xml:space="preserve">"Experimental Estimates of Education Production Functions." </w:t>
      </w:r>
      <w:r>
        <w:t>Quarterly Journal of Economics 114(2): 497-532.</w:t>
      </w:r>
    </w:p>
    <w:p w14:paraId="368EA46F" w14:textId="77777777" w:rsidR="008B120B" w:rsidRDefault="00000000">
      <w:pPr>
        <w:spacing w:after="80"/>
      </w:pPr>
      <w:r>
        <w:t xml:space="preserve">Krueger, Alan B. and Diane M. Whitmore. 2001. </w:t>
      </w:r>
      <w:r>
        <w:rPr>
          <w:i/>
          <w:iCs/>
        </w:rPr>
        <w:t xml:space="preserve">"The Effect of Attending a Small Class in the Early Grades on College-Test Taking and Middle School Test Results." </w:t>
      </w:r>
      <w:r>
        <w:t>Economic Journal 111(468): 1-28.</w:t>
      </w:r>
    </w:p>
    <w:p w14:paraId="47C96348" w14:textId="77777777" w:rsidR="00532A7B" w:rsidRDefault="00532A7B">
      <w:pPr>
        <w:spacing w:after="80"/>
      </w:pPr>
    </w:p>
    <w:p w14:paraId="70994DC0" w14:textId="77777777" w:rsidR="00532A7B" w:rsidRDefault="00532A7B">
      <w:pPr>
        <w:spacing w:after="80"/>
        <w:rPr>
          <w:b/>
          <w:bCs/>
        </w:rPr>
      </w:pPr>
    </w:p>
    <w:p w14:paraId="32461141" w14:textId="77777777" w:rsidR="00532A7B" w:rsidRPr="00532A7B" w:rsidRDefault="00532A7B">
      <w:pPr>
        <w:spacing w:after="80"/>
        <w:rPr>
          <w:b/>
          <w:bCs/>
        </w:rPr>
      </w:pPr>
    </w:p>
    <w:p w14:paraId="17D27F97" w14:textId="77777777" w:rsidR="005700D8" w:rsidRDefault="005700D8" w:rsidP="005700D8">
      <w:pPr>
        <w:pStyle w:val="Heading1"/>
      </w:pPr>
      <w:r>
        <w:t>Natural Experiments &amp; Housing Policy</w:t>
      </w:r>
    </w:p>
    <w:p w14:paraId="01759070" w14:textId="77777777" w:rsidR="005700D8" w:rsidRDefault="005700D8" w:rsidP="005700D8">
      <w:r>
        <w:rPr>
          <w:i/>
          <w:iCs/>
        </w:rPr>
        <w:t>For Week 9</w:t>
      </w:r>
    </w:p>
    <w:p w14:paraId="1632BE3B" w14:textId="77777777" w:rsidR="005700D8" w:rsidRDefault="005700D8" w:rsidP="005700D8">
      <w:pPr>
        <w:pStyle w:val="Heading2"/>
      </w:pPr>
      <w:r>
        <w:t>Moving to Opportunity</w:t>
      </w:r>
    </w:p>
    <w:p w14:paraId="33B890FD" w14:textId="77777777" w:rsidR="005700D8" w:rsidRDefault="005700D8" w:rsidP="005700D8">
      <w:pPr>
        <w:spacing w:after="120"/>
      </w:pPr>
      <w:r>
        <w:t>HUD's landmark housing voucher experiment randomly offered families in high-poverty public housing the opportunity to move to lower-poverty neighborhoods. Later analyses using tax data show large effects for children who moved young.</w:t>
      </w:r>
    </w:p>
    <w:p w14:paraId="4A9EF7B0" w14:textId="77777777" w:rsidR="005700D8" w:rsidRDefault="005700D8" w:rsidP="005700D8">
      <w:pPr>
        <w:spacing w:after="80"/>
      </w:pPr>
      <w:r>
        <w:t xml:space="preserve">*Chetty, Raj, Nathaniel Hendren, and Lawrence F. Katz. 2016. </w:t>
      </w:r>
      <w:r>
        <w:rPr>
          <w:i/>
          <w:iCs/>
        </w:rPr>
        <w:t xml:space="preserve">"The Effects of Exposure to Better Neighborhoods on Children: New Evidence from the Moving to Opportunity Experiment." </w:t>
      </w:r>
      <w:r>
        <w:t>American Economic Review 106(4): 855-902.</w:t>
      </w:r>
    </w:p>
    <w:p w14:paraId="4F90FEDB" w14:textId="77777777" w:rsidR="005700D8" w:rsidRDefault="005700D8" w:rsidP="005700D8">
      <w:pPr>
        <w:spacing w:after="80"/>
      </w:pPr>
      <w:r>
        <w:t xml:space="preserve">Chetty, Raj and Nathaniel Hendren. 2018. </w:t>
      </w:r>
      <w:r>
        <w:rPr>
          <w:i/>
          <w:iCs/>
        </w:rPr>
        <w:t xml:space="preserve">"The Impacts of Neighborhoods on Intergenerational Mobility I: Childhood Exposure Effects." </w:t>
      </w:r>
      <w:r>
        <w:t>Quarterly Journal of Economics 133(3): 1107-1162.</w:t>
      </w:r>
    </w:p>
    <w:p w14:paraId="088DE69D" w14:textId="77777777" w:rsidR="005700D8" w:rsidRDefault="005700D8" w:rsidP="005700D8">
      <w:pPr>
        <w:spacing w:after="200"/>
      </w:pPr>
      <w:r>
        <w:t xml:space="preserve">*HUD USER. "Investing in People and Places for Upward Mobility." Policy Brief. </w:t>
      </w:r>
      <w:hyperlink r:id="rId6" w:history="1">
        <w:r>
          <w:rPr>
            <w:color w:val="0000FF"/>
            <w:u w:val="single"/>
          </w:rPr>
          <w:t>Available online</w:t>
        </w:r>
      </w:hyperlink>
    </w:p>
    <w:p w14:paraId="5E561BFE" w14:textId="77777777" w:rsidR="00532A7B" w:rsidRDefault="00532A7B" w:rsidP="005700D8">
      <w:pPr>
        <w:spacing w:after="200"/>
      </w:pPr>
    </w:p>
    <w:p w14:paraId="5F1F85FB" w14:textId="77777777" w:rsidR="00532A7B" w:rsidRDefault="00532A7B" w:rsidP="00532A7B">
      <w:pPr>
        <w:pStyle w:val="Heading2"/>
      </w:pPr>
      <w:r>
        <w:t>Oregon Health Insurance Experiment</w:t>
      </w:r>
    </w:p>
    <w:p w14:paraId="5763C819" w14:textId="77777777" w:rsidR="00532A7B" w:rsidRDefault="00532A7B" w:rsidP="00532A7B">
      <w:pPr>
        <w:spacing w:after="120"/>
      </w:pPr>
      <w:r>
        <w:t xml:space="preserve">A </w:t>
      </w:r>
      <w:proofErr w:type="gramStart"/>
      <w:r>
        <w:t>rare randomized</w:t>
      </w:r>
      <w:proofErr w:type="gramEnd"/>
      <w:r>
        <w:t xml:space="preserve"> evaluation of public health insurance in the US. Oregon used a lottery to allocate Medicaid slots, creating natural experimental conditions. Useful for discussing both the power of RCTs and the interpretation of null results.</w:t>
      </w:r>
    </w:p>
    <w:p w14:paraId="2A003FB9" w14:textId="77777777" w:rsidR="00532A7B" w:rsidRDefault="00532A7B" w:rsidP="00532A7B">
      <w:pPr>
        <w:spacing w:after="80"/>
      </w:pPr>
      <w:r>
        <w:t xml:space="preserve">Finkelstein, Amy, et al. 2012. </w:t>
      </w:r>
      <w:r>
        <w:rPr>
          <w:i/>
          <w:iCs/>
        </w:rPr>
        <w:t xml:space="preserve">"The Oregon Health Insurance Experiment: Evidence from the First Year." </w:t>
      </w:r>
      <w:r>
        <w:t>Quarterly Journal of Economics 127(3): 1057-1106.</w:t>
      </w:r>
    </w:p>
    <w:p w14:paraId="66997179" w14:textId="77777777" w:rsidR="00532A7B" w:rsidRDefault="00532A7B" w:rsidP="00532A7B">
      <w:pPr>
        <w:spacing w:after="80"/>
      </w:pPr>
      <w:r>
        <w:t xml:space="preserve">Baicker, Katherine, et al. 2013. </w:t>
      </w:r>
      <w:r>
        <w:rPr>
          <w:i/>
          <w:iCs/>
        </w:rPr>
        <w:t xml:space="preserve">"The Oregon Experiment — Effects of Medicaid on Clinical Outcomes." </w:t>
      </w:r>
      <w:r>
        <w:t>New England Journal of Medicine 368(18): 1713-1722.</w:t>
      </w:r>
    </w:p>
    <w:p w14:paraId="27A323EC" w14:textId="77777777" w:rsidR="00532A7B" w:rsidRDefault="00532A7B" w:rsidP="00532A7B">
      <w:pPr>
        <w:spacing w:after="200"/>
      </w:pPr>
      <w:r>
        <w:t xml:space="preserve">*NBER Project Page: Oregon Health Insurance Experiment. </w:t>
      </w:r>
      <w:hyperlink r:id="rId7" w:history="1">
        <w:r>
          <w:rPr>
            <w:color w:val="0000FF"/>
            <w:u w:val="single"/>
          </w:rPr>
          <w:t>Available online</w:t>
        </w:r>
      </w:hyperlink>
    </w:p>
    <w:p w14:paraId="58235923" w14:textId="77777777" w:rsidR="00532A7B" w:rsidRDefault="00532A7B" w:rsidP="005700D8">
      <w:pPr>
        <w:spacing w:after="200"/>
      </w:pPr>
    </w:p>
    <w:p w14:paraId="48170E52" w14:textId="77777777" w:rsidR="005700D8" w:rsidRDefault="005700D8" w:rsidP="005700D8">
      <w:pPr>
        <w:pStyle w:val="Heading1"/>
      </w:pPr>
      <w:r>
        <w:t>Regression Discontinuity Designs</w:t>
      </w:r>
    </w:p>
    <w:p w14:paraId="378D3BF4" w14:textId="77777777" w:rsidR="005700D8" w:rsidRDefault="005700D8" w:rsidP="005700D8">
      <w:r>
        <w:rPr>
          <w:i/>
          <w:iCs/>
        </w:rPr>
        <w:t>For Week 10</w:t>
      </w:r>
    </w:p>
    <w:p w14:paraId="4041C327" w14:textId="77777777" w:rsidR="005700D8" w:rsidRDefault="005700D8" w:rsidP="005700D8">
      <w:pPr>
        <w:pStyle w:val="Heading2"/>
      </w:pPr>
      <w:r>
        <w:lastRenderedPageBreak/>
        <w:t>Maimonides' Rule and Class Size</w:t>
      </w:r>
    </w:p>
    <w:p w14:paraId="35E87BE5" w14:textId="77777777" w:rsidR="005700D8" w:rsidRDefault="005700D8" w:rsidP="005700D8">
      <w:pPr>
        <w:spacing w:after="120"/>
      </w:pPr>
      <w:r>
        <w:t>An elegant application of RDD using a 12th-century rabbinical rule that caps Israeli class sizes at 40 students. When enrollment exceeds 40, a class splits, creating a discontinuity that can be exploited for causal identification.</w:t>
      </w:r>
    </w:p>
    <w:p w14:paraId="32E5DA08" w14:textId="77777777" w:rsidR="005700D8" w:rsidRDefault="005700D8" w:rsidP="005700D8">
      <w:pPr>
        <w:spacing w:after="80"/>
      </w:pPr>
      <w:r>
        <w:t xml:space="preserve">*Angrist, Joshua D. and Victor Lavy. 1999. </w:t>
      </w:r>
      <w:r>
        <w:rPr>
          <w:i/>
          <w:iCs/>
        </w:rPr>
        <w:t xml:space="preserve">"Using Maimonides' Rule to Estimate the Effect of Class Size on Scholastic Achievement." </w:t>
      </w:r>
      <w:r>
        <w:t>Quarterly Journal of Economics 114(2): 533-575.</w:t>
      </w:r>
    </w:p>
    <w:p w14:paraId="36EA3694" w14:textId="77777777" w:rsidR="005700D8" w:rsidRDefault="005700D8" w:rsidP="005700D8">
      <w:pPr>
        <w:spacing w:after="200"/>
      </w:pPr>
      <w:r>
        <w:t xml:space="preserve">Angrist, Joshua D., Victor Lavy, Jetson Leder-Luis, and Adi Shany. 2019. </w:t>
      </w:r>
      <w:r>
        <w:rPr>
          <w:i/>
          <w:iCs/>
        </w:rPr>
        <w:t xml:space="preserve">"Maimonides' Rule Redux." </w:t>
      </w:r>
      <w:r>
        <w:t>American Economic Review: Insights 1(3): 309-324. [Replication with newer data]</w:t>
      </w:r>
    </w:p>
    <w:p w14:paraId="523CA527" w14:textId="77777777" w:rsidR="005700D8" w:rsidRDefault="005700D8" w:rsidP="005700D8">
      <w:pPr>
        <w:pStyle w:val="Heading2"/>
      </w:pPr>
      <w:r>
        <w:t>School Quality and Housing Prices</w:t>
      </w:r>
    </w:p>
    <w:p w14:paraId="7B98BDC1" w14:textId="77777777" w:rsidR="005700D8" w:rsidRDefault="005700D8" w:rsidP="005700D8">
      <w:pPr>
        <w:spacing w:after="120"/>
      </w:pPr>
      <w:r>
        <w:t xml:space="preserve">Uses school district boundaries in Boston to estimate how much </w:t>
      </w:r>
      <w:proofErr w:type="gramStart"/>
      <w:r>
        <w:t>parents</w:t>
      </w:r>
      <w:proofErr w:type="gramEnd"/>
      <w:r>
        <w:t xml:space="preserve"> value school quality. Houses on opposite sides of a boundary are similar in physical characteristics but assigned to different schools.</w:t>
      </w:r>
    </w:p>
    <w:p w14:paraId="2DB4873B" w14:textId="77777777" w:rsidR="005700D8" w:rsidRDefault="005700D8" w:rsidP="005700D8">
      <w:pPr>
        <w:spacing w:after="200"/>
      </w:pPr>
      <w:r>
        <w:t xml:space="preserve">Black, Sandra E. 1999. </w:t>
      </w:r>
      <w:r>
        <w:rPr>
          <w:i/>
          <w:iCs/>
        </w:rPr>
        <w:t xml:space="preserve">"Do Better Schools Matter? Parental Valuation of Elementary Education." </w:t>
      </w:r>
      <w:r>
        <w:t>Quarterly Journal of Economics 114(2): 577-599.</w:t>
      </w:r>
    </w:p>
    <w:p w14:paraId="01B4AE7D" w14:textId="77777777" w:rsidR="005700D8" w:rsidRDefault="005700D8" w:rsidP="005700D8">
      <w:pPr>
        <w:pStyle w:val="Heading2"/>
      </w:pPr>
      <w:r>
        <w:t>RDD Practitioner Guide</w:t>
      </w:r>
    </w:p>
    <w:p w14:paraId="0B96B2E7" w14:textId="77777777" w:rsidR="005700D8" w:rsidRDefault="005700D8" w:rsidP="005700D8">
      <w:pPr>
        <w:spacing w:after="80"/>
      </w:pPr>
      <w:r>
        <w:t xml:space="preserve">*Jacob, Robin et al. 2012. </w:t>
      </w:r>
      <w:r>
        <w:rPr>
          <w:i/>
          <w:iCs/>
        </w:rPr>
        <w:t xml:space="preserve">"A Practical Guide to Regression Discontinuity." </w:t>
      </w:r>
      <w:r>
        <w:t xml:space="preserve">MDRC Report. </w:t>
      </w:r>
      <w:hyperlink r:id="rId8" w:history="1">
        <w:r>
          <w:rPr>
            <w:color w:val="0000FF"/>
            <w:u w:val="single"/>
          </w:rPr>
          <w:t>Available online</w:t>
        </w:r>
      </w:hyperlink>
    </w:p>
    <w:p w14:paraId="765010ED" w14:textId="77777777" w:rsidR="005700D8" w:rsidRDefault="005700D8">
      <w:pPr>
        <w:pStyle w:val="Heading1"/>
      </w:pPr>
    </w:p>
    <w:p w14:paraId="1FDA6146" w14:textId="77777777" w:rsidR="005700D8" w:rsidRDefault="005700D8">
      <w:pPr>
        <w:pStyle w:val="Heading1"/>
      </w:pPr>
    </w:p>
    <w:p w14:paraId="5757E083" w14:textId="78A65366" w:rsidR="008B120B" w:rsidRDefault="00000000">
      <w:pPr>
        <w:pStyle w:val="Heading1"/>
      </w:pPr>
      <w:r>
        <w:t>Difference-in-Differences</w:t>
      </w:r>
    </w:p>
    <w:p w14:paraId="614CF55A" w14:textId="77777777" w:rsidR="008B120B" w:rsidRDefault="00000000">
      <w:r>
        <w:rPr>
          <w:i/>
          <w:iCs/>
        </w:rPr>
        <w:t>For Weeks 11–12</w:t>
      </w:r>
    </w:p>
    <w:p w14:paraId="606D6FE2" w14:textId="77777777" w:rsidR="008B120B" w:rsidRDefault="00000000">
      <w:pPr>
        <w:pStyle w:val="Heading2"/>
      </w:pPr>
      <w:r>
        <w:t>The Classic: New Jersey Minimum Wage</w:t>
      </w:r>
    </w:p>
    <w:p w14:paraId="616A2A69" w14:textId="77777777" w:rsidR="008B120B" w:rsidRDefault="00000000">
      <w:pPr>
        <w:spacing w:after="120"/>
      </w:pPr>
      <w:r>
        <w:t>Card and Krueger's study of the 1992 New Jersey minimum wage increase is perhaps the most famous application of difference-in-differences in economics. They compared fast-food employment in New Jersey to neighboring Pennsylvania before and after the wage increase.</w:t>
      </w:r>
    </w:p>
    <w:p w14:paraId="40E9DAE8" w14:textId="77777777" w:rsidR="008B120B" w:rsidRDefault="00000000">
      <w:pPr>
        <w:spacing w:after="80"/>
      </w:pPr>
      <w:r>
        <w:t xml:space="preserve">*Card, David and Alan B. Krueger. 1994. </w:t>
      </w:r>
      <w:r>
        <w:rPr>
          <w:i/>
          <w:iCs/>
        </w:rPr>
        <w:t xml:space="preserve">"Minimum Wages and Employment: A Case Study of the Fast-Food Industry in New Jersey and Pennsylvania." </w:t>
      </w:r>
      <w:r>
        <w:t>American Economic Review 84(4): 772-793.</w:t>
      </w:r>
    </w:p>
    <w:p w14:paraId="667FCB2C" w14:textId="77777777" w:rsidR="008B120B" w:rsidRDefault="00000000">
      <w:pPr>
        <w:spacing w:after="80"/>
      </w:pPr>
      <w:r>
        <w:t xml:space="preserve">Neumark, David and William Wascher. 2000. </w:t>
      </w:r>
      <w:r>
        <w:rPr>
          <w:i/>
          <w:iCs/>
        </w:rPr>
        <w:t xml:space="preserve">"Minimum Wages and Employment: A Case Study of the Fast-Food Industry in New Jersey and Pennsylvania: Comment." </w:t>
      </w:r>
      <w:r>
        <w:t>American Economic Review 90(5): 1362-1396. [The critique]</w:t>
      </w:r>
    </w:p>
    <w:p w14:paraId="4FA24F78" w14:textId="77777777" w:rsidR="008B120B" w:rsidRDefault="00000000">
      <w:pPr>
        <w:spacing w:after="200"/>
      </w:pPr>
      <w:r>
        <w:t xml:space="preserve">Card, David and Alan B. Krueger. 2000. </w:t>
      </w:r>
      <w:r>
        <w:rPr>
          <w:i/>
          <w:iCs/>
        </w:rPr>
        <w:t xml:space="preserve">"Minimum Wages and Employment: A Case Study of the Fast-Food Industry in New Jersey and Pennsylvania: Reply." </w:t>
      </w:r>
      <w:r>
        <w:t>American Economic Review 90(5): 1397-1420. [The response]</w:t>
      </w:r>
    </w:p>
    <w:p w14:paraId="14305F98" w14:textId="77777777" w:rsidR="00532A7B" w:rsidRDefault="00532A7B">
      <w:pPr>
        <w:spacing w:after="200"/>
      </w:pPr>
    </w:p>
    <w:p w14:paraId="69F1866F" w14:textId="77777777" w:rsidR="00532A7B" w:rsidRDefault="00532A7B">
      <w:pPr>
        <w:spacing w:after="200"/>
      </w:pPr>
    </w:p>
    <w:p w14:paraId="3D0E3585" w14:textId="77777777" w:rsidR="00532A7B" w:rsidRDefault="00532A7B" w:rsidP="00532A7B">
      <w:pPr>
        <w:pStyle w:val="font-claude-response-body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proofErr w:type="spellStart"/>
      <w:r>
        <w:rPr>
          <w:rFonts w:ascii="Georgia" w:hAnsi="Georgia" w:cs="Segoe UI"/>
          <w:color w:val="141413"/>
          <w:sz w:val="27"/>
          <w:szCs w:val="27"/>
        </w:rPr>
        <w:lastRenderedPageBreak/>
        <w:t>Deryugina</w:t>
      </w:r>
      <w:proofErr w:type="spellEnd"/>
      <w:r>
        <w:rPr>
          <w:rFonts w:ascii="Georgia" w:hAnsi="Georgia" w:cs="Segoe UI"/>
          <w:color w:val="141413"/>
          <w:sz w:val="27"/>
          <w:szCs w:val="27"/>
        </w:rPr>
        <w:t>, Tatyana, Laura Kawano, Steven Levitt, and Jeremy Lozano. 2018. "The Economic Consequences of Hurricane Katrina on Its Victims: Evidence from Individual Tax Returns." </w:t>
      </w:r>
      <w:r>
        <w:rPr>
          <w:rStyle w:val="Emphasis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American Economic Journal: Applied Economics</w:t>
      </w:r>
      <w:r>
        <w:rPr>
          <w:rFonts w:ascii="Georgia" w:hAnsi="Georgia" w:cs="Segoe UI"/>
          <w:color w:val="141413"/>
          <w:sz w:val="27"/>
          <w:szCs w:val="27"/>
        </w:rPr>
        <w:t> 10(2): 202–233.</w:t>
      </w:r>
    </w:p>
    <w:p w14:paraId="6527FF56" w14:textId="77777777" w:rsidR="00532A7B" w:rsidRDefault="00532A7B" w:rsidP="00532A7B">
      <w:pPr>
        <w:pStyle w:val="font-claude-response-body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t>Roth, Jonathan and Daniel J. Wilson. 2023. "The Local Economic Impact of Natural Disasters." Federal Reserve Bank of San Francisco Working Paper 2020-34.</w:t>
      </w:r>
    </w:p>
    <w:p w14:paraId="65EB0221" w14:textId="77777777" w:rsidR="00532A7B" w:rsidRDefault="00532A7B" w:rsidP="00532A7B">
      <w:pPr>
        <w:autoSpaceDE w:val="0"/>
        <w:autoSpaceDN w:val="0"/>
        <w:adjustRightInd w:val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The Economic Impact of Hurricane Katrina on Its Victims:</w:t>
      </w:r>
    </w:p>
    <w:p w14:paraId="03BD871B" w14:textId="77777777" w:rsidR="00532A7B" w:rsidRDefault="00532A7B" w:rsidP="00532A7B">
      <w:pPr>
        <w:autoSpaceDE w:val="0"/>
        <w:autoSpaceDN w:val="0"/>
        <w:adjustRightInd w:val="0"/>
        <w:rPr>
          <w:i/>
          <w:iCs/>
          <w:sz w:val="20"/>
          <w:szCs w:val="20"/>
        </w:rPr>
      </w:pPr>
      <w:r>
        <w:rPr>
          <w:i/>
          <w:iCs/>
          <w:sz w:val="28"/>
          <w:szCs w:val="28"/>
        </w:rPr>
        <w:t>Evidence from Individual Tax Returns</w:t>
      </w:r>
      <w:r>
        <w:rPr>
          <w:i/>
          <w:iCs/>
          <w:sz w:val="20"/>
          <w:szCs w:val="20"/>
        </w:rPr>
        <w:t>†</w:t>
      </w:r>
    </w:p>
    <w:p w14:paraId="2AEEAB67" w14:textId="18F4C57E" w:rsidR="00532A7B" w:rsidRDefault="00532A7B" w:rsidP="00532A7B">
      <w:pPr>
        <w:pStyle w:val="font-claude-response-body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i/>
          <w:iCs/>
          <w:sz w:val="22"/>
          <w:szCs w:val="22"/>
        </w:rPr>
        <w:t xml:space="preserve">By Tatyana </w:t>
      </w:r>
      <w:proofErr w:type="spellStart"/>
      <w:r>
        <w:rPr>
          <w:i/>
          <w:iCs/>
          <w:sz w:val="22"/>
          <w:szCs w:val="22"/>
        </w:rPr>
        <w:t>Deryugina</w:t>
      </w:r>
      <w:proofErr w:type="spellEnd"/>
      <w:r>
        <w:rPr>
          <w:i/>
          <w:iCs/>
          <w:sz w:val="22"/>
          <w:szCs w:val="22"/>
        </w:rPr>
        <w:t>, Laura Kawano, and Steven Levitt*</w:t>
      </w:r>
    </w:p>
    <w:p w14:paraId="2FC53EFD" w14:textId="77777777" w:rsidR="00532A7B" w:rsidRDefault="00532A7B">
      <w:pPr>
        <w:spacing w:after="200"/>
      </w:pPr>
    </w:p>
    <w:p w14:paraId="20CF8B6F" w14:textId="77777777" w:rsidR="008B120B" w:rsidRDefault="00000000">
      <w:pPr>
        <w:pStyle w:val="Heading2"/>
      </w:pPr>
      <w:r>
        <w:t>Methodological Advances</w:t>
      </w:r>
    </w:p>
    <w:p w14:paraId="5524D6D2" w14:textId="77777777" w:rsidR="008B120B" w:rsidRDefault="00000000">
      <w:pPr>
        <w:spacing w:after="120"/>
      </w:pPr>
      <w:r>
        <w:t xml:space="preserve">Recent methodological work has highlighted problems with two-way fixed effects in staggered </w:t>
      </w:r>
      <w:proofErr w:type="spellStart"/>
      <w:r>
        <w:t>DiD</w:t>
      </w:r>
      <w:proofErr w:type="spellEnd"/>
      <w:r>
        <w:t xml:space="preserve"> designs. These readings are more technical but important for understanding current best practices.</w:t>
      </w:r>
    </w:p>
    <w:p w14:paraId="01522AA8" w14:textId="77777777" w:rsidR="008B120B" w:rsidRDefault="00000000">
      <w:pPr>
        <w:spacing w:after="80"/>
      </w:pPr>
      <w:r>
        <w:t xml:space="preserve">Goodman-Bacon, Andrew. 2021. </w:t>
      </w:r>
      <w:r>
        <w:rPr>
          <w:i/>
          <w:iCs/>
        </w:rPr>
        <w:t xml:space="preserve">"Difference-in-Differences with Variation in Treatment Timing." </w:t>
      </w:r>
      <w:r>
        <w:t>Journal of Econometrics 225(2): 254-277.</w:t>
      </w:r>
    </w:p>
    <w:p w14:paraId="483B25E1" w14:textId="77777777" w:rsidR="008B120B" w:rsidRDefault="00000000">
      <w:pPr>
        <w:spacing w:after="200"/>
      </w:pPr>
      <w:r>
        <w:t xml:space="preserve">Callaway, Brantly and Pedro H.C. Sant'Anna. 2021. </w:t>
      </w:r>
      <w:r>
        <w:rPr>
          <w:i/>
          <w:iCs/>
        </w:rPr>
        <w:t xml:space="preserve">"Difference-in-Differences with Multiple Time Periods." </w:t>
      </w:r>
      <w:r>
        <w:t>Journal of Econometrics 225(2): 200-230.</w:t>
      </w:r>
    </w:p>
    <w:p w14:paraId="48C3DA7B" w14:textId="77777777" w:rsidR="008B120B" w:rsidRDefault="00000000">
      <w:pPr>
        <w:spacing w:before="480"/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>Readings marked with * are particularly recommended for students encountering these methods for the first time. Most academic articles are available through Clemson library databases. Policy briefs and government documents are freely accessible online.</w:t>
      </w:r>
    </w:p>
    <w:sectPr w:rsidR="008B12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56BBE"/>
    <w:multiLevelType w:val="hybridMultilevel"/>
    <w:tmpl w:val="2AFA41D8"/>
    <w:lvl w:ilvl="0" w:tplc="4CB41B22">
      <w:start w:val="1"/>
      <w:numFmt w:val="bullet"/>
      <w:lvlText w:val="●"/>
      <w:lvlJc w:val="left"/>
      <w:pPr>
        <w:ind w:left="720" w:hanging="360"/>
      </w:pPr>
    </w:lvl>
    <w:lvl w:ilvl="1" w:tplc="5BF0822C">
      <w:start w:val="1"/>
      <w:numFmt w:val="bullet"/>
      <w:lvlText w:val="○"/>
      <w:lvlJc w:val="left"/>
      <w:pPr>
        <w:ind w:left="1440" w:hanging="360"/>
      </w:pPr>
    </w:lvl>
    <w:lvl w:ilvl="2" w:tplc="3A5AFACC">
      <w:start w:val="1"/>
      <w:numFmt w:val="bullet"/>
      <w:lvlText w:val="■"/>
      <w:lvlJc w:val="left"/>
      <w:pPr>
        <w:ind w:left="2160" w:hanging="360"/>
      </w:pPr>
    </w:lvl>
    <w:lvl w:ilvl="3" w:tplc="F7BC8B0C">
      <w:start w:val="1"/>
      <w:numFmt w:val="bullet"/>
      <w:lvlText w:val="●"/>
      <w:lvlJc w:val="left"/>
      <w:pPr>
        <w:ind w:left="2880" w:hanging="360"/>
      </w:pPr>
    </w:lvl>
    <w:lvl w:ilvl="4" w:tplc="C5109FD6">
      <w:start w:val="1"/>
      <w:numFmt w:val="bullet"/>
      <w:lvlText w:val="○"/>
      <w:lvlJc w:val="left"/>
      <w:pPr>
        <w:ind w:left="3600" w:hanging="360"/>
      </w:pPr>
    </w:lvl>
    <w:lvl w:ilvl="5" w:tplc="69FA1B50">
      <w:start w:val="1"/>
      <w:numFmt w:val="bullet"/>
      <w:lvlText w:val="■"/>
      <w:lvlJc w:val="left"/>
      <w:pPr>
        <w:ind w:left="4320" w:hanging="360"/>
      </w:pPr>
    </w:lvl>
    <w:lvl w:ilvl="6" w:tplc="29D2ADE8">
      <w:start w:val="1"/>
      <w:numFmt w:val="bullet"/>
      <w:lvlText w:val="●"/>
      <w:lvlJc w:val="left"/>
      <w:pPr>
        <w:ind w:left="5040" w:hanging="360"/>
      </w:pPr>
    </w:lvl>
    <w:lvl w:ilvl="7" w:tplc="4F340E14">
      <w:start w:val="1"/>
      <w:numFmt w:val="bullet"/>
      <w:lvlText w:val="●"/>
      <w:lvlJc w:val="left"/>
      <w:pPr>
        <w:ind w:left="5760" w:hanging="360"/>
      </w:pPr>
    </w:lvl>
    <w:lvl w:ilvl="8" w:tplc="87B481B8">
      <w:start w:val="1"/>
      <w:numFmt w:val="bullet"/>
      <w:lvlText w:val="●"/>
      <w:lvlJc w:val="left"/>
      <w:pPr>
        <w:ind w:left="6480" w:hanging="360"/>
      </w:pPr>
    </w:lvl>
  </w:abstractNum>
  <w:num w:numId="1" w16cid:durableId="16239936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20B"/>
    <w:rsid w:val="00532A7B"/>
    <w:rsid w:val="005700D8"/>
    <w:rsid w:val="008B120B"/>
    <w:rsid w:val="00EC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08277"/>
  <w15:docId w15:val="{F275E53C-CE0B-CF4B-940D-575364CD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ascii="Arial" w:eastAsia="Arial" w:hAnsi="Arial" w:cs="Arial"/>
      <w:b/>
      <w:bCs/>
      <w:color w:val="522D8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rFonts w:ascii="Arial" w:eastAsia="Arial" w:hAnsi="Arial" w:cs="Arial"/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rFonts w:ascii="Arial" w:eastAsia="Arial" w:hAnsi="Arial" w:cs="Arial"/>
      <w:b/>
      <w:bCs/>
      <w:color w:val="00000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532A7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32A7B"/>
    <w:rPr>
      <w:b/>
      <w:bCs/>
    </w:rPr>
  </w:style>
  <w:style w:type="character" w:styleId="Emphasis">
    <w:name w:val="Emphasis"/>
    <w:basedOn w:val="DefaultParagraphFont"/>
    <w:uiPriority w:val="20"/>
    <w:qFormat/>
    <w:rsid w:val="00532A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rc.org/sites/default/files/regression_discontinuity_full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ber.org/programs-projects/projects-and-centers/oregon-health-insurance-experi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uduser.gov/portal/investing_people.html" TargetMode="External"/><Relationship Id="rId5" Type="http://schemas.openxmlformats.org/officeDocument/2006/relationships/hyperlink" Target="https://www.povertyactionlab.org/evaluation/impact-progresa-health-mexic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1152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 Horne</cp:lastModifiedBy>
  <cp:revision>3</cp:revision>
  <dcterms:created xsi:type="dcterms:W3CDTF">2025-12-04T22:31:00Z</dcterms:created>
  <dcterms:modified xsi:type="dcterms:W3CDTF">2025-12-20T02:04:00Z</dcterms:modified>
</cp:coreProperties>
</file>