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A1A1A"/>
          <w:spacing w:val="8"/>
          <w:sz w:val="48"/>
          <w:szCs w:val="48"/>
        </w:rPr>
        <w:t xml:space="preserve">THE 48 LAWS OF POWER</w:t>
      </w:r>
    </w:p>
    <w:p>
      <w:pPr>
        <w:spacing w:after="260"/>
      </w:pPr>
      <w:r>
        <w:rPr>
          <w:rFonts w:ascii="Georgia" w:cs="Georgia" w:eastAsia="Georgia" w:hAnsi="Georgia"/>
          <w:i/>
          <w:iCs/>
          <w:color w:val="7A2E2E"/>
          <w:sz w:val="30"/>
          <w:szCs w:val="30"/>
        </w:rPr>
        <w:t xml:space="preserve">A Critical Practical Guide</w:t>
      </w:r>
    </w:p>
    <w:p>
      <w:pPr>
        <w:pBdr>
          <w:bottom w:val="single" w:color="B5B0A8" w:sz="4" w:space="1"/>
        </w:pBdr>
        <w:spacing w:after="200" w:before="100"/>
      </w:pPr>
    </w:p>
    <w:p>
      <w:pPr>
        <w:spacing w:after="40"/>
      </w:pPr>
      <w:r>
        <w:rPr>
          <w:rFonts w:ascii="Calibri" w:cs="Calibri" w:eastAsia="Calibri" w:hAnsi="Calibri"/>
          <w:b/>
          <w:bCs/>
          <w:color w:val="5A5A5A"/>
          <w:sz w:val="19"/>
          <w:szCs w:val="19"/>
        </w:rPr>
        <w:t xml:space="preserve">Author: </w:t>
      </w:r>
      <w:r>
        <w:rPr>
          <w:rFonts w:ascii="Calibri" w:cs="Calibri" w:eastAsia="Calibri" w:hAnsi="Calibri"/>
          <w:color w:val="1A1A1A"/>
          <w:sz w:val="19"/>
          <w:szCs w:val="19"/>
        </w:rPr>
        <w:t xml:space="preserve">Robert Greene (concept and text), with Joost Elffers (packager/co-creator)</w:t>
      </w:r>
    </w:p>
    <w:p>
      <w:pPr>
        <w:spacing w:after="40"/>
      </w:pPr>
      <w:r>
        <w:rPr>
          <w:rFonts w:ascii="Calibri" w:cs="Calibri" w:eastAsia="Calibri" w:hAnsi="Calibri"/>
          <w:b/>
          <w:bCs/>
          <w:color w:val="5A5A5A"/>
          <w:sz w:val="19"/>
          <w:szCs w:val="19"/>
        </w:rPr>
        <w:t xml:space="preserve">Original publication: </w:t>
      </w:r>
      <w:r>
        <w:rPr>
          <w:rFonts w:ascii="Calibri" w:cs="Calibri" w:eastAsia="Calibri" w:hAnsi="Calibri"/>
          <w:color w:val="1A1A1A"/>
          <w:sz w:val="19"/>
          <w:szCs w:val="19"/>
        </w:rPr>
        <w:t xml:space="preserve">Viking, 1998 (452 pp., hardcover); Greene's debut book</w:t>
      </w:r>
    </w:p>
    <w:p>
      <w:pPr>
        <w:spacing w:after="40"/>
      </w:pPr>
      <w:r>
        <w:rPr>
          <w:rFonts w:ascii="Calibri" w:cs="Calibri" w:eastAsia="Calibri" w:hAnsi="Calibri"/>
          <w:b/>
          <w:bCs/>
          <w:color w:val="5A5A5A"/>
          <w:sz w:val="19"/>
          <w:szCs w:val="19"/>
        </w:rPr>
        <w:t xml:space="preserve">Genre: </w:t>
      </w:r>
      <w:r>
        <w:rPr>
          <w:rFonts w:ascii="Calibri" w:cs="Calibri" w:eastAsia="Calibri" w:hAnsi="Calibri"/>
          <w:color w:val="1A1A1A"/>
          <w:sz w:val="19"/>
          <w:szCs w:val="19"/>
        </w:rPr>
        <w:t xml:space="preserve">Strategy / applied history / self-help (widely classified as amoral pragmatics)</w:t>
      </w:r>
    </w:p>
    <w:p>
      <w:pPr>
        <w:spacing w:after="40"/>
      </w:pPr>
      <w:r>
        <w:rPr>
          <w:rFonts w:ascii="Calibri" w:cs="Calibri" w:eastAsia="Calibri" w:hAnsi="Calibri"/>
          <w:b/>
          <w:bCs/>
          <w:color w:val="5A5A5A"/>
          <w:sz w:val="19"/>
          <w:szCs w:val="19"/>
        </w:rPr>
        <w:t xml:space="preserve">Core subject: </w:t>
      </w:r>
      <w:r>
        <w:rPr>
          <w:rFonts w:ascii="Calibri" w:cs="Calibri" w:eastAsia="Calibri" w:hAnsi="Calibri"/>
          <w:color w:val="1A1A1A"/>
          <w:sz w:val="19"/>
          <w:szCs w:val="19"/>
        </w:rPr>
        <w:t xml:space="preserve">A codified system of 48 historically-derived tactics for acquiring, exercising, and defending power in interpersonal, political, and organizational life</w:t>
      </w:r>
    </w:p>
    <w:p>
      <w:r>
        <w:br w:type="page"/>
      </w:r>
    </w:p>
    <w:p>
      <w:pPr>
        <w:pStyle w:val="Heading1"/>
        <w:pBdr>
          <w:bottom w:val="single" w:color="B5B0A8" w:sz="6" w:space="6"/>
        </w:pBdr>
        <w:spacing w:after="200" w:before="480"/>
      </w:pPr>
      <w:r>
        <w:rPr>
          <w:rFonts w:ascii="Calibri" w:cs="Calibri" w:eastAsia="Calibri" w:hAnsi="Calibri"/>
          <w:b/>
          <w:bCs/>
          <w:color w:val="7A2E2E"/>
          <w:sz w:val="24"/>
          <w:szCs w:val="24"/>
        </w:rPr>
        <w:t xml:space="preserve">1  </w:t>
      </w:r>
      <w:r>
        <w:rPr>
          <w:rFonts w:ascii="Calibri" w:cs="Calibri" w:eastAsia="Calibri" w:hAnsi="Calibri"/>
          <w:b/>
          <w:bCs/>
          <w:color w:val="1A1A1A"/>
          <w:sz w:val="24"/>
          <w:szCs w:val="24"/>
        </w:rPr>
        <w:t xml:space="preserve">Executive Thesis</w:t>
      </w:r>
    </w:p>
    <w:p>
      <w:pPr>
        <w:spacing w:after="140" w:line="276"/>
      </w:pPr>
      <w:r>
        <w:rPr>
          <w:rFonts w:ascii="Georgia" w:cs="Georgia" w:eastAsia="Georgia" w:hAnsi="Georgia"/>
          <w:color w:val="1A1A1A"/>
          <w:sz w:val="21"/>
          <w:szCs w:val="21"/>
        </w:rPr>
        <w:t xml:space="preserve">The 48 Laws of Power argues that power is the real, if unspoken, currency of all human interaction, and that most people are disadvantaged not because they reject power but because they refuse to study it consciously. Greene's foundational claim is that social life is inherently a competitive arena — closer to a court, in the historical sense (a monarch's court), than to a cooperative community — and that appearing virtuous while ignoring the mechanics of status, perception, and leverage leaves a person perpetually vulnerable to those who do not share that restraint.</w:t>
      </w:r>
    </w:p>
    <w:p>
      <w:pPr>
        <w:spacing w:after="140" w:line="276"/>
      </w:pPr>
      <w:r>
        <w:rPr>
          <w:rFonts w:ascii="Georgia" w:cs="Georgia" w:eastAsia="Georgia" w:hAnsi="Georgia"/>
          <w:color w:val="1A1A1A"/>
          <w:sz w:val="21"/>
          <w:szCs w:val="21"/>
        </w:rPr>
        <w:t xml:space="preserve">The book's method is to extract 48 discrete, freestanding “laws” from roughly three thousand years of political, military, and courtly history — drawing especially on Machiavelli, Sun Tzu, and Clausewitz — each illustrated with historical anecdotes showing the law observed and the law violated. There is no single narrative arc; the laws are not sequential steps but a reference system, closer to a manual or codex than a developmental argument. The unifying worldview beneath all 48 laws is that appearances, timing, and other people's psychology are more decisive levers of outcome than raw merit, sincerity, or good intentions — and that treating power as beneath consideration is itself a strategic error, not a moral virtue.</w:t>
      </w:r>
    </w:p>
    <w:p>
      <w:pPr>
        <w:pStyle w:val="Heading1"/>
        <w:pBdr>
          <w:bottom w:val="single" w:color="B5B0A8" w:sz="6" w:space="6"/>
        </w:pBdr>
        <w:spacing w:after="200" w:before="480"/>
      </w:pPr>
      <w:r>
        <w:rPr>
          <w:rFonts w:ascii="Calibri" w:cs="Calibri" w:eastAsia="Calibri" w:hAnsi="Calibri"/>
          <w:b/>
          <w:bCs/>
          <w:color w:val="7A2E2E"/>
          <w:sz w:val="24"/>
          <w:szCs w:val="24"/>
        </w:rPr>
        <w:t xml:space="preserve">2  </w:t>
      </w:r>
      <w:r>
        <w:rPr>
          <w:rFonts w:ascii="Calibri" w:cs="Calibri" w:eastAsia="Calibri" w:hAnsi="Calibri"/>
          <w:b/>
          <w:bCs/>
          <w:color w:val="1A1A1A"/>
          <w:sz w:val="24"/>
          <w:szCs w:val="24"/>
        </w:rPr>
        <w:t xml:space="preserve">The Problem the Book Is Trying to Solve</w:t>
      </w:r>
    </w:p>
    <w:p>
      <w:pPr>
        <w:spacing w:after="140" w:line="276"/>
      </w:pPr>
      <w:r>
        <w:rPr>
          <w:rFonts w:ascii="Georgia" w:cs="Georgia" w:eastAsia="Georgia" w:hAnsi="Georgia"/>
          <w:color w:val="1A1A1A"/>
          <w:sz w:val="21"/>
          <w:szCs w:val="21"/>
        </w:rPr>
        <w:t xml:space="preserve">Greene's stated motivation is that most people are taught to disdain the pursuit of power as ugly or immoral, while continuing to operate inside systems — workplaces, courts, families, political institutions — that are governed by power dynamics regardless of anyone's stated values. He believes this creates a structural disadvantage: people who refuse to study power are not thereby exempt from it: they are simply outmaneuvered by those who do. The question the book sets out to answer is not “should power be pursued?” but “given that power dynamics are unavoidable, what are the recurring, historically validated tactics that determine who holds leverage and who does not?”</w:t>
      </w:r>
    </w:p>
    <w:p>
      <w:pPr>
        <w:spacing w:after="140" w:line="276"/>
      </w:pPr>
      <w:r>
        <w:rPr>
          <w:rFonts w:ascii="Georgia" w:cs="Georgia" w:eastAsia="Georgia" w:hAnsi="Georgia"/>
          <w:color w:val="1A1A1A"/>
          <w:sz w:val="21"/>
          <w:szCs w:val="21"/>
        </w:rPr>
        <w:t xml:space="preserve">Greene positions conventional advice — be honest, be yourself, work hard and trust the system to reward it — as naive at best and dangerous at worst, arguing that historical case studies repeatedly show sincerity and transparency being exploited by more strategically-minded rivals.</w:t>
      </w:r>
    </w:p>
    <w:p>
      <w:pPr>
        <w:pStyle w:val="Heading1"/>
        <w:pBdr>
          <w:bottom w:val="single" w:color="B5B0A8" w:sz="6" w:space="6"/>
        </w:pBdr>
        <w:spacing w:after="200" w:before="480"/>
      </w:pPr>
      <w:r>
        <w:rPr>
          <w:rFonts w:ascii="Calibri" w:cs="Calibri" w:eastAsia="Calibri" w:hAnsi="Calibri"/>
          <w:b/>
          <w:bCs/>
          <w:color w:val="7A2E2E"/>
          <w:sz w:val="24"/>
          <w:szCs w:val="24"/>
        </w:rPr>
        <w:t xml:space="preserve">3  </w:t>
      </w:r>
      <w:r>
        <w:rPr>
          <w:rFonts w:ascii="Calibri" w:cs="Calibri" w:eastAsia="Calibri" w:hAnsi="Calibri"/>
          <w:b/>
          <w:bCs/>
          <w:color w:val="1A1A1A"/>
          <w:sz w:val="24"/>
          <w:szCs w:val="24"/>
        </w:rPr>
        <w:t xml:space="preserve">The Author's Core Worldview</w:t>
      </w:r>
    </w:p>
    <w:p>
      <w:pPr>
        <w:spacing w:after="80" w:before="220"/>
      </w:pPr>
      <w:r>
        <w:rPr>
          <w:rFonts w:ascii="Calibri" w:cs="Calibri" w:eastAsia="Calibri" w:hAnsi="Calibri"/>
          <w:b/>
          <w:bCs/>
          <w:color w:val="7A2E2E"/>
          <w:sz w:val="20"/>
          <w:szCs w:val="20"/>
        </w:rPr>
        <w:t xml:space="preserve">Proposition 1 — Social life is a covert competitive arena</w:t>
      </w:r>
    </w:p>
    <w:p>
      <w:pPr>
        <w:spacing w:after="140" w:line="276"/>
      </w:pPr>
      <w:r>
        <w:rPr>
          <w:rFonts w:ascii="Georgia" w:cs="Georgia" w:eastAsia="Georgia" w:hAnsi="Georgia"/>
          <w:color w:val="1A1A1A"/>
          <w:sz w:val="21"/>
          <w:szCs w:val="21"/>
        </w:rPr>
        <w:t xml:space="preserve">Beneath cooperative appearances, most sustained human relationships (workplace, political, even social) involve a struggle for relative status and leverage, whether or not participants acknowledge it.</w:t>
      </w:r>
    </w:p>
    <w:p>
      <w:pPr>
        <w:spacing w:after="80" w:before="220"/>
      </w:pPr>
      <w:r>
        <w:rPr>
          <w:rFonts w:ascii="Calibri" w:cs="Calibri" w:eastAsia="Calibri" w:hAnsi="Calibri"/>
          <w:b/>
          <w:bCs/>
          <w:color w:val="7A2E2E"/>
          <w:sz w:val="20"/>
          <w:szCs w:val="20"/>
        </w:rPr>
        <w:t xml:space="preserve">Proposition 2 — Perception outweighs substance</w:t>
      </w:r>
    </w:p>
    <w:p>
      <w:pPr>
        <w:spacing w:after="140" w:line="276"/>
      </w:pPr>
      <w:r>
        <w:rPr>
          <w:rFonts w:ascii="Georgia" w:cs="Georgia" w:eastAsia="Georgia" w:hAnsi="Georgia"/>
          <w:color w:val="1A1A1A"/>
          <w:sz w:val="21"/>
          <w:szCs w:val="21"/>
        </w:rPr>
        <w:t xml:space="preserve">How a person's actions are perceived by others determines their social outcomes more reliably than the objective merit of those actions. Managing appearance is treated as a primary, not secondary, skill.</w:t>
      </w:r>
    </w:p>
    <w:p>
      <w:pPr>
        <w:spacing w:after="80" w:before="220"/>
      </w:pPr>
      <w:r>
        <w:rPr>
          <w:rFonts w:ascii="Calibri" w:cs="Calibri" w:eastAsia="Calibri" w:hAnsi="Calibri"/>
          <w:b/>
          <w:bCs/>
          <w:color w:val="7A2E2E"/>
          <w:sz w:val="20"/>
          <w:szCs w:val="20"/>
        </w:rPr>
        <w:t xml:space="preserve">Proposition 3 — Emotion is a liability in strategic situations</w:t>
      </w:r>
    </w:p>
    <w:p>
      <w:pPr>
        <w:spacing w:after="140" w:line="276"/>
      </w:pPr>
      <w:r>
        <w:rPr>
          <w:rFonts w:ascii="Georgia" w:cs="Georgia" w:eastAsia="Georgia" w:hAnsi="Georgia"/>
          <w:color w:val="1A1A1A"/>
          <w:sz w:val="21"/>
          <w:szCs w:val="21"/>
        </w:rPr>
        <w:t xml:space="preserve">Greene consistently frames unmanaged emotion — anger, gratitude, love, grief — as an exploitable weakness, and self-control/detachment as a precondition for wielding the laws effectively.</w:t>
      </w:r>
    </w:p>
    <w:p>
      <w:pPr>
        <w:spacing w:after="80" w:before="220"/>
      </w:pPr>
      <w:r>
        <w:rPr>
          <w:rFonts w:ascii="Calibri" w:cs="Calibri" w:eastAsia="Calibri" w:hAnsi="Calibri"/>
          <w:b/>
          <w:bCs/>
          <w:color w:val="7A2E2E"/>
          <w:sz w:val="20"/>
          <w:szCs w:val="20"/>
        </w:rPr>
        <w:t xml:space="preserve">Proposition 4 — History repeats at the level of pattern, not detail</w:t>
      </w:r>
    </w:p>
    <w:p>
      <w:pPr>
        <w:spacing w:after="140" w:line="276"/>
      </w:pPr>
      <w:r>
        <w:rPr>
          <w:rFonts w:ascii="Georgia" w:cs="Georgia" w:eastAsia="Georgia" w:hAnsi="Georgia"/>
          <w:color w:val="1A1A1A"/>
          <w:sz w:val="21"/>
          <w:szCs w:val="21"/>
        </w:rPr>
        <w:t xml:space="preserve">Political and courtly episodes centuries or millennia apart are treated as evidence of the same underlying dynamics, on the premise that human psychology around status and rivalry is stable across eras.</w:t>
      </w:r>
    </w:p>
    <w:p>
      <w:pPr>
        <w:spacing w:after="80" w:before="220"/>
      </w:pPr>
      <w:r>
        <w:rPr>
          <w:rFonts w:ascii="Calibri" w:cs="Calibri" w:eastAsia="Calibri" w:hAnsi="Calibri"/>
          <w:b/>
          <w:bCs/>
          <w:color w:val="7A2E2E"/>
          <w:sz w:val="20"/>
          <w:szCs w:val="20"/>
        </w:rPr>
        <w:t xml:space="preserve">Proposition 5 — Morality and strategy are separate registers</w:t>
      </w:r>
    </w:p>
    <w:p>
      <w:pPr>
        <w:spacing w:after="140" w:line="276"/>
      </w:pPr>
      <w:r>
        <w:rPr>
          <w:rFonts w:ascii="Georgia" w:cs="Georgia" w:eastAsia="Georgia" w:hAnsi="Georgia"/>
          <w:color w:val="1A1A1A"/>
          <w:sz w:val="21"/>
          <w:szCs w:val="21"/>
        </w:rPr>
        <w:t xml:space="preserve">The book deliberately withholds moral judgment on the laws themselves, presenting them as descriptive of how power actually operates rather than prescriptive of how it ought to. Greene frames the reader's own values as a separate, subsequent decision about whether and how to apply a given law.</w:t>
      </w:r>
    </w:p>
    <w:p>
      <w:pPr>
        <w:spacing w:after="80" w:before="220"/>
      </w:pPr>
      <w:r>
        <w:rPr>
          <w:rFonts w:ascii="Calibri" w:cs="Calibri" w:eastAsia="Calibri" w:hAnsi="Calibri"/>
          <w:b/>
          <w:bCs/>
          <w:color w:val="7A2E2E"/>
          <w:sz w:val="20"/>
          <w:szCs w:val="20"/>
        </w:rPr>
        <w:t xml:space="preserve">Proposition 6 — Indirection outperforms direct confrontation</w:t>
      </w:r>
    </w:p>
    <w:p>
      <w:pPr>
        <w:spacing w:after="140" w:line="276"/>
      </w:pPr>
      <w:r>
        <w:rPr>
          <w:rFonts w:ascii="Georgia" w:cs="Georgia" w:eastAsia="Georgia" w:hAnsi="Georgia"/>
          <w:color w:val="1A1A1A"/>
          <w:sz w:val="21"/>
          <w:szCs w:val="21"/>
        </w:rPr>
        <w:t xml:space="preserve">Across many laws, achieving an aim through misdirection, patience, or apparent deference is presented as more reliable than open, direct assertion of one's goals or strength.</w:t>
      </w:r>
    </w:p>
    <w:p>
      <w:pPr>
        <w:spacing w:after="80" w:before="220"/>
      </w:pPr>
      <w:r>
        <w:rPr>
          <w:rFonts w:ascii="Calibri" w:cs="Calibri" w:eastAsia="Calibri" w:hAnsi="Calibri"/>
          <w:b/>
          <w:bCs/>
          <w:color w:val="7A2E2E"/>
          <w:sz w:val="20"/>
          <w:szCs w:val="20"/>
        </w:rPr>
        <w:t xml:space="preserve">Proposition 7 — Reputation and image are strategic assets, not by-products</w:t>
      </w:r>
    </w:p>
    <w:p>
      <w:pPr>
        <w:spacing w:after="140" w:line="276"/>
      </w:pPr>
      <w:r>
        <w:rPr>
          <w:rFonts w:ascii="Georgia" w:cs="Georgia" w:eastAsia="Georgia" w:hAnsi="Georgia"/>
          <w:color w:val="1A1A1A"/>
          <w:sz w:val="21"/>
          <w:szCs w:val="21"/>
        </w:rPr>
        <w:t xml:space="preserve">A person's court-wide (or organization-wide) reputation is treated as something to be actively constructed and defended, comparable in importance to any concrete action taken.</w:t>
      </w:r>
    </w:p>
    <w:p>
      <w:pPr>
        <w:pStyle w:val="Heading1"/>
        <w:pBdr>
          <w:bottom w:val="single" w:color="B5B0A8" w:sz="6" w:space="6"/>
        </w:pBdr>
        <w:spacing w:after="200" w:before="480"/>
      </w:pPr>
      <w:r>
        <w:rPr>
          <w:rFonts w:ascii="Calibri" w:cs="Calibri" w:eastAsia="Calibri" w:hAnsi="Calibri"/>
          <w:b/>
          <w:bCs/>
          <w:color w:val="7A2E2E"/>
          <w:sz w:val="24"/>
          <w:szCs w:val="24"/>
        </w:rPr>
        <w:t xml:space="preserve">4  </w:t>
      </w:r>
      <w:r>
        <w:rPr>
          <w:rFonts w:ascii="Calibri" w:cs="Calibri" w:eastAsia="Calibri" w:hAnsi="Calibri"/>
          <w:b/>
          <w:bCs/>
          <w:color w:val="1A1A1A"/>
          <w:sz w:val="24"/>
          <w:szCs w:val="24"/>
        </w:rPr>
        <w:t xml:space="preserve">Core Concept Map</w:t>
      </w:r>
    </w:p>
    <w:p>
      <w:pPr>
        <w:spacing w:after="140" w:line="276"/>
      </w:pPr>
      <w:r>
        <w:rPr>
          <w:rFonts w:ascii="Georgia" w:cs="Georgia" w:eastAsia="Georgia" w:hAnsi="Georgia"/>
          <w:color w:val="1A1A1A"/>
          <w:sz w:val="21"/>
          <w:szCs w:val="21"/>
        </w:rPr>
        <w:t xml:space="preserve">Unlike a developmental book, The 48 Laws of Power has a modular rather than sequential architecture: 48 largely independent laws, several of which are in tension with one another (see Section 9). They cluster around a small number of underlying mechanisms:</w:t>
      </w:r>
    </w:p>
    <w:p>
      <w:pPr>
        <w:spacing w:after="200" w:before="100"/>
        <w:jc w:val="center"/>
      </w:pPr>
      <w:r>
        <w:rPr>
          <w:rFonts w:ascii="Calibri" w:cs="Calibri" w:eastAsia="Calibri" w:hAnsi="Calibri"/>
          <w:b/>
          <w:bCs/>
          <w:color w:val="7A2E2E"/>
          <w:sz w:val="20"/>
          <w:szCs w:val="20"/>
        </w:rPr>
        <w:t xml:space="preserve">Perception Management  +  Emotional Self-Control  →  Strategic Positioning (timing, indirection, leverage)  →  Application of a specific Law  →  Shift in relative Power</w:t>
      </w:r>
    </w:p>
    <w:p>
      <w:pPr>
        <w:spacing w:after="140" w:line="276"/>
      </w:pPr>
      <w:r>
        <w:rPr>
          <w:rFonts w:ascii="Georgia" w:cs="Georgia" w:eastAsia="Georgia" w:hAnsi="Georgia"/>
          <w:color w:val="1A1A1A"/>
          <w:sz w:val="21"/>
          <w:szCs w:val="21"/>
        </w:rPr>
        <w:t xml:space="preserve">Two organizing ideas recur across most laws and function as connective tissue: Court Politics (the book's implicit model of any hierarchical social environment, borrowed from historical royal courts) and Amoral Pragmatism (the deliberate suspension of ethical evaluation while a law is being explained). Nearly every individual law can be read as a specific application of perception management, emotional control, or strategic positioning to a particular recurring social situation — rivals, superiors, allies, enemies, one's own reputation.</w:t>
      </w:r>
    </w:p>
    <w:p>
      <w:pPr>
        <w:pStyle w:val="Heading1"/>
        <w:pBdr>
          <w:bottom w:val="single" w:color="B5B0A8" w:sz="6" w:space="6"/>
        </w:pBdr>
        <w:spacing w:after="200" w:before="480"/>
      </w:pPr>
      <w:r>
        <w:rPr>
          <w:rFonts w:ascii="Calibri" w:cs="Calibri" w:eastAsia="Calibri" w:hAnsi="Calibri"/>
          <w:b/>
          <w:bCs/>
          <w:color w:val="7A2E2E"/>
          <w:sz w:val="24"/>
          <w:szCs w:val="24"/>
        </w:rPr>
        <w:t xml:space="preserve">5  </w:t>
      </w:r>
      <w:r>
        <w:rPr>
          <w:rFonts w:ascii="Calibri" w:cs="Calibri" w:eastAsia="Calibri" w:hAnsi="Calibri"/>
          <w:b/>
          <w:bCs/>
          <w:color w:val="1A1A1A"/>
          <w:sz w:val="24"/>
          <w:szCs w:val="24"/>
        </w:rPr>
        <w:t xml:space="preserve">The Core Concepts</w:t>
      </w:r>
    </w:p>
    <w:p>
      <w:pPr>
        <w:pStyle w:val="Heading2"/>
        <w:spacing w:after="120" w:before="300"/>
      </w:pPr>
      <w:r>
        <w:rPr>
          <w:rFonts w:ascii="Calibri" w:cs="Calibri" w:eastAsia="Calibri" w:hAnsi="Calibri"/>
          <w:b/>
          <w:bCs/>
          <w:color w:val="1A1A1A"/>
          <w:sz w:val="21"/>
          <w:szCs w:val="21"/>
        </w:rPr>
        <w:t xml:space="preserve">Court Politics (the implicit operating model)</w:t>
      </w:r>
    </w:p>
    <w:p>
      <w:pPr>
        <w:spacing w:after="100" w:line="270"/>
      </w:pPr>
      <w:r>
        <w:rPr>
          <w:rFonts w:ascii="Calibri" w:cs="Calibri" w:eastAsia="Calibri" w:hAnsi="Calibri"/>
          <w:b/>
          <w:bCs/>
          <w:color w:val="7A2E2E"/>
          <w:sz w:val="20"/>
          <w:szCs w:val="20"/>
        </w:rPr>
        <w:t xml:space="preserve">What it means  </w:t>
      </w:r>
      <w:r>
        <w:rPr>
          <w:rFonts w:ascii="Georgia" w:cs="Georgia" w:eastAsia="Georgia" w:hAnsi="Georgia"/>
          <w:color w:val="1A1A1A"/>
          <w:sz w:val="21"/>
          <w:szCs w:val="21"/>
        </w:rPr>
        <w:t xml:space="preserve">Greene treats any hierarchical social environment — a company, a family, a friendship circle — as structurally analogous to a historical royal court: a closed system where proximity to power, rivals' perceptions, and a ruler's (or superior's) favor determine outcomes more than formal rules do.</w:t>
      </w:r>
    </w:p>
    <w:p>
      <w:pPr>
        <w:spacing w:after="100" w:line="270"/>
      </w:pPr>
      <w:r>
        <w:rPr>
          <w:rFonts w:ascii="Calibri" w:cs="Calibri" w:eastAsia="Calibri" w:hAnsi="Calibri"/>
          <w:b/>
          <w:bCs/>
          <w:color w:val="7A2E2E"/>
          <w:sz w:val="20"/>
          <w:szCs w:val="20"/>
        </w:rPr>
        <w:t xml:space="preserve">What the author claims  </w:t>
      </w:r>
      <w:r>
        <w:rPr>
          <w:rFonts w:ascii="Georgia" w:cs="Georgia" w:eastAsia="Georgia" w:hAnsi="Georgia"/>
          <w:color w:val="1A1A1A"/>
          <w:sz w:val="21"/>
          <w:szCs w:val="21"/>
        </w:rPr>
        <w:t xml:space="preserve">This model applies broadly across eras and institutions, not only to literal monarchies.</w:t>
      </w:r>
    </w:p>
    <w:p>
      <w:pPr>
        <w:spacing w:after="100" w:line="270"/>
      </w:pPr>
      <w:r>
        <w:rPr>
          <w:rFonts w:ascii="Calibri" w:cs="Calibri" w:eastAsia="Calibri" w:hAnsi="Calibri"/>
          <w:b/>
          <w:bCs/>
          <w:color w:val="7A2E2E"/>
          <w:sz w:val="20"/>
          <w:szCs w:val="20"/>
        </w:rPr>
        <w:t xml:space="preserve">Why it matters  </w:t>
      </w:r>
      <w:r>
        <w:rPr>
          <w:rFonts w:ascii="Georgia" w:cs="Georgia" w:eastAsia="Georgia" w:hAnsi="Georgia"/>
          <w:color w:val="1A1A1A"/>
          <w:sz w:val="21"/>
          <w:szCs w:val="21"/>
        </w:rPr>
        <w:t xml:space="preserve">It is the implicit lens through which every law is meant to be read; without it, some laws (e.g. on courtiers, masters, and flattery) read as archaic rather than applicable.</w:t>
      </w:r>
    </w:p>
    <w:p>
      <w:pPr>
        <w:spacing w:after="100" w:line="270"/>
      </w:pPr>
      <w:r>
        <w:rPr>
          <w:rFonts w:ascii="Calibri" w:cs="Calibri" w:eastAsia="Calibri" w:hAnsi="Calibri"/>
          <w:b/>
          <w:bCs/>
          <w:color w:val="7A2E2E"/>
          <w:sz w:val="20"/>
          <w:szCs w:val="20"/>
        </w:rPr>
        <w:t xml:space="preserve">Practical implication  </w:t>
      </w:r>
      <w:r>
        <w:rPr>
          <w:rFonts w:ascii="Georgia" w:cs="Georgia" w:eastAsia="Georgia" w:hAnsi="Georgia"/>
          <w:color w:val="1A1A1A"/>
          <w:sz w:val="21"/>
          <w:szCs w:val="21"/>
        </w:rPr>
        <w:t xml:space="preserve">Encourages the reader to map their own workplace or social circle onto a court-like structure — identifying who functions as the “master,” who as rivals, who as potential allies.</w:t>
      </w:r>
    </w:p>
    <w:p>
      <w:pPr>
        <w:spacing w:after="100" w:line="270"/>
      </w:pPr>
      <w:r>
        <w:rPr>
          <w:rFonts w:ascii="Calibri" w:cs="Calibri" w:eastAsia="Calibri" w:hAnsi="Calibri"/>
          <w:b/>
          <w:bCs/>
          <w:color w:val="7A2E2E"/>
          <w:sz w:val="20"/>
          <w:szCs w:val="20"/>
        </w:rPr>
        <w:t xml:space="preserve">Important limitation  </w:t>
      </w:r>
      <w:r>
        <w:rPr>
          <w:rFonts w:ascii="Georgia" w:cs="Georgia" w:eastAsia="Georgia" w:hAnsi="Georgia"/>
          <w:color w:val="1A1A1A"/>
          <w:sz w:val="21"/>
          <w:szCs w:val="21"/>
        </w:rPr>
        <w:t xml:space="preserve">Modern flat organizations, distributed teams, and pseudonymous online environments often do not map cleanly onto the court model; applying it literally can produce paranoid or manipulative behavior in contexts where cooperation-based norms actually dominate.</w:t>
      </w:r>
    </w:p>
    <w:p>
      <w:pPr>
        <w:pStyle w:val="Heading2"/>
        <w:spacing w:after="120" w:before="300"/>
      </w:pPr>
      <w:r>
        <w:rPr>
          <w:rFonts w:ascii="Calibri" w:cs="Calibri" w:eastAsia="Calibri" w:hAnsi="Calibri"/>
          <w:b/>
          <w:bCs/>
          <w:color w:val="1A1A1A"/>
          <w:sz w:val="21"/>
          <w:szCs w:val="21"/>
        </w:rPr>
        <w:t xml:space="preserve">Perception Management</w:t>
      </w:r>
    </w:p>
    <w:p>
      <w:pPr>
        <w:spacing w:after="100" w:line="270"/>
      </w:pPr>
      <w:r>
        <w:rPr>
          <w:rFonts w:ascii="Calibri" w:cs="Calibri" w:eastAsia="Calibri" w:hAnsi="Calibri"/>
          <w:b/>
          <w:bCs/>
          <w:color w:val="7A2E2E"/>
          <w:sz w:val="20"/>
          <w:szCs w:val="20"/>
        </w:rPr>
        <w:t xml:space="preserve">What it means  </w:t>
      </w:r>
      <w:r>
        <w:rPr>
          <w:rFonts w:ascii="Georgia" w:cs="Georgia" w:eastAsia="Georgia" w:hAnsi="Georgia"/>
          <w:color w:val="1A1A1A"/>
          <w:sz w:val="21"/>
          <w:szCs w:val="21"/>
        </w:rPr>
        <w:t xml:space="preserve">Deliberate control of how one's actions, intentions, and character are read by others, treated as separable from one's actual intentions or competence.</w:t>
      </w:r>
    </w:p>
    <w:p>
      <w:pPr>
        <w:spacing w:after="100" w:line="270"/>
      </w:pPr>
      <w:r>
        <w:rPr>
          <w:rFonts w:ascii="Calibri" w:cs="Calibri" w:eastAsia="Calibri" w:hAnsi="Calibri"/>
          <w:b/>
          <w:bCs/>
          <w:color w:val="7A2E2E"/>
          <w:sz w:val="20"/>
          <w:szCs w:val="20"/>
        </w:rPr>
        <w:t xml:space="preserve">What the author claims  </w:t>
      </w:r>
      <w:r>
        <w:rPr>
          <w:rFonts w:ascii="Georgia" w:cs="Georgia" w:eastAsia="Georgia" w:hAnsi="Georgia"/>
          <w:color w:val="1A1A1A"/>
          <w:sz w:val="21"/>
          <w:szCs w:val="21"/>
        </w:rPr>
        <w:t xml:space="preserve">Multiple laws (e.g. “Craft an air of unpredictability,” “Create compelling spectacles,” “Preach the need for change, but never reform too much at once”) rest on the premise that managing the audience's interpretation is as important as the underlying action.</w:t>
      </w:r>
    </w:p>
    <w:p>
      <w:pPr>
        <w:spacing w:after="100" w:line="270"/>
      </w:pPr>
      <w:r>
        <w:rPr>
          <w:rFonts w:ascii="Calibri" w:cs="Calibri" w:eastAsia="Calibri" w:hAnsi="Calibri"/>
          <w:b/>
          <w:bCs/>
          <w:color w:val="7A2E2E"/>
          <w:sz w:val="20"/>
          <w:szCs w:val="20"/>
        </w:rPr>
        <w:t xml:space="preserve">Why it matters  </w:t>
      </w:r>
      <w:r>
        <w:rPr>
          <w:rFonts w:ascii="Georgia" w:cs="Georgia" w:eastAsia="Georgia" w:hAnsi="Georgia"/>
          <w:color w:val="1A1A1A"/>
          <w:sz w:val="21"/>
          <w:szCs w:val="21"/>
        </w:rPr>
        <w:t xml:space="preserve">It is arguably the single most repeated mechanism in the book, underlying more individual laws than any other concept.</w:t>
      </w:r>
    </w:p>
    <w:p>
      <w:pPr>
        <w:spacing w:after="100" w:line="270"/>
      </w:pPr>
      <w:r>
        <w:rPr>
          <w:rFonts w:ascii="Calibri" w:cs="Calibri" w:eastAsia="Calibri" w:hAnsi="Calibri"/>
          <w:b/>
          <w:bCs/>
          <w:color w:val="7A2E2E"/>
          <w:sz w:val="20"/>
          <w:szCs w:val="20"/>
        </w:rPr>
        <w:t xml:space="preserve">Practical implication  </w:t>
      </w:r>
      <w:r>
        <w:rPr>
          <w:rFonts w:ascii="Georgia" w:cs="Georgia" w:eastAsia="Georgia" w:hAnsi="Georgia"/>
          <w:color w:val="1A1A1A"/>
          <w:sz w:val="21"/>
          <w:szCs w:val="21"/>
        </w:rPr>
        <w:t xml:space="preserve">Shifts the reader's attention from “what should I do” to “how will this be seen, by whom, and what will they conclude.”</w:t>
      </w:r>
    </w:p>
    <w:p>
      <w:pPr>
        <w:spacing w:after="100" w:line="270"/>
      </w:pPr>
      <w:r>
        <w:rPr>
          <w:rFonts w:ascii="Calibri" w:cs="Calibri" w:eastAsia="Calibri" w:hAnsi="Calibri"/>
          <w:b/>
          <w:bCs/>
          <w:color w:val="7A2E2E"/>
          <w:sz w:val="20"/>
          <w:szCs w:val="20"/>
        </w:rPr>
        <w:t xml:space="preserve">Important limitation  </w:t>
      </w:r>
      <w:r>
        <w:rPr>
          <w:rFonts w:ascii="Georgia" w:cs="Georgia" w:eastAsia="Georgia" w:hAnsi="Georgia"/>
          <w:color w:val="1A1A1A"/>
          <w:sz w:val="21"/>
          <w:szCs w:val="21"/>
        </w:rPr>
        <w:t xml:space="preserve">Taken to an extreme, this collapses the distinction between genuine competence and mere impression management, and can corrode trust-based relationships that depend on consistent, transparent behavior over time.</w:t>
      </w:r>
    </w:p>
    <w:p>
      <w:pPr>
        <w:pStyle w:val="Heading2"/>
        <w:spacing w:after="120" w:before="300"/>
      </w:pPr>
      <w:r>
        <w:rPr>
          <w:rFonts w:ascii="Calibri" w:cs="Calibri" w:eastAsia="Calibri" w:hAnsi="Calibri"/>
          <w:b/>
          <w:bCs/>
          <w:color w:val="1A1A1A"/>
          <w:sz w:val="21"/>
          <w:szCs w:val="21"/>
        </w:rPr>
        <w:t xml:space="preserve">Emotional Self-Control / Detachment</w:t>
      </w:r>
    </w:p>
    <w:p>
      <w:pPr>
        <w:spacing w:after="100" w:line="270"/>
      </w:pPr>
      <w:r>
        <w:rPr>
          <w:rFonts w:ascii="Calibri" w:cs="Calibri" w:eastAsia="Calibri" w:hAnsi="Calibri"/>
          <w:b/>
          <w:bCs/>
          <w:color w:val="7A2E2E"/>
          <w:sz w:val="20"/>
          <w:szCs w:val="20"/>
        </w:rPr>
        <w:t xml:space="preserve">What it means  </w:t>
      </w:r>
      <w:r>
        <w:rPr>
          <w:rFonts w:ascii="Georgia" w:cs="Georgia" w:eastAsia="Georgia" w:hAnsi="Georgia"/>
          <w:color w:val="1A1A1A"/>
          <w:sz w:val="21"/>
          <w:szCs w:val="21"/>
        </w:rPr>
        <w:t xml:space="preserve">The disciplined suppression or management of visible emotional reaction, particularly anger, insecurity, and excessive gratitude or affection, in strategic situations.</w:t>
      </w:r>
    </w:p>
    <w:p>
      <w:pPr>
        <w:spacing w:after="100" w:line="270"/>
      </w:pPr>
      <w:r>
        <w:rPr>
          <w:rFonts w:ascii="Calibri" w:cs="Calibri" w:eastAsia="Calibri" w:hAnsi="Calibri"/>
          <w:b/>
          <w:bCs/>
          <w:color w:val="7A2E2E"/>
          <w:sz w:val="20"/>
          <w:szCs w:val="20"/>
        </w:rPr>
        <w:t xml:space="preserve">What the author claims  </w:t>
      </w:r>
      <w:r>
        <w:rPr>
          <w:rFonts w:ascii="Georgia" w:cs="Georgia" w:eastAsia="Georgia" w:hAnsi="Georgia"/>
          <w:color w:val="1A1A1A"/>
          <w:sz w:val="21"/>
          <w:szCs w:val="21"/>
        </w:rPr>
        <w:t xml:space="preserve">Emotional reactions are exploitable; the person who remains calm retains leverage over the person who does not.</w:t>
      </w:r>
    </w:p>
    <w:p>
      <w:pPr>
        <w:spacing w:after="100" w:line="270"/>
      </w:pPr>
      <w:r>
        <w:rPr>
          <w:rFonts w:ascii="Calibri" w:cs="Calibri" w:eastAsia="Calibri" w:hAnsi="Calibri"/>
          <w:b/>
          <w:bCs/>
          <w:color w:val="7A2E2E"/>
          <w:sz w:val="20"/>
          <w:szCs w:val="20"/>
        </w:rPr>
        <w:t xml:space="preserve">Why it matters  </w:t>
      </w:r>
      <w:r>
        <w:rPr>
          <w:rFonts w:ascii="Georgia" w:cs="Georgia" w:eastAsia="Georgia" w:hAnsi="Georgia"/>
          <w:color w:val="1A1A1A"/>
          <w:sz w:val="21"/>
          <w:szCs w:val="21"/>
        </w:rPr>
        <w:t xml:space="preserve">Functions as a precondition for successfully applying almost every other law — several laws explicitly fail if the practitioner is emotionally reactive.</w:t>
      </w:r>
    </w:p>
    <w:p>
      <w:pPr>
        <w:spacing w:after="100" w:line="270"/>
      </w:pPr>
      <w:r>
        <w:rPr>
          <w:rFonts w:ascii="Calibri" w:cs="Calibri" w:eastAsia="Calibri" w:hAnsi="Calibri"/>
          <w:b/>
          <w:bCs/>
          <w:color w:val="7A2E2E"/>
          <w:sz w:val="20"/>
          <w:szCs w:val="20"/>
        </w:rPr>
        <w:t xml:space="preserve">Practical implication  </w:t>
      </w:r>
      <w:r>
        <w:rPr>
          <w:rFonts w:ascii="Georgia" w:cs="Georgia" w:eastAsia="Georgia" w:hAnsi="Georgia"/>
          <w:color w:val="1A1A1A"/>
          <w:sz w:val="21"/>
          <w:szCs w:val="21"/>
        </w:rPr>
        <w:t xml:space="preserve">Encourages deliberate pause and self-monitoring before reacting in conflict or negotiation.</w:t>
      </w:r>
    </w:p>
    <w:p>
      <w:pPr>
        <w:spacing w:after="100" w:line="270"/>
      </w:pPr>
      <w:r>
        <w:rPr>
          <w:rFonts w:ascii="Calibri" w:cs="Calibri" w:eastAsia="Calibri" w:hAnsi="Calibri"/>
          <w:b/>
          <w:bCs/>
          <w:color w:val="7A2E2E"/>
          <w:sz w:val="20"/>
          <w:szCs w:val="20"/>
        </w:rPr>
        <w:t xml:space="preserve">Important limitation  </w:t>
      </w:r>
      <w:r>
        <w:rPr>
          <w:rFonts w:ascii="Georgia" w:cs="Georgia" w:eastAsia="Georgia" w:hAnsi="Georgia"/>
          <w:color w:val="1A1A1A"/>
          <w:sz w:val="21"/>
          <w:szCs w:val="21"/>
        </w:rPr>
        <w:t xml:space="preserve">Chronic suppression of emotional expression is associated in psychological research with costs to wellbeing and relationship quality; the book does not address this trade-off, treating detachment as costless.</w:t>
      </w:r>
    </w:p>
    <w:p>
      <w:pPr>
        <w:pStyle w:val="Heading2"/>
        <w:spacing w:after="120" w:before="300"/>
      </w:pPr>
      <w:r>
        <w:rPr>
          <w:rFonts w:ascii="Calibri" w:cs="Calibri" w:eastAsia="Calibri" w:hAnsi="Calibri"/>
          <w:b/>
          <w:bCs/>
          <w:color w:val="1A1A1A"/>
          <w:sz w:val="21"/>
          <w:szCs w:val="21"/>
        </w:rPr>
        <w:t xml:space="preserve">Indirection over Confrontation</w:t>
      </w:r>
    </w:p>
    <w:p>
      <w:pPr>
        <w:spacing w:after="100" w:line="270"/>
      </w:pPr>
      <w:r>
        <w:rPr>
          <w:rFonts w:ascii="Calibri" w:cs="Calibri" w:eastAsia="Calibri" w:hAnsi="Calibri"/>
          <w:b/>
          <w:bCs/>
          <w:color w:val="7A2E2E"/>
          <w:sz w:val="20"/>
          <w:szCs w:val="20"/>
        </w:rPr>
        <w:t xml:space="preserve">What it means  </w:t>
      </w:r>
      <w:r>
        <w:rPr>
          <w:rFonts w:ascii="Georgia" w:cs="Georgia" w:eastAsia="Georgia" w:hAnsi="Georgia"/>
          <w:color w:val="1A1A1A"/>
          <w:sz w:val="21"/>
          <w:szCs w:val="21"/>
        </w:rPr>
        <w:t xml:space="preserve">Achieving an objective through patience, misdirection, or apparent deference rather than open, direct assertion of intent.</w:t>
      </w:r>
    </w:p>
    <w:p>
      <w:pPr>
        <w:spacing w:after="100" w:line="270"/>
      </w:pPr>
      <w:r>
        <w:rPr>
          <w:rFonts w:ascii="Calibri" w:cs="Calibri" w:eastAsia="Calibri" w:hAnsi="Calibri"/>
          <w:b/>
          <w:bCs/>
          <w:color w:val="7A2E2E"/>
          <w:sz w:val="20"/>
          <w:szCs w:val="20"/>
        </w:rPr>
        <w:t xml:space="preserve">What the author claims  </w:t>
      </w:r>
      <w:r>
        <w:rPr>
          <w:rFonts w:ascii="Georgia" w:cs="Georgia" w:eastAsia="Georgia" w:hAnsi="Georgia"/>
          <w:color w:val="1A1A1A"/>
          <w:sz w:val="21"/>
          <w:szCs w:val="21"/>
        </w:rPr>
        <w:t xml:space="preserve">Direct confrontation invites resistance and reveals intentions prematurely; indirect approaches (e.g. Law 3, “Conceal your intentions,” or Law 12, “Use selective honesty and generosity to disarm your victim”) more reliably achieve the same end with less resistance.</w:t>
      </w:r>
    </w:p>
    <w:p>
      <w:pPr>
        <w:spacing w:after="100" w:line="270"/>
      </w:pPr>
      <w:r>
        <w:rPr>
          <w:rFonts w:ascii="Calibri" w:cs="Calibri" w:eastAsia="Calibri" w:hAnsi="Calibri"/>
          <w:b/>
          <w:bCs/>
          <w:color w:val="7A2E2E"/>
          <w:sz w:val="20"/>
          <w:szCs w:val="20"/>
        </w:rPr>
        <w:t xml:space="preserve">Why it matters  </w:t>
      </w:r>
      <w:r>
        <w:rPr>
          <w:rFonts w:ascii="Georgia" w:cs="Georgia" w:eastAsia="Georgia" w:hAnsi="Georgia"/>
          <w:color w:val="1A1A1A"/>
          <w:sz w:val="21"/>
          <w:szCs w:val="21"/>
        </w:rPr>
        <w:t xml:space="preserve">Distinguishes the book's overall tactical style from more confrontational strategy literature.</w:t>
      </w:r>
    </w:p>
    <w:p>
      <w:pPr>
        <w:spacing w:after="100" w:line="270"/>
      </w:pPr>
      <w:r>
        <w:rPr>
          <w:rFonts w:ascii="Calibri" w:cs="Calibri" w:eastAsia="Calibri" w:hAnsi="Calibri"/>
          <w:b/>
          <w:bCs/>
          <w:color w:val="7A2E2E"/>
          <w:sz w:val="20"/>
          <w:szCs w:val="20"/>
        </w:rPr>
        <w:t xml:space="preserve">Practical implication  </w:t>
      </w:r>
      <w:r>
        <w:rPr>
          <w:rFonts w:ascii="Georgia" w:cs="Georgia" w:eastAsia="Georgia" w:hAnsi="Georgia"/>
          <w:color w:val="1A1A1A"/>
          <w:sz w:val="21"/>
          <w:szCs w:val="21"/>
        </w:rPr>
        <w:t xml:space="preserve">Encourages reading situations for the lowest-resistance path to a goal rather than defaulting to direct requests or demands.</w:t>
      </w:r>
    </w:p>
    <w:p>
      <w:pPr>
        <w:spacing w:after="100" w:line="270"/>
      </w:pPr>
      <w:r>
        <w:rPr>
          <w:rFonts w:ascii="Calibri" w:cs="Calibri" w:eastAsia="Calibri" w:hAnsi="Calibri"/>
          <w:b/>
          <w:bCs/>
          <w:color w:val="7A2E2E"/>
          <w:sz w:val="20"/>
          <w:szCs w:val="20"/>
        </w:rPr>
        <w:t xml:space="preserve">Important limitation  </w:t>
      </w:r>
      <w:r>
        <w:rPr>
          <w:rFonts w:ascii="Georgia" w:cs="Georgia" w:eastAsia="Georgia" w:hAnsi="Georgia"/>
          <w:color w:val="1A1A1A"/>
          <w:sz w:val="21"/>
          <w:szCs w:val="21"/>
        </w:rPr>
        <w:t xml:space="preserve">Systematic indirection, if discovered, can itself become a reputational liability (“manipulative,” “not straightforward”) — a cost the book acknowledges only inconsistently across different laws.</w:t>
      </w:r>
    </w:p>
    <w:p>
      <w:pPr>
        <w:pStyle w:val="Heading2"/>
        <w:spacing w:after="120" w:before="300"/>
      </w:pPr>
      <w:r>
        <w:rPr>
          <w:rFonts w:ascii="Calibri" w:cs="Calibri" w:eastAsia="Calibri" w:hAnsi="Calibri"/>
          <w:b/>
          <w:bCs/>
          <w:color w:val="1A1A1A"/>
          <w:sz w:val="21"/>
          <w:szCs w:val="21"/>
        </w:rPr>
        <w:t xml:space="preserve">Reputation as Strategic Asset</w:t>
      </w:r>
    </w:p>
    <w:p>
      <w:pPr>
        <w:spacing w:after="100" w:line="270"/>
      </w:pPr>
      <w:r>
        <w:rPr>
          <w:rFonts w:ascii="Calibri" w:cs="Calibri" w:eastAsia="Calibri" w:hAnsi="Calibri"/>
          <w:b/>
          <w:bCs/>
          <w:color w:val="7A2E2E"/>
          <w:sz w:val="20"/>
          <w:szCs w:val="20"/>
        </w:rPr>
        <w:t xml:space="preserve">What it means  </w:t>
      </w:r>
      <w:r>
        <w:rPr>
          <w:rFonts w:ascii="Georgia" w:cs="Georgia" w:eastAsia="Georgia" w:hAnsi="Georgia"/>
          <w:color w:val="1A1A1A"/>
          <w:sz w:val="21"/>
          <w:szCs w:val="21"/>
        </w:rPr>
        <w:t xml:space="preserve">One's standing among peers, rivals, and superiors, treated as an actively managed resource rather than a passive by-product of behavior.</w:t>
      </w:r>
    </w:p>
    <w:p>
      <w:pPr>
        <w:spacing w:after="100" w:line="270"/>
      </w:pPr>
      <w:r>
        <w:rPr>
          <w:rFonts w:ascii="Calibri" w:cs="Calibri" w:eastAsia="Calibri" w:hAnsi="Calibri"/>
          <w:b/>
          <w:bCs/>
          <w:color w:val="7A2E2E"/>
          <w:sz w:val="20"/>
          <w:szCs w:val="20"/>
        </w:rPr>
        <w:t xml:space="preserve">What the author claims  </w:t>
      </w:r>
      <w:r>
        <w:rPr>
          <w:rFonts w:ascii="Georgia" w:cs="Georgia" w:eastAsia="Georgia" w:hAnsi="Georgia"/>
          <w:color w:val="1A1A1A"/>
          <w:sz w:val="21"/>
          <w:szCs w:val="21"/>
        </w:rPr>
        <w:t xml:space="preserve">Laws such as “So much depends on reputation — guard it with your life” treat reputation as a form of power in itself, sometimes more decisive than the underlying facts it is based on.</w:t>
      </w:r>
    </w:p>
    <w:p>
      <w:pPr>
        <w:spacing w:after="100" w:line="270"/>
      </w:pPr>
      <w:r>
        <w:rPr>
          <w:rFonts w:ascii="Calibri" w:cs="Calibri" w:eastAsia="Calibri" w:hAnsi="Calibri"/>
          <w:b/>
          <w:bCs/>
          <w:color w:val="7A2E2E"/>
          <w:sz w:val="20"/>
          <w:szCs w:val="20"/>
        </w:rPr>
        <w:t xml:space="preserve">Why it matters  </w:t>
      </w:r>
      <w:r>
        <w:rPr>
          <w:rFonts w:ascii="Georgia" w:cs="Georgia" w:eastAsia="Georgia" w:hAnsi="Georgia"/>
          <w:color w:val="1A1A1A"/>
          <w:sz w:val="21"/>
          <w:szCs w:val="21"/>
        </w:rPr>
        <w:t xml:space="preserve">Connects the book's individual tactics to a longer-term, portfolio-style view of social capital rather than isolated encounters.</w:t>
      </w:r>
    </w:p>
    <w:p>
      <w:pPr>
        <w:spacing w:after="100" w:line="270"/>
      </w:pPr>
      <w:r>
        <w:rPr>
          <w:rFonts w:ascii="Calibri" w:cs="Calibri" w:eastAsia="Calibri" w:hAnsi="Calibri"/>
          <w:b/>
          <w:bCs/>
          <w:color w:val="7A2E2E"/>
          <w:sz w:val="20"/>
          <w:szCs w:val="20"/>
        </w:rPr>
        <w:t xml:space="preserve">Practical implication  </w:t>
      </w:r>
      <w:r>
        <w:rPr>
          <w:rFonts w:ascii="Georgia" w:cs="Georgia" w:eastAsia="Georgia" w:hAnsi="Georgia"/>
          <w:color w:val="1A1A1A"/>
          <w:sz w:val="21"/>
          <w:szCs w:val="21"/>
        </w:rPr>
        <w:t xml:space="preserve">Encourages the reader to think several moves ahead about how a present action will be remembered and retold, not just its immediate effect.</w:t>
      </w:r>
    </w:p>
    <w:p>
      <w:pPr>
        <w:spacing w:after="100" w:line="270"/>
      </w:pPr>
      <w:r>
        <w:rPr>
          <w:rFonts w:ascii="Calibri" w:cs="Calibri" w:eastAsia="Calibri" w:hAnsi="Calibri"/>
          <w:b/>
          <w:bCs/>
          <w:color w:val="7A2E2E"/>
          <w:sz w:val="20"/>
          <w:szCs w:val="20"/>
        </w:rPr>
        <w:t xml:space="preserve">Important limitation  </w:t>
      </w:r>
      <w:r>
        <w:rPr>
          <w:rFonts w:ascii="Georgia" w:cs="Georgia" w:eastAsia="Georgia" w:hAnsi="Georgia"/>
          <w:color w:val="1A1A1A"/>
          <w:sz w:val="21"/>
          <w:szCs w:val="21"/>
        </w:rPr>
        <w:t xml:space="preserve">An excessive focus on reputation management, divorced from underlying substance, is a recognized failure mode (image without competence) that the book does not clearly warn against.</w:t>
      </w:r>
    </w:p>
    <w:p>
      <w:pPr>
        <w:pStyle w:val="Heading2"/>
        <w:spacing w:after="120" w:before="300"/>
      </w:pPr>
      <w:r>
        <w:rPr>
          <w:rFonts w:ascii="Calibri" w:cs="Calibri" w:eastAsia="Calibri" w:hAnsi="Calibri"/>
          <w:b/>
          <w:bCs/>
          <w:color w:val="1A1A1A"/>
          <w:sz w:val="21"/>
          <w:szCs w:val="21"/>
        </w:rPr>
        <w:t xml:space="preserve">Amoral Pragmatism (the book's stated ethical stance)</w:t>
      </w:r>
    </w:p>
    <w:p>
      <w:pPr>
        <w:spacing w:after="100" w:line="270"/>
      </w:pPr>
      <w:r>
        <w:rPr>
          <w:rFonts w:ascii="Calibri" w:cs="Calibri" w:eastAsia="Calibri" w:hAnsi="Calibri"/>
          <w:b/>
          <w:bCs/>
          <w:color w:val="7A2E2E"/>
          <w:sz w:val="20"/>
          <w:szCs w:val="20"/>
        </w:rPr>
        <w:t xml:space="preserve">What it means  </w:t>
      </w:r>
      <w:r>
        <w:rPr>
          <w:rFonts w:ascii="Georgia" w:cs="Georgia" w:eastAsia="Georgia" w:hAnsi="Georgia"/>
          <w:color w:val="1A1A1A"/>
          <w:sz w:val="21"/>
          <w:szCs w:val="21"/>
        </w:rPr>
        <w:t xml:space="preserve">Greene's explicit framing that the laws are presented descriptively — as tools that work — without endorsing or condemning their use.</w:t>
      </w:r>
    </w:p>
    <w:p>
      <w:pPr>
        <w:spacing w:after="100" w:line="270"/>
      </w:pPr>
      <w:r>
        <w:rPr>
          <w:rFonts w:ascii="Calibri" w:cs="Calibri" w:eastAsia="Calibri" w:hAnsi="Calibri"/>
          <w:b/>
          <w:bCs/>
          <w:color w:val="7A2E2E"/>
          <w:sz w:val="20"/>
          <w:szCs w:val="20"/>
        </w:rPr>
        <w:t xml:space="preserve">What the author claims  </w:t>
      </w:r>
      <w:r>
        <w:rPr>
          <w:rFonts w:ascii="Georgia" w:cs="Georgia" w:eastAsia="Georgia" w:hAnsi="Georgia"/>
          <w:color w:val="1A1A1A"/>
          <w:sz w:val="21"/>
          <w:szCs w:val="21"/>
        </w:rPr>
        <w:t xml:space="preserve">Understanding the laws is valuable both offensively and defensively; readers can choose which to apply and which to merely recognize when used against them.</w:t>
      </w:r>
    </w:p>
    <w:p>
      <w:pPr>
        <w:spacing w:after="100" w:line="270"/>
      </w:pPr>
      <w:r>
        <w:rPr>
          <w:rFonts w:ascii="Calibri" w:cs="Calibri" w:eastAsia="Calibri" w:hAnsi="Calibri"/>
          <w:b/>
          <w:bCs/>
          <w:color w:val="7A2E2E"/>
          <w:sz w:val="20"/>
          <w:szCs w:val="20"/>
        </w:rPr>
        <w:t xml:space="preserve">Why it matters  </w:t>
      </w:r>
      <w:r>
        <w:rPr>
          <w:rFonts w:ascii="Georgia" w:cs="Georgia" w:eastAsia="Georgia" w:hAnsi="Georgia"/>
          <w:color w:val="1A1A1A"/>
          <w:sz w:val="21"/>
          <w:szCs w:val="21"/>
        </w:rPr>
        <w:t xml:space="preserve">This stance is the book's primary defense against the charge of promoting manipulation, and shapes how every individual law is written (tactically, not morally).</w:t>
      </w:r>
    </w:p>
    <w:p>
      <w:pPr>
        <w:spacing w:after="100" w:line="270"/>
      </w:pPr>
      <w:r>
        <w:rPr>
          <w:rFonts w:ascii="Calibri" w:cs="Calibri" w:eastAsia="Calibri" w:hAnsi="Calibri"/>
          <w:b/>
          <w:bCs/>
          <w:color w:val="7A2E2E"/>
          <w:sz w:val="20"/>
          <w:szCs w:val="20"/>
        </w:rPr>
        <w:t xml:space="preserve">Practical implication  </w:t>
      </w:r>
      <w:r>
        <w:rPr>
          <w:rFonts w:ascii="Georgia" w:cs="Georgia" w:eastAsia="Georgia" w:hAnsi="Georgia"/>
          <w:color w:val="1A1A1A"/>
          <w:sz w:val="21"/>
          <w:szCs w:val="21"/>
        </w:rPr>
        <w:t xml:space="preserve">Reframes the book as a descriptive field guide to tactics the reader will encounter regardless of whether they choose to use them.</w:t>
      </w:r>
    </w:p>
    <w:p>
      <w:pPr>
        <w:spacing w:after="100" w:line="270"/>
      </w:pPr>
      <w:r>
        <w:rPr>
          <w:rFonts w:ascii="Calibri" w:cs="Calibri" w:eastAsia="Calibri" w:hAnsi="Calibri"/>
          <w:b/>
          <w:bCs/>
          <w:color w:val="7A2E2E"/>
          <w:sz w:val="20"/>
          <w:szCs w:val="20"/>
        </w:rPr>
        <w:t xml:space="preserve">Important limitation  </w:t>
      </w:r>
      <w:r>
        <w:rPr>
          <w:rFonts w:ascii="Georgia" w:cs="Georgia" w:eastAsia="Georgia" w:hAnsi="Georgia"/>
          <w:color w:val="1A1A1A"/>
          <w:sz w:val="21"/>
          <w:szCs w:val="21"/>
        </w:rPr>
        <w:t xml:space="preserve">The “descriptive, not prescriptive” framing is contested by critics, who argue that presenting tactics like betrayal or manufactured dependency (e.g. Law 15, “Crush your enemy totally”) in confident, actionable, second-person instructional language functions prescriptively regardless of the stated disclaimer.</w:t>
      </w:r>
    </w:p>
    <w:p>
      <w:pPr>
        <w:pStyle w:val="Heading1"/>
        <w:pBdr>
          <w:bottom w:val="single" w:color="B5B0A8" w:sz="6" w:space="6"/>
        </w:pBdr>
        <w:spacing w:after="200" w:before="480"/>
      </w:pPr>
      <w:r>
        <w:rPr>
          <w:rFonts w:ascii="Calibri" w:cs="Calibri" w:eastAsia="Calibri" w:hAnsi="Calibri"/>
          <w:b/>
          <w:bCs/>
          <w:color w:val="7A2E2E"/>
          <w:sz w:val="24"/>
          <w:szCs w:val="24"/>
        </w:rPr>
        <w:t xml:space="preserve">6  </w:t>
      </w:r>
      <w:r>
        <w:rPr>
          <w:rFonts w:ascii="Calibri" w:cs="Calibri" w:eastAsia="Calibri" w:hAnsi="Calibri"/>
          <w:b/>
          <w:bCs/>
          <w:color w:val="1A1A1A"/>
          <w:sz w:val="24"/>
          <w:szCs w:val="24"/>
        </w:rPr>
        <w:t xml:space="preserve">The Book's Main Arguments</w:t>
      </w:r>
    </w:p>
    <w:p>
      <w:pPr>
        <w:spacing w:after="80" w:before="220"/>
      </w:pPr>
      <w:r>
        <w:rPr>
          <w:rFonts w:ascii="Calibri" w:cs="Calibri" w:eastAsia="Calibri" w:hAnsi="Calibri"/>
          <w:b/>
          <w:bCs/>
          <w:color w:val="7A2E2E"/>
          <w:sz w:val="20"/>
          <w:szCs w:val="20"/>
        </w:rPr>
        <w:t xml:space="preserve">Argument 1 — History demonstrates recurring, learnable patterns of power</w:t>
      </w:r>
    </w:p>
    <w:p>
      <w:pPr>
        <w:spacing w:after="140" w:line="276"/>
      </w:pPr>
      <w:r>
        <w:rPr>
          <w:rFonts w:ascii="Georgia" w:cs="Georgia" w:eastAsia="Georgia" w:hAnsi="Georgia"/>
          <w:color w:val="1A1A1A"/>
          <w:sz w:val="21"/>
          <w:szCs w:val="21"/>
        </w:rPr>
        <w:t xml:space="preserve">Claim: The dynamics governing who gains and loses power are stable across eras and can be extracted as general laws. Reasoning: Greene assembles historical episodes from radically different periods and cultures (Renaissance Italy, Ming-dynasty China, Napoleonic France, 20th-century business) that appear to exhibit the same underlying dynamic — e.g. a subordinate who outshines a superior being punished regardless of era. Conclusion: therefore these patterns constitute genuine, transferable “laws” rather than coincidental historical anecdotes.</w:t>
      </w:r>
    </w:p>
    <w:p>
      <w:pPr>
        <w:spacing w:after="140" w:line="276"/>
      </w:pPr>
      <w:r>
        <w:rPr>
          <w:rFonts w:ascii="Georgia" w:cs="Georgia" w:eastAsia="Georgia" w:hAnsi="Georgia"/>
          <w:color w:val="1A1A1A"/>
          <w:sz w:val="21"/>
          <w:szCs w:val="21"/>
        </w:rPr>
        <w:t xml:space="preserve">Weakness: the case selection is illustrative, not systematic — Greene selects historical episodes that fit each law rather than testing the laws against a representative sample of history, including cases where the opposite behavior succeeded. This is a significant methodological limitation for a book that presents its claims with the confidence of established law.</w:t>
      </w:r>
    </w:p>
    <w:p>
      <w:pPr>
        <w:spacing w:after="80" w:before="220"/>
      </w:pPr>
      <w:r>
        <w:rPr>
          <w:rFonts w:ascii="Calibri" w:cs="Calibri" w:eastAsia="Calibri" w:hAnsi="Calibri"/>
          <w:b/>
          <w:bCs/>
          <w:color w:val="7A2E2E"/>
          <w:sz w:val="20"/>
          <w:szCs w:val="20"/>
        </w:rPr>
        <w:t xml:space="preserve">Argument 2 — Sincerity and transparency are strategically costly</w:t>
      </w:r>
    </w:p>
    <w:p>
      <w:pPr>
        <w:spacing w:after="140" w:line="276"/>
      </w:pPr>
      <w:r>
        <w:rPr>
          <w:rFonts w:ascii="Georgia" w:cs="Georgia" w:eastAsia="Georgia" w:hAnsi="Georgia"/>
          <w:color w:val="1A1A1A"/>
          <w:sz w:val="21"/>
          <w:szCs w:val="21"/>
        </w:rPr>
        <w:t xml:space="preserve">Claim: Openly revealing one's intentions, emotions, or ambitions creates exploitable vulnerability. Reasoning: across multiple laws and historical examples, figures who conceal intentions, control information, or manage impressions retain leverage, while those who are transparent are repeatedly outmaneuvered by more guarded rivals. Conclusion: therefore strategic concealment is generally superior to transparency in competitive social environments.</w:t>
      </w:r>
    </w:p>
    <w:p>
      <w:pPr>
        <w:spacing w:after="140" w:line="276"/>
      </w:pPr>
      <w:r>
        <w:rPr>
          <w:rFonts w:ascii="Georgia" w:cs="Georgia" w:eastAsia="Georgia" w:hAnsi="Georgia"/>
          <w:color w:val="1A1A1A"/>
          <w:sz w:val="21"/>
          <w:szCs w:val="21"/>
        </w:rPr>
        <w:t xml:space="preserve">Weakness: this argument generalizes from historical court and political settings — environments defined by unusually high stakes, zero-sum competition, and thin trust — to social life broadly; it understates that many modern relationships and institutions (long-term teams, close friendships, functioning democracies) function on reciprocal trust-building that concealment actively undermines.</w:t>
      </w:r>
    </w:p>
    <w:p>
      <w:pPr>
        <w:spacing w:after="80" w:before="220"/>
      </w:pPr>
      <w:r>
        <w:rPr>
          <w:rFonts w:ascii="Calibri" w:cs="Calibri" w:eastAsia="Calibri" w:hAnsi="Calibri"/>
          <w:b/>
          <w:bCs/>
          <w:color w:val="7A2E2E"/>
          <w:sz w:val="20"/>
          <w:szCs w:val="20"/>
        </w:rPr>
        <w:t xml:space="preserve">Argument 3 — Emotional detachment produces strategic advantage</w:t>
      </w:r>
    </w:p>
    <w:p>
      <w:pPr>
        <w:spacing w:after="140" w:line="276"/>
      </w:pPr>
      <w:r>
        <w:rPr>
          <w:rFonts w:ascii="Georgia" w:cs="Georgia" w:eastAsia="Georgia" w:hAnsi="Georgia"/>
          <w:color w:val="1A1A1A"/>
          <w:sz w:val="21"/>
          <w:szCs w:val="21"/>
        </w:rPr>
        <w:t xml:space="preserve">Claim: The less reactive party in a conflict retains more control over its outcome. Reasoning: Greene repeatedly shows historical figures losing position after acting from anger, insecurity, or excessive loyalty, while more detached rivals capitalized on that reactivity. Conclusion: therefore cultivating calculated emotional distance is a core power skill.</w:t>
      </w:r>
    </w:p>
    <w:p>
      <w:pPr>
        <w:spacing w:after="140" w:line="276"/>
      </w:pPr>
      <w:r>
        <w:rPr>
          <w:rFonts w:ascii="Georgia" w:cs="Georgia" w:eastAsia="Georgia" w:hAnsi="Georgia"/>
          <w:color w:val="1A1A1A"/>
          <w:sz w:val="21"/>
          <w:szCs w:val="21"/>
        </w:rPr>
        <w:t xml:space="preserve">Weakness: the argument treats detachment as strategically costless, without engaging the well-documented psychological and relational costs of chronic emotional suppression, nor situations where visible emotional investment (trust, warmth, loyalty) is itself the basis of durable alliances the book elsewhere recommends building.</w:t>
      </w:r>
    </w:p>
    <w:p>
      <w:pPr>
        <w:pStyle w:val="Heading1"/>
        <w:pBdr>
          <w:bottom w:val="single" w:color="B5B0A8" w:sz="6" w:space="6"/>
        </w:pBdr>
        <w:spacing w:after="200" w:before="480"/>
      </w:pPr>
      <w:r>
        <w:rPr>
          <w:rFonts w:ascii="Calibri" w:cs="Calibri" w:eastAsia="Calibri" w:hAnsi="Calibri"/>
          <w:b/>
          <w:bCs/>
          <w:color w:val="7A2E2E"/>
          <w:sz w:val="24"/>
          <w:szCs w:val="24"/>
        </w:rPr>
        <w:t xml:space="preserve">7  </w:t>
      </w:r>
      <w:r>
        <w:rPr>
          <w:rFonts w:ascii="Calibri" w:cs="Calibri" w:eastAsia="Calibri" w:hAnsi="Calibri"/>
          <w:b/>
          <w:bCs/>
          <w:color w:val="1A1A1A"/>
          <w:sz w:val="24"/>
          <w:szCs w:val="24"/>
        </w:rPr>
        <w:t xml:space="preserve">Practical Framework</w:t>
      </w:r>
    </w:p>
    <w:p>
      <w:pPr>
        <w:spacing w:after="140" w:line="276"/>
      </w:pPr>
      <w:r>
        <w:rPr>
          <w:rFonts w:ascii="Georgia" w:cs="Georgia" w:eastAsia="Georgia" w:hAnsi="Georgia"/>
          <w:color w:val="1A1A1A"/>
          <w:sz w:val="21"/>
          <w:szCs w:val="21"/>
        </w:rPr>
        <w:t xml:space="preserve">The book does not offer a single unified method; it offers 48 discrete tactics. The table below extracts the framework underlying the most load-bearing and frequently cited laws, organized by mechanism rather than by their original numbering.</w:t>
      </w:r>
    </w:p>
    <w:tbl>
      <w:tblPr>
        <w:tblW w:type="dxa" w:w="9360"/>
        <w:tblBorders>
          <w:top w:val="single" w:color="B5B0A8" w:sz="4"/>
          <w:left w:val="single" w:color="B5B0A8" w:sz="4"/>
          <w:bottom w:val="single" w:color="B5B0A8" w:sz="4"/>
          <w:right w:val="single" w:color="B5B0A8" w:sz="4"/>
          <w:insideH w:val="single" w:color="B5B0A8" w:sz="2"/>
          <w:insideV w:val="single" w:color="B5B0A8" w:sz="2"/>
        </w:tblBorders>
      </w:tblPr>
      <w:tblGrid>
        <w:gridCol w:w="2200"/>
        <w:gridCol w:w="2500"/>
        <w:gridCol w:w="2400"/>
        <w:gridCol w:w="2260"/>
      </w:tblGrid>
      <w:tr>
        <w:trPr>
          <w:tblHeader/>
        </w:trPr>
        <w:tc>
          <w:tcPr>
            <w:tcW w:type="dxa" w:w="22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Principle</w:t>
            </w:r>
          </w:p>
        </w:tc>
        <w:tc>
          <w:tcPr>
            <w:tcW w:type="dxa" w:w="25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Method</w:t>
            </w:r>
          </w:p>
        </w:tc>
        <w:tc>
          <w:tcPr>
            <w:tcW w:type="dxa" w:w="24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Application</w:t>
            </w:r>
          </w:p>
        </w:tc>
        <w:tc>
          <w:tcPr>
            <w:tcW w:type="dxa" w:w="226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Expected effect</w:t>
            </w:r>
          </w:p>
        </w:tc>
      </w:tr>
      <w:tr>
        <w:tc>
          <w:tcPr>
            <w:tcW w:type="dxa" w:w="2200"/>
            <w:shd w:fill="FFFFFF" w:val="clear"/>
            <w:tcMar>
              <w:top w:type="dxa" w:w="90"/>
              <w:left w:type="dxa" w:w="120"/>
              <w:bottom w:type="dxa" w:w="90"/>
              <w:right w:type="dxa" w:w="120"/>
            </w:tcMar>
          </w:tcPr>
          <w:p>
            <w:r>
              <w:rPr>
                <w:rFonts w:ascii="Georgia" w:cs="Georgia" w:eastAsia="Georgia" w:hAnsi="Georgia"/>
                <w:color w:val="1A1A1A"/>
                <w:sz w:val="19"/>
                <w:szCs w:val="19"/>
              </w:rPr>
              <w:t xml:space="preserve">Conceal intentions</w:t>
            </w:r>
          </w:p>
        </w:tc>
        <w:tc>
          <w:tcPr>
            <w:tcW w:type="dxa" w:w="2500"/>
            <w:shd w:fill="FFFFFF" w:val="clear"/>
            <w:tcMar>
              <w:top w:type="dxa" w:w="90"/>
              <w:left w:type="dxa" w:w="120"/>
              <w:bottom w:type="dxa" w:w="90"/>
              <w:right w:type="dxa" w:w="120"/>
            </w:tcMar>
          </w:tcPr>
          <w:p>
            <w:r>
              <w:rPr>
                <w:rFonts w:ascii="Georgia" w:cs="Georgia" w:eastAsia="Georgia" w:hAnsi="Georgia"/>
                <w:color w:val="1A1A1A"/>
                <w:sz w:val="19"/>
                <w:szCs w:val="19"/>
              </w:rPr>
              <w:t xml:space="preserve">Reveal goals only when necessary; let actions, not stated plans, disclose intent</w:t>
            </w:r>
          </w:p>
        </w:tc>
        <w:tc>
          <w:tcPr>
            <w:tcW w:type="dxa" w:w="2400"/>
            <w:shd w:fill="FFFFFF" w:val="clear"/>
            <w:tcMar>
              <w:top w:type="dxa" w:w="90"/>
              <w:left w:type="dxa" w:w="120"/>
              <w:bottom w:type="dxa" w:w="90"/>
              <w:right w:type="dxa" w:w="120"/>
            </w:tcMar>
          </w:tcPr>
          <w:p>
            <w:r>
              <w:rPr>
                <w:rFonts w:ascii="Georgia" w:cs="Georgia" w:eastAsia="Georgia" w:hAnsi="Georgia"/>
                <w:color w:val="1A1A1A"/>
                <w:sz w:val="19"/>
                <w:szCs w:val="19"/>
              </w:rPr>
              <w:t xml:space="preserve">Negotiations, competitive workplace situations, early-stage rivalries</w:t>
            </w:r>
          </w:p>
        </w:tc>
        <w:tc>
          <w:tcPr>
            <w:tcW w:type="dxa" w:w="2260"/>
            <w:shd w:fill="FFFFFF" w:val="clear"/>
            <w:tcMar>
              <w:top w:type="dxa" w:w="90"/>
              <w:left w:type="dxa" w:w="120"/>
              <w:bottom w:type="dxa" w:w="90"/>
              <w:right w:type="dxa" w:w="120"/>
            </w:tcMar>
          </w:tcPr>
          <w:p>
            <w:r>
              <w:rPr>
                <w:rFonts w:ascii="Georgia" w:cs="Georgia" w:eastAsia="Georgia" w:hAnsi="Georgia"/>
                <w:color w:val="1A1A1A"/>
                <w:sz w:val="19"/>
                <w:szCs w:val="19"/>
              </w:rPr>
              <w:t xml:space="preserve">Rivals cannot preempt or counter a plan they cannot see</w:t>
            </w:r>
          </w:p>
        </w:tc>
      </w:tr>
      <w:tr>
        <w:tc>
          <w:tcPr>
            <w:tcW w:type="dxa" w:w="2200"/>
            <w:shd w:fill="F7F5F1" w:val="clear"/>
            <w:tcMar>
              <w:top w:type="dxa" w:w="90"/>
              <w:left w:type="dxa" w:w="120"/>
              <w:bottom w:type="dxa" w:w="90"/>
              <w:right w:type="dxa" w:w="120"/>
            </w:tcMar>
          </w:tcPr>
          <w:p>
            <w:r>
              <w:rPr>
                <w:rFonts w:ascii="Georgia" w:cs="Georgia" w:eastAsia="Georgia" w:hAnsi="Georgia"/>
                <w:color w:val="1A1A1A"/>
                <w:sz w:val="19"/>
                <w:szCs w:val="19"/>
              </w:rPr>
              <w:t xml:space="preserve">Manage your superior's ego</w:t>
            </w:r>
          </w:p>
        </w:tc>
        <w:tc>
          <w:tcPr>
            <w:tcW w:type="dxa" w:w="2500"/>
            <w:shd w:fill="F7F5F1" w:val="clear"/>
            <w:tcMar>
              <w:top w:type="dxa" w:w="90"/>
              <w:left w:type="dxa" w:w="120"/>
              <w:bottom w:type="dxa" w:w="90"/>
              <w:right w:type="dxa" w:w="120"/>
            </w:tcMar>
          </w:tcPr>
          <w:p>
            <w:r>
              <w:rPr>
                <w:rFonts w:ascii="Georgia" w:cs="Georgia" w:eastAsia="Georgia" w:hAnsi="Georgia"/>
                <w:color w:val="1A1A1A"/>
                <w:sz w:val="19"/>
                <w:szCs w:val="19"/>
              </w:rPr>
              <w:t xml:space="preserve">Never make a superior or mentor look outshone; let credit visibly flow upward when appropriate</w:t>
            </w:r>
          </w:p>
        </w:tc>
        <w:tc>
          <w:tcPr>
            <w:tcW w:type="dxa" w:w="2400"/>
            <w:shd w:fill="F7F5F1" w:val="clear"/>
            <w:tcMar>
              <w:top w:type="dxa" w:w="90"/>
              <w:left w:type="dxa" w:w="120"/>
              <w:bottom w:type="dxa" w:w="90"/>
              <w:right w:type="dxa" w:w="120"/>
            </w:tcMar>
          </w:tcPr>
          <w:p>
            <w:r>
              <w:rPr>
                <w:rFonts w:ascii="Georgia" w:cs="Georgia" w:eastAsia="Georgia" w:hAnsi="Georgia"/>
                <w:color w:val="1A1A1A"/>
                <w:sz w:val="19"/>
                <w:szCs w:val="19"/>
              </w:rPr>
              <w:t xml:space="preserve">Working under a boss, patron, or senior figure</w:t>
            </w:r>
          </w:p>
        </w:tc>
        <w:tc>
          <w:tcPr>
            <w:tcW w:type="dxa" w:w="2260"/>
            <w:shd w:fill="F7F5F1" w:val="clear"/>
            <w:tcMar>
              <w:top w:type="dxa" w:w="90"/>
              <w:left w:type="dxa" w:w="120"/>
              <w:bottom w:type="dxa" w:w="90"/>
              <w:right w:type="dxa" w:w="120"/>
            </w:tcMar>
          </w:tcPr>
          <w:p>
            <w:r>
              <w:rPr>
                <w:rFonts w:ascii="Georgia" w:cs="Georgia" w:eastAsia="Georgia" w:hAnsi="Georgia"/>
                <w:color w:val="1A1A1A"/>
                <w:sz w:val="19"/>
                <w:szCs w:val="19"/>
              </w:rPr>
              <w:t xml:space="preserve">Avoids triggering resentment or defensive retaliation from those with more power</w:t>
            </w:r>
          </w:p>
        </w:tc>
      </w:tr>
      <w:tr>
        <w:tc>
          <w:tcPr>
            <w:tcW w:type="dxa" w:w="2200"/>
            <w:shd w:fill="FFFFFF" w:val="clear"/>
            <w:tcMar>
              <w:top w:type="dxa" w:w="90"/>
              <w:left w:type="dxa" w:w="120"/>
              <w:bottom w:type="dxa" w:w="90"/>
              <w:right w:type="dxa" w:w="120"/>
            </w:tcMar>
          </w:tcPr>
          <w:p>
            <w:r>
              <w:rPr>
                <w:rFonts w:ascii="Georgia" w:cs="Georgia" w:eastAsia="Georgia" w:hAnsi="Georgia"/>
                <w:color w:val="1A1A1A"/>
                <w:sz w:val="19"/>
                <w:szCs w:val="19"/>
              </w:rPr>
              <w:t xml:space="preserve">Control your reputation actively</w:t>
            </w:r>
          </w:p>
        </w:tc>
        <w:tc>
          <w:tcPr>
            <w:tcW w:type="dxa" w:w="2500"/>
            <w:shd w:fill="FFFFFF" w:val="clear"/>
            <w:tcMar>
              <w:top w:type="dxa" w:w="90"/>
              <w:left w:type="dxa" w:w="120"/>
              <w:bottom w:type="dxa" w:w="90"/>
              <w:right w:type="dxa" w:w="120"/>
            </w:tcMar>
          </w:tcPr>
          <w:p>
            <w:r>
              <w:rPr>
                <w:rFonts w:ascii="Georgia" w:cs="Georgia" w:eastAsia="Georgia" w:hAnsi="Georgia"/>
                <w:color w:val="1A1A1A"/>
                <w:sz w:val="19"/>
                <w:szCs w:val="19"/>
              </w:rPr>
              <w:t xml:space="preserve">Monitor how actions will be perceived and retold before taking them; correct misperceptions early</w:t>
            </w:r>
          </w:p>
        </w:tc>
        <w:tc>
          <w:tcPr>
            <w:tcW w:type="dxa" w:w="2400"/>
            <w:shd w:fill="FFFFFF" w:val="clear"/>
            <w:tcMar>
              <w:top w:type="dxa" w:w="90"/>
              <w:left w:type="dxa" w:w="120"/>
              <w:bottom w:type="dxa" w:w="90"/>
              <w:right w:type="dxa" w:w="120"/>
            </w:tcMar>
          </w:tcPr>
          <w:p>
            <w:r>
              <w:rPr>
                <w:rFonts w:ascii="Georgia" w:cs="Georgia" w:eastAsia="Georgia" w:hAnsi="Georgia"/>
                <w:color w:val="1A1A1A"/>
                <w:sz w:val="19"/>
                <w:szCs w:val="19"/>
              </w:rPr>
              <w:t xml:space="preserve">Any environment with an ongoing audience (workplace, public role, community)</w:t>
            </w:r>
          </w:p>
        </w:tc>
        <w:tc>
          <w:tcPr>
            <w:tcW w:type="dxa" w:w="2260"/>
            <w:shd w:fill="FFFFFF" w:val="clear"/>
            <w:tcMar>
              <w:top w:type="dxa" w:w="90"/>
              <w:left w:type="dxa" w:w="120"/>
              <w:bottom w:type="dxa" w:w="90"/>
              <w:right w:type="dxa" w:w="120"/>
            </w:tcMar>
          </w:tcPr>
          <w:p>
            <w:r>
              <w:rPr>
                <w:rFonts w:ascii="Georgia" w:cs="Georgia" w:eastAsia="Georgia" w:hAnsi="Georgia"/>
                <w:color w:val="1A1A1A"/>
                <w:sz w:val="19"/>
                <w:szCs w:val="19"/>
              </w:rPr>
              <w:t xml:space="preserve">Reputation compounds as a durable asset rather than eroding by neglect</w:t>
            </w:r>
          </w:p>
        </w:tc>
      </w:tr>
      <w:tr>
        <w:tc>
          <w:tcPr>
            <w:tcW w:type="dxa" w:w="2200"/>
            <w:shd w:fill="F7F5F1" w:val="clear"/>
            <w:tcMar>
              <w:top w:type="dxa" w:w="90"/>
              <w:left w:type="dxa" w:w="120"/>
              <w:bottom w:type="dxa" w:w="90"/>
              <w:right w:type="dxa" w:w="120"/>
            </w:tcMar>
          </w:tcPr>
          <w:p>
            <w:r>
              <w:rPr>
                <w:rFonts w:ascii="Georgia" w:cs="Georgia" w:eastAsia="Georgia" w:hAnsi="Georgia"/>
                <w:color w:val="1A1A1A"/>
                <w:sz w:val="19"/>
                <w:szCs w:val="19"/>
              </w:rPr>
              <w:t xml:space="preserve">Use timing and patience</w:t>
            </w:r>
          </w:p>
        </w:tc>
        <w:tc>
          <w:tcPr>
            <w:tcW w:type="dxa" w:w="2500"/>
            <w:shd w:fill="F7F5F1" w:val="clear"/>
            <w:tcMar>
              <w:top w:type="dxa" w:w="90"/>
              <w:left w:type="dxa" w:w="120"/>
              <w:bottom w:type="dxa" w:w="90"/>
              <w:right w:type="dxa" w:w="120"/>
            </w:tcMar>
          </w:tcPr>
          <w:p>
            <w:r>
              <w:rPr>
                <w:rFonts w:ascii="Georgia" w:cs="Georgia" w:eastAsia="Georgia" w:hAnsi="Georgia"/>
                <w:color w:val="1A1A1A"/>
                <w:sz w:val="19"/>
                <w:szCs w:val="19"/>
              </w:rPr>
              <w:t xml:space="preserve">Wait for the moment an action will land with maximum effect rather than acting at the first opportunity</w:t>
            </w:r>
          </w:p>
        </w:tc>
        <w:tc>
          <w:tcPr>
            <w:tcW w:type="dxa" w:w="2400"/>
            <w:shd w:fill="F7F5F1" w:val="clear"/>
            <w:tcMar>
              <w:top w:type="dxa" w:w="90"/>
              <w:left w:type="dxa" w:w="120"/>
              <w:bottom w:type="dxa" w:w="90"/>
              <w:right w:type="dxa" w:w="120"/>
            </w:tcMar>
          </w:tcPr>
          <w:p>
            <w:r>
              <w:rPr>
                <w:rFonts w:ascii="Georgia" w:cs="Georgia" w:eastAsia="Georgia" w:hAnsi="Georgia"/>
                <w:color w:val="1A1A1A"/>
                <w:sz w:val="19"/>
                <w:szCs w:val="19"/>
              </w:rPr>
              <w:t xml:space="preserve">High-stakes decisions, confrontations, negotiations</w:t>
            </w:r>
          </w:p>
        </w:tc>
        <w:tc>
          <w:tcPr>
            <w:tcW w:type="dxa" w:w="2260"/>
            <w:shd w:fill="F7F5F1" w:val="clear"/>
            <w:tcMar>
              <w:top w:type="dxa" w:w="90"/>
              <w:left w:type="dxa" w:w="120"/>
              <w:bottom w:type="dxa" w:w="90"/>
              <w:right w:type="dxa" w:w="120"/>
            </w:tcMar>
          </w:tcPr>
          <w:p>
            <w:r>
              <w:rPr>
                <w:rFonts w:ascii="Georgia" w:cs="Georgia" w:eastAsia="Georgia" w:hAnsi="Georgia"/>
                <w:color w:val="1A1A1A"/>
                <w:sz w:val="19"/>
                <w:szCs w:val="19"/>
              </w:rPr>
              <w:t xml:space="preserve">Reduces wasted or premature moves that tip one's hand</w:t>
            </w:r>
          </w:p>
        </w:tc>
      </w:tr>
      <w:tr>
        <w:tc>
          <w:tcPr>
            <w:tcW w:type="dxa" w:w="2200"/>
            <w:shd w:fill="FFFFFF" w:val="clear"/>
            <w:tcMar>
              <w:top w:type="dxa" w:w="90"/>
              <w:left w:type="dxa" w:w="120"/>
              <w:bottom w:type="dxa" w:w="90"/>
              <w:right w:type="dxa" w:w="120"/>
            </w:tcMar>
          </w:tcPr>
          <w:p>
            <w:r>
              <w:rPr>
                <w:rFonts w:ascii="Georgia" w:cs="Georgia" w:eastAsia="Georgia" w:hAnsi="Georgia"/>
                <w:color w:val="1A1A1A"/>
                <w:sz w:val="19"/>
                <w:szCs w:val="19"/>
              </w:rPr>
              <w:t xml:space="preserve">Study the audience, not just the goal</w:t>
            </w:r>
          </w:p>
        </w:tc>
        <w:tc>
          <w:tcPr>
            <w:tcW w:type="dxa" w:w="2500"/>
            <w:shd w:fill="FFFFFF" w:val="clear"/>
            <w:tcMar>
              <w:top w:type="dxa" w:w="90"/>
              <w:left w:type="dxa" w:w="120"/>
              <w:bottom w:type="dxa" w:w="90"/>
              <w:right w:type="dxa" w:w="120"/>
            </w:tcMar>
          </w:tcPr>
          <w:p>
            <w:r>
              <w:rPr>
                <w:rFonts w:ascii="Georgia" w:cs="Georgia" w:eastAsia="Georgia" w:hAnsi="Georgia"/>
                <w:color w:val="1A1A1A"/>
                <w:sz w:val="19"/>
                <w:szCs w:val="19"/>
              </w:rPr>
              <w:t xml:space="preserve">Before acting, assess the specific psychology, incentives, and likely reactions of the people involved</w:t>
            </w:r>
          </w:p>
        </w:tc>
        <w:tc>
          <w:tcPr>
            <w:tcW w:type="dxa" w:w="2400"/>
            <w:shd w:fill="FFFFFF" w:val="clear"/>
            <w:tcMar>
              <w:top w:type="dxa" w:w="90"/>
              <w:left w:type="dxa" w:w="120"/>
              <w:bottom w:type="dxa" w:w="90"/>
              <w:right w:type="dxa" w:w="120"/>
            </w:tcMar>
          </w:tcPr>
          <w:p>
            <w:r>
              <w:rPr>
                <w:rFonts w:ascii="Georgia" w:cs="Georgia" w:eastAsia="Georgia" w:hAnsi="Georgia"/>
                <w:color w:val="1A1A1A"/>
                <w:sz w:val="19"/>
                <w:szCs w:val="19"/>
              </w:rPr>
              <w:t xml:space="preserve">Persuasion, requests, alliance-building</w:t>
            </w:r>
          </w:p>
        </w:tc>
        <w:tc>
          <w:tcPr>
            <w:tcW w:type="dxa" w:w="2260"/>
            <w:shd w:fill="FFFFFF" w:val="clear"/>
            <w:tcMar>
              <w:top w:type="dxa" w:w="90"/>
              <w:left w:type="dxa" w:w="120"/>
              <w:bottom w:type="dxa" w:w="90"/>
              <w:right w:type="dxa" w:w="120"/>
            </w:tcMar>
          </w:tcPr>
          <w:p>
            <w:r>
              <w:rPr>
                <w:rFonts w:ascii="Georgia" w:cs="Georgia" w:eastAsia="Georgia" w:hAnsi="Georgia"/>
                <w:color w:val="1A1A1A"/>
                <w:sz w:val="19"/>
                <w:szCs w:val="19"/>
              </w:rPr>
              <w:t xml:space="preserve">Increases the odds an action produces the intended response</w:t>
            </w:r>
          </w:p>
        </w:tc>
      </w:tr>
      <w:tr>
        <w:tc>
          <w:tcPr>
            <w:tcW w:type="dxa" w:w="2200"/>
            <w:shd w:fill="F7F5F1" w:val="clear"/>
            <w:tcMar>
              <w:top w:type="dxa" w:w="90"/>
              <w:left w:type="dxa" w:w="120"/>
              <w:bottom w:type="dxa" w:w="90"/>
              <w:right w:type="dxa" w:w="120"/>
            </w:tcMar>
          </w:tcPr>
          <w:p>
            <w:r>
              <w:rPr>
                <w:rFonts w:ascii="Georgia" w:cs="Georgia" w:eastAsia="Georgia" w:hAnsi="Georgia"/>
                <w:color w:val="1A1A1A"/>
                <w:sz w:val="19"/>
                <w:szCs w:val="19"/>
              </w:rPr>
              <w:t xml:space="preserve">Maintain composure under provocation</w:t>
            </w:r>
          </w:p>
        </w:tc>
        <w:tc>
          <w:tcPr>
            <w:tcW w:type="dxa" w:w="2500"/>
            <w:shd w:fill="F7F5F1" w:val="clear"/>
            <w:tcMar>
              <w:top w:type="dxa" w:w="90"/>
              <w:left w:type="dxa" w:w="120"/>
              <w:bottom w:type="dxa" w:w="90"/>
              <w:right w:type="dxa" w:w="120"/>
            </w:tcMar>
          </w:tcPr>
          <w:p>
            <w:r>
              <w:rPr>
                <w:rFonts w:ascii="Georgia" w:cs="Georgia" w:eastAsia="Georgia" w:hAnsi="Georgia"/>
                <w:color w:val="1A1A1A"/>
                <w:sz w:val="19"/>
                <w:szCs w:val="19"/>
              </w:rPr>
              <w:t xml:space="preserve">Deliberately delay emotional reaction in conflict; treat visible anger or panic as a tactical error</w:t>
            </w:r>
          </w:p>
        </w:tc>
        <w:tc>
          <w:tcPr>
            <w:tcW w:type="dxa" w:w="2400"/>
            <w:shd w:fill="F7F5F1" w:val="clear"/>
            <w:tcMar>
              <w:top w:type="dxa" w:w="90"/>
              <w:left w:type="dxa" w:w="120"/>
              <w:bottom w:type="dxa" w:w="90"/>
              <w:right w:type="dxa" w:w="120"/>
            </w:tcMar>
          </w:tcPr>
          <w:p>
            <w:r>
              <w:rPr>
                <w:rFonts w:ascii="Georgia" w:cs="Georgia" w:eastAsia="Georgia" w:hAnsi="Georgia"/>
                <w:color w:val="1A1A1A"/>
                <w:sz w:val="19"/>
                <w:szCs w:val="19"/>
              </w:rPr>
              <w:t xml:space="preserve">Disputes, criticism, sudden setbacks</w:t>
            </w:r>
          </w:p>
        </w:tc>
        <w:tc>
          <w:tcPr>
            <w:tcW w:type="dxa" w:w="2260"/>
            <w:shd w:fill="F7F5F1" w:val="clear"/>
            <w:tcMar>
              <w:top w:type="dxa" w:w="90"/>
              <w:left w:type="dxa" w:w="120"/>
              <w:bottom w:type="dxa" w:w="90"/>
              <w:right w:type="dxa" w:w="120"/>
            </w:tcMar>
          </w:tcPr>
          <w:p>
            <w:r>
              <w:rPr>
                <w:rFonts w:ascii="Georgia" w:cs="Georgia" w:eastAsia="Georgia" w:hAnsi="Georgia"/>
                <w:color w:val="1A1A1A"/>
                <w:sz w:val="19"/>
                <w:szCs w:val="19"/>
              </w:rPr>
              <w:t xml:space="preserve">Denies opponents the reactive behavior they could exploit</w:t>
            </w:r>
          </w:p>
        </w:tc>
      </w:tr>
    </w:tbl>
    <w:p>
      <w:pPr>
        <w:spacing w:after="140" w:line="276"/>
      </w:pPr>
      <w:r>
        <w:rPr>
          <w:rFonts w:ascii="Georgia" w:cs="Georgia" w:eastAsia="Georgia" w:hAnsi="Georgia"/>
          <w:color w:val="1A1A1A"/>
          <w:sz w:val="21"/>
          <w:szCs w:val="21"/>
        </w:rPr>
        <w:t xml:space="preserve">Note: several other laws (e.g. “Crush your enemy totally,” “Get others to do the work but always take the credit”) are omitted from this table because their practical application raises significant ethical and relational costs the book does not itself weigh — see Section 9.</w:t>
      </w:r>
    </w:p>
    <w:p>
      <w:pPr>
        <w:pStyle w:val="Heading1"/>
        <w:pBdr>
          <w:bottom w:val="single" w:color="B5B0A8" w:sz="6" w:space="6"/>
        </w:pBdr>
        <w:spacing w:after="200" w:before="480"/>
      </w:pPr>
      <w:r>
        <w:rPr>
          <w:rFonts w:ascii="Calibri" w:cs="Calibri" w:eastAsia="Calibri" w:hAnsi="Calibri"/>
          <w:b/>
          <w:bCs/>
          <w:color w:val="7A2E2E"/>
          <w:sz w:val="24"/>
          <w:szCs w:val="24"/>
        </w:rPr>
        <w:t xml:space="preserve">8  </w:t>
      </w:r>
      <w:r>
        <w:rPr>
          <w:rFonts w:ascii="Calibri" w:cs="Calibri" w:eastAsia="Calibri" w:hAnsi="Calibri"/>
          <w:b/>
          <w:bCs/>
          <w:color w:val="1A1A1A"/>
          <w:sz w:val="24"/>
          <w:szCs w:val="24"/>
        </w:rPr>
        <w:t xml:space="preserve">What the Book Gets Right</w:t>
      </w:r>
    </w:p>
    <w:p>
      <w:pPr>
        <w:spacing w:after="80" w:before="220"/>
      </w:pPr>
      <w:r>
        <w:rPr>
          <w:rFonts w:ascii="Calibri" w:cs="Calibri" w:eastAsia="Calibri" w:hAnsi="Calibri"/>
          <w:b/>
          <w:bCs/>
          <w:color w:val="7A2E2E"/>
          <w:sz w:val="20"/>
          <w:szCs w:val="20"/>
        </w:rPr>
        <w:t xml:space="preserve">Historically insightful</w:t>
      </w:r>
    </w:p>
    <w:p>
      <w:pPr>
        <w:pStyle w:val="ListParagraph"/>
        <w:numPr>
          <w:ilvl w:val="0"/>
          <w:numId w:val="1"/>
        </w:numPr>
        <w:spacing w:after="80" w:line="270"/>
      </w:pPr>
      <w:r>
        <w:rPr>
          <w:rFonts w:ascii="Georgia" w:cs="Georgia" w:eastAsia="Georgia" w:hAnsi="Georgia"/>
          <w:color w:val="1A1A1A"/>
          <w:sz w:val="21"/>
          <w:szCs w:val="21"/>
        </w:rPr>
        <w:t xml:space="preserve">The recurring historical pattern of subordinates who outshine or embarrass superiors facing retaliation, regardless of the subordinate's competence, is well documented across many independent political and organizational histories.</w:t>
      </w:r>
    </w:p>
    <w:p>
      <w:pPr>
        <w:pStyle w:val="ListParagraph"/>
        <w:numPr>
          <w:ilvl w:val="0"/>
          <w:numId w:val="1"/>
        </w:numPr>
        <w:spacing w:after="80" w:line="270"/>
      </w:pPr>
      <w:r>
        <w:rPr>
          <w:rFonts w:ascii="Georgia" w:cs="Georgia" w:eastAsia="Georgia" w:hAnsi="Georgia"/>
          <w:color w:val="1A1A1A"/>
          <w:sz w:val="21"/>
          <w:szCs w:val="21"/>
        </w:rPr>
        <w:t xml:space="preserve">The observation that perceived character and reputation shape social and institutional outcomes independently of underlying fact is a long-standing and broadly defensible finding in the history of politics and organizations.</w:t>
      </w:r>
    </w:p>
    <w:p>
      <w:pPr>
        <w:spacing w:after="80" w:before="220"/>
      </w:pPr>
      <w:r>
        <w:rPr>
          <w:rFonts w:ascii="Calibri" w:cs="Calibri" w:eastAsia="Calibri" w:hAnsi="Calibri"/>
          <w:b/>
          <w:bCs/>
          <w:color w:val="7A2E2E"/>
          <w:sz w:val="20"/>
          <w:szCs w:val="20"/>
        </w:rPr>
        <w:t xml:space="preserve">Psychologically useful</w:t>
      </w:r>
    </w:p>
    <w:p>
      <w:pPr>
        <w:pStyle w:val="ListParagraph"/>
        <w:numPr>
          <w:ilvl w:val="0"/>
          <w:numId w:val="1"/>
        </w:numPr>
        <w:spacing w:after="80" w:line="270"/>
      </w:pPr>
      <w:r>
        <w:rPr>
          <w:rFonts w:ascii="Georgia" w:cs="Georgia" w:eastAsia="Georgia" w:hAnsi="Georgia"/>
          <w:color w:val="1A1A1A"/>
          <w:sz w:val="21"/>
          <w:szCs w:val="21"/>
        </w:rPr>
        <w:t xml:space="preserve">The emphasis on managing reactive emotion in high-stakes conflict aligns with well-established findings that impulsive, unregulated reactions tend to worsen negotiation and conflict outcomes.</w:t>
      </w:r>
    </w:p>
    <w:p>
      <w:pPr>
        <w:pStyle w:val="ListParagraph"/>
        <w:numPr>
          <w:ilvl w:val="0"/>
          <w:numId w:val="1"/>
        </w:numPr>
        <w:spacing w:after="80" w:line="270"/>
      </w:pPr>
      <w:r>
        <w:rPr>
          <w:rFonts w:ascii="Georgia" w:cs="Georgia" w:eastAsia="Georgia" w:hAnsi="Georgia"/>
          <w:color w:val="1A1A1A"/>
          <w:sz w:val="21"/>
          <w:szCs w:val="21"/>
        </w:rPr>
        <w:t xml:space="preserve">The instruction to assess an audience's specific incentives and psychology before acting is consistent with basic, well-supported principles of persuasion and negotiation.</w:t>
      </w:r>
    </w:p>
    <w:p>
      <w:pPr>
        <w:spacing w:after="80" w:before="220"/>
      </w:pPr>
      <w:r>
        <w:rPr>
          <w:rFonts w:ascii="Calibri" w:cs="Calibri" w:eastAsia="Calibri" w:hAnsi="Calibri"/>
          <w:b/>
          <w:bCs/>
          <w:color w:val="7A2E2E"/>
          <w:sz w:val="20"/>
          <w:szCs w:val="20"/>
        </w:rPr>
        <w:t xml:space="preserve">Practically useful</w:t>
      </w:r>
    </w:p>
    <w:p>
      <w:pPr>
        <w:pStyle w:val="ListParagraph"/>
        <w:numPr>
          <w:ilvl w:val="0"/>
          <w:numId w:val="1"/>
        </w:numPr>
        <w:spacing w:after="80" w:line="270"/>
      </w:pPr>
      <w:r>
        <w:rPr>
          <w:rFonts w:ascii="Georgia" w:cs="Georgia" w:eastAsia="Georgia" w:hAnsi="Georgia"/>
          <w:color w:val="1A1A1A"/>
          <w:sz w:val="21"/>
          <w:szCs w:val="21"/>
        </w:rPr>
        <w:t xml:space="preserve">As a diagnostic tool — recognizing when these tactics are being used against the reader by others — the framework has clearer, less ethically fraught value than as an offensive playbook.</w:t>
      </w:r>
    </w:p>
    <w:p>
      <w:pPr>
        <w:spacing w:after="80" w:before="220"/>
      </w:pPr>
      <w:r>
        <w:rPr>
          <w:rFonts w:ascii="Calibri" w:cs="Calibri" w:eastAsia="Calibri" w:hAnsi="Calibri"/>
          <w:b/>
          <w:bCs/>
          <w:color w:val="7A2E2E"/>
          <w:sz w:val="20"/>
          <w:szCs w:val="20"/>
        </w:rPr>
        <w:t xml:space="preserve">Ideas with some later research support</w:t>
      </w:r>
    </w:p>
    <w:p>
      <w:pPr>
        <w:pStyle w:val="ListParagraph"/>
        <w:numPr>
          <w:ilvl w:val="0"/>
          <w:numId w:val="1"/>
        </w:numPr>
        <w:spacing w:after="80" w:line="270"/>
      </w:pPr>
      <w:r>
        <w:rPr>
          <w:rFonts w:ascii="Georgia" w:cs="Georgia" w:eastAsia="Georgia" w:hAnsi="Georgia"/>
          <w:color w:val="1A1A1A"/>
          <w:sz w:val="21"/>
          <w:szCs w:val="21"/>
        </w:rPr>
        <w:t xml:space="preserve">The general claim that perceived competence and likability often outweigh objective performance in shaping career and social outcomes has partial support in organizational-behavior research on impression management, though that research is more circumspect than Greene about when and how far this holds, and about its costs to trust over time.</w:t>
      </w:r>
    </w:p>
    <w:p>
      <w:pPr>
        <w:pStyle w:val="Heading1"/>
        <w:pBdr>
          <w:bottom w:val="single" w:color="B5B0A8" w:sz="6" w:space="6"/>
        </w:pBdr>
        <w:spacing w:after="200" w:before="480"/>
      </w:pPr>
      <w:r>
        <w:rPr>
          <w:rFonts w:ascii="Calibri" w:cs="Calibri" w:eastAsia="Calibri" w:hAnsi="Calibri"/>
          <w:b/>
          <w:bCs/>
          <w:color w:val="7A2E2E"/>
          <w:sz w:val="24"/>
          <w:szCs w:val="24"/>
        </w:rPr>
        <w:t xml:space="preserve">9  </w:t>
      </w:r>
      <w:r>
        <w:rPr>
          <w:rFonts w:ascii="Calibri" w:cs="Calibri" w:eastAsia="Calibri" w:hAnsi="Calibri"/>
          <w:b/>
          <w:bCs/>
          <w:color w:val="1A1A1A"/>
          <w:sz w:val="24"/>
          <w:szCs w:val="24"/>
        </w:rPr>
        <w:t xml:space="preserve">What the Book Gets Wrong</w:t>
      </w:r>
    </w:p>
    <w:p>
      <w:pPr>
        <w:pStyle w:val="ListParagraph"/>
        <w:numPr>
          <w:ilvl w:val="0"/>
          <w:numId w:val="1"/>
        </w:numPr>
        <w:spacing w:after="80" w:line="270"/>
      </w:pPr>
      <w:r>
        <w:rPr>
          <w:rFonts w:ascii="Georgia" w:cs="Georgia" w:eastAsia="Georgia" w:hAnsi="Georgia"/>
          <w:color w:val="1A1A1A"/>
          <w:sz w:val="21"/>
          <w:szCs w:val="21"/>
        </w:rPr>
        <w:t xml:space="preserve">Evidentiary base: the 48 laws rest entirely on selectively chosen historical anecdotes, not systematic historical analysis or empirical study. Status: unsupported as general law, plausible as illustrative pattern literature.</w:t>
      </w:r>
    </w:p>
    <w:p>
      <w:pPr>
        <w:pStyle w:val="ListParagraph"/>
        <w:numPr>
          <w:ilvl w:val="0"/>
          <w:numId w:val="1"/>
        </w:numPr>
        <w:spacing w:after="80" w:line="270"/>
      </w:pPr>
      <w:r>
        <w:rPr>
          <w:rFonts w:ascii="Georgia" w:cs="Georgia" w:eastAsia="Georgia" w:hAnsi="Georgia"/>
          <w:color w:val="1A1A1A"/>
          <w:sz w:val="21"/>
          <w:szCs w:val="21"/>
        </w:rPr>
        <w:t xml:space="preserve">Survivorship and confirmation bias: each law is illustrated with cases where it worked and, often, a contrasting case where its violation failed — but Greene does not systematically search for cases where the law's opposite succeeded. Status: significant methodological weakness for claims presented with legal-code-style confidence.</w:t>
      </w:r>
    </w:p>
    <w:p>
      <w:pPr>
        <w:pStyle w:val="ListParagraph"/>
        <w:numPr>
          <w:ilvl w:val="0"/>
          <w:numId w:val="1"/>
        </w:numPr>
        <w:spacing w:after="80" w:line="270"/>
      </w:pPr>
      <w:r>
        <w:rPr>
          <w:rFonts w:ascii="Georgia" w:cs="Georgia" w:eastAsia="Georgia" w:hAnsi="Georgia"/>
          <w:color w:val="1A1A1A"/>
          <w:sz w:val="21"/>
          <w:szCs w:val="21"/>
        </w:rPr>
        <w:t xml:space="preserve">Internal contradictions between laws: several laws directly conflict depending on situation (e.g. “conceal your intentions” vs. laws urging bold, visible action; “crush your enemy totally” vs. laws counseling restraint and alliance-building). Greene does not offer a clear meta-principle for which law applies when, leaving the system underdetermined in practice. Status: acknowledged tension the book does not resolve.</w:t>
      </w:r>
    </w:p>
    <w:p>
      <w:pPr>
        <w:pStyle w:val="ListParagraph"/>
        <w:numPr>
          <w:ilvl w:val="0"/>
          <w:numId w:val="1"/>
        </w:numPr>
        <w:spacing w:after="80" w:line="270"/>
      </w:pPr>
      <w:r>
        <w:rPr>
          <w:rFonts w:ascii="Georgia" w:cs="Georgia" w:eastAsia="Georgia" w:hAnsi="Georgia"/>
          <w:color w:val="1A1A1A"/>
          <w:sz w:val="21"/>
          <w:szCs w:val="21"/>
        </w:rPr>
        <w:t xml:space="preserve">Zero-sum framing: many laws implicitly model social interaction as zero-sum (one party's gain is another's loss), which does not match cooperative, trust-based, or repeated-game social and professional contexts as well as it matches the court/political environments the book draws from. Status: overgeneralized from a specific historical context.</w:t>
      </w:r>
    </w:p>
    <w:p>
      <w:pPr>
        <w:pStyle w:val="ListParagraph"/>
        <w:numPr>
          <w:ilvl w:val="0"/>
          <w:numId w:val="1"/>
        </w:numPr>
        <w:spacing w:after="80" w:line="270"/>
      </w:pPr>
      <w:r>
        <w:rPr>
          <w:rFonts w:ascii="Georgia" w:cs="Georgia" w:eastAsia="Georgia" w:hAnsi="Georgia"/>
          <w:color w:val="1A1A1A"/>
          <w:sz w:val="21"/>
          <w:szCs w:val="21"/>
        </w:rPr>
        <w:t xml:space="preserve">Understated costs of the tactics themselves: laws involving deception, manufactured dependency, or ruthless treatment of rivals are presented primarily in terms of their effectiveness, with limited attention to relational, reputational, and psychological costs of being known to operate this way — including the costs to the practitioner's own long-term trustworthiness and mental wellbeing. Status: significant omission given the book's own emphasis on reputation.</w:t>
      </w:r>
    </w:p>
    <w:p>
      <w:pPr>
        <w:pStyle w:val="ListParagraph"/>
        <w:numPr>
          <w:ilvl w:val="0"/>
          <w:numId w:val="1"/>
        </w:numPr>
        <w:spacing w:after="80" w:line="270"/>
      </w:pPr>
      <w:r>
        <w:rPr>
          <w:rFonts w:ascii="Georgia" w:cs="Georgia" w:eastAsia="Georgia" w:hAnsi="Georgia"/>
          <w:color w:val="1A1A1A"/>
          <w:sz w:val="21"/>
          <w:szCs w:val="21"/>
        </w:rPr>
        <w:t xml:space="preserve">“Descriptive, not prescriptive” framing is only partly convincing: the second-person, imperative writing style (“never do X,” “always do Y”) functions rhetorically as instruction regardless of the disclaimer in the introduction. Status: contested — a reasonable critique, not a settled fact.</w:t>
      </w:r>
    </w:p>
    <w:p>
      <w:pPr>
        <w:pStyle w:val="ListParagraph"/>
        <w:numPr>
          <w:ilvl w:val="0"/>
          <w:numId w:val="1"/>
        </w:numPr>
        <w:spacing w:after="80" w:line="270"/>
      </w:pPr>
      <w:r>
        <w:rPr>
          <w:rFonts w:ascii="Georgia" w:cs="Georgia" w:eastAsia="Georgia" w:hAnsi="Georgia"/>
          <w:color w:val="1A1A1A"/>
          <w:sz w:val="21"/>
          <w:szCs w:val="21"/>
        </w:rPr>
        <w:t xml:space="preserve">Limited engagement with cooperative and prosocial power sources: the book gives comparatively little attention to power built through consistent trust, transparency, and mutual benefit, which extensive organizational and social-capital research treats as a durable and, in many modern contexts, more sustainable power base than the court-political tactics the book foregrounds. Status: significant omission, not a claim the book itself makes and then fails to support.</w:t>
      </w:r>
    </w:p>
    <w:p>
      <w:pPr>
        <w:pStyle w:val="Heading1"/>
        <w:pBdr>
          <w:bottom w:val="single" w:color="B5B0A8" w:sz="6" w:space="6"/>
        </w:pBdr>
        <w:spacing w:after="200" w:before="480"/>
      </w:pPr>
      <w:r>
        <w:rPr>
          <w:rFonts w:ascii="Calibri" w:cs="Calibri" w:eastAsia="Calibri" w:hAnsi="Calibri"/>
          <w:b/>
          <w:bCs/>
          <w:color w:val="7A2E2E"/>
          <w:sz w:val="24"/>
          <w:szCs w:val="24"/>
        </w:rPr>
        <w:t xml:space="preserve">10  </w:t>
      </w:r>
      <w:r>
        <w:rPr>
          <w:rFonts w:ascii="Calibri" w:cs="Calibri" w:eastAsia="Calibri" w:hAnsi="Calibri"/>
          <w:b/>
          <w:bCs/>
          <w:color w:val="1A1A1A"/>
          <w:sz w:val="24"/>
          <w:szCs w:val="24"/>
        </w:rPr>
        <w:t xml:space="preserve">Modern Context</w:t>
      </w:r>
    </w:p>
    <w:p>
      <w:pPr>
        <w:spacing w:after="80" w:before="220"/>
      </w:pPr>
      <w:r>
        <w:rPr>
          <w:rFonts w:ascii="Calibri" w:cs="Calibri" w:eastAsia="Calibri" w:hAnsi="Calibri"/>
          <w:b/>
          <w:bCs/>
          <w:color w:val="7A2E2E"/>
          <w:sz w:val="20"/>
          <w:szCs w:val="20"/>
        </w:rPr>
        <w:t xml:space="preserve">Author's original idea: perception and reputation management are primary strategic assets</w:t>
      </w:r>
    </w:p>
    <w:p>
      <w:pPr>
        <w:spacing w:after="140" w:line="276"/>
      </w:pPr>
      <w:r>
        <w:rPr>
          <w:rFonts w:ascii="Georgia" w:cs="Georgia" w:eastAsia="Georgia" w:hAnsi="Georgia"/>
          <w:color w:val="1A1A1A"/>
          <w:sz w:val="21"/>
          <w:szCs w:val="21"/>
        </w:rPr>
        <w:t xml:space="preserve">Later research / modern interpretation: this is broadly consistent with organizational-behavior and social-psychology research on impression management and status dynamics, which finds perceived competence and likability meaningfully affect career and social outcomes independent of objective performance — though this research typically treats impression management as one input among several (including actual competence, trust, and network position), not as the dominant lever Greene often implies.</w:t>
      </w:r>
    </w:p>
    <w:p>
      <w:pPr>
        <w:spacing w:after="80" w:before="220"/>
      </w:pPr>
      <w:r>
        <w:rPr>
          <w:rFonts w:ascii="Calibri" w:cs="Calibri" w:eastAsia="Calibri" w:hAnsi="Calibri"/>
          <w:b/>
          <w:bCs/>
          <w:color w:val="7A2E2E"/>
          <w:sz w:val="20"/>
          <w:szCs w:val="20"/>
        </w:rPr>
        <w:t xml:space="preserve">Author's original idea: concealment and indirection outperform transparency</w:t>
      </w:r>
    </w:p>
    <w:p>
      <w:pPr>
        <w:spacing w:after="140" w:line="276"/>
      </w:pPr>
      <w:r>
        <w:rPr>
          <w:rFonts w:ascii="Georgia" w:cs="Georgia" w:eastAsia="Georgia" w:hAnsi="Georgia"/>
          <w:color w:val="1A1A1A"/>
          <w:sz w:val="21"/>
          <w:szCs w:val="21"/>
        </w:rPr>
        <w:t xml:space="preserve">Later research / modern interpretation: negotiation and organizational-trust research presents a more mixed picture — strategic information control can produce short-term advantage in single, adversarial interactions, but sustained concealment is consistently associated with lower long-term trust and cooperation in repeated-interaction settings such as teams and long-term partnerships, which are increasingly the dominant structure of modern work relative to the zero-sum court settings the book draws from.</w:t>
      </w:r>
    </w:p>
    <w:p>
      <w:pPr>
        <w:spacing w:after="80" w:before="220"/>
      </w:pPr>
      <w:r>
        <w:rPr>
          <w:rFonts w:ascii="Calibri" w:cs="Calibri" w:eastAsia="Calibri" w:hAnsi="Calibri"/>
          <w:b/>
          <w:bCs/>
          <w:color w:val="7A2E2E"/>
          <w:sz w:val="20"/>
          <w:szCs w:val="20"/>
        </w:rPr>
        <w:t xml:space="preserve">Author's original idea: emotional detachment is a strategic advantage</w:t>
      </w:r>
    </w:p>
    <w:p>
      <w:pPr>
        <w:spacing w:after="140" w:line="276"/>
      </w:pPr>
      <w:r>
        <w:rPr>
          <w:rFonts w:ascii="Georgia" w:cs="Georgia" w:eastAsia="Georgia" w:hAnsi="Georgia"/>
          <w:color w:val="1A1A1A"/>
          <w:sz w:val="21"/>
          <w:szCs w:val="21"/>
        </w:rPr>
        <w:t xml:space="preserve">Later research / modern interpretation: emotion-regulation research supports the narrower claim that impulsive, unregulated emotional reactivity worsens conflict and negotiation outcomes, but does not support the broader implication that suppressing emotional expression generally is costless; chronic suppression (as opposed to regulated expression) is linked in psychological research to relational and wellbeing costs the book does not address.</w:t>
      </w:r>
    </w:p>
    <w:p>
      <w:pPr>
        <w:spacing w:after="140" w:line="276"/>
      </w:pPr>
      <w:r>
        <w:rPr>
          <w:rFonts w:ascii="Georgia" w:cs="Georgia" w:eastAsia="Georgia" w:hAnsi="Georgia"/>
          <w:color w:val="1A1A1A"/>
          <w:sz w:val="21"/>
          <w:szCs w:val="21"/>
        </w:rPr>
        <w:t xml:space="preserve">Greene should not be read as anticipating later organizational-behavior or negotiation research in any validated sense; the overlaps are partial and the book's confident, universal framing (“laws”) is considerably stronger than the more conditional, context-dependent findings of that later research.</w:t>
      </w:r>
    </w:p>
    <w:p>
      <w:pPr>
        <w:pStyle w:val="Heading1"/>
        <w:pBdr>
          <w:bottom w:val="single" w:color="B5B0A8" w:sz="6" w:space="6"/>
        </w:pBdr>
        <w:spacing w:after="200" w:before="480"/>
      </w:pPr>
      <w:r>
        <w:rPr>
          <w:rFonts w:ascii="Calibri" w:cs="Calibri" w:eastAsia="Calibri" w:hAnsi="Calibri"/>
          <w:b/>
          <w:bCs/>
          <w:color w:val="7A2E2E"/>
          <w:sz w:val="24"/>
          <w:szCs w:val="24"/>
        </w:rPr>
        <w:t xml:space="preserve">11  </w:t>
      </w:r>
      <w:r>
        <w:rPr>
          <w:rFonts w:ascii="Calibri" w:cs="Calibri" w:eastAsia="Calibri" w:hAnsi="Calibri"/>
          <w:b/>
          <w:bCs/>
          <w:color w:val="1A1A1A"/>
          <w:sz w:val="24"/>
          <w:szCs w:val="24"/>
        </w:rPr>
        <w:t xml:space="preserve">What Should Be Taken Literally vs. Metaphorically</w:t>
      </w:r>
    </w:p>
    <w:tbl>
      <w:tblPr>
        <w:tblW w:type="dxa" w:w="9360"/>
        <w:tblBorders>
          <w:top w:val="single" w:color="B5B0A8" w:sz="4"/>
          <w:left w:val="single" w:color="B5B0A8" w:sz="4"/>
          <w:bottom w:val="single" w:color="B5B0A8" w:sz="4"/>
          <w:right w:val="single" w:color="B5B0A8" w:sz="4"/>
          <w:insideH w:val="single" w:color="B5B0A8" w:sz="2"/>
          <w:insideV w:val="single" w:color="B5B0A8" w:sz="2"/>
        </w:tblBorders>
      </w:tblPr>
      <w:tblGrid>
        <w:gridCol w:w="3000"/>
        <w:gridCol w:w="1600"/>
        <w:gridCol w:w="4760"/>
      </w:tblGrid>
      <w:tr>
        <w:trPr>
          <w:tblHeader/>
        </w:trPr>
        <w:tc>
          <w:tcPr>
            <w:tcW w:type="dxa" w:w="30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Idea</w:t>
            </w:r>
          </w:p>
        </w:tc>
        <w:tc>
          <w:tcPr>
            <w:tcW w:type="dxa" w:w="16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Take literally?</w:t>
            </w:r>
          </w:p>
        </w:tc>
        <w:tc>
          <w:tcPr>
            <w:tcW w:type="dxa" w:w="476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Why</w:t>
            </w:r>
          </w:p>
        </w:tc>
      </w:tr>
      <w:tr>
        <w:tc>
          <w:tcPr>
            <w:tcW w:type="dxa" w:w="3000"/>
            <w:shd w:fill="FFFFFF" w:val="clear"/>
            <w:tcMar>
              <w:top w:type="dxa" w:w="90"/>
              <w:left w:type="dxa" w:w="120"/>
              <w:bottom w:type="dxa" w:w="90"/>
              <w:right w:type="dxa" w:w="120"/>
            </w:tcMar>
          </w:tcPr>
          <w:p>
            <w:r>
              <w:rPr>
                <w:rFonts w:ascii="Georgia" w:cs="Georgia" w:eastAsia="Georgia" w:hAnsi="Georgia"/>
                <w:color w:val="1A1A1A"/>
                <w:sz w:val="19"/>
                <w:szCs w:val="19"/>
              </w:rPr>
              <w:t xml:space="preserve">The 48 laws as universal, near-legal rules</w:t>
            </w:r>
          </w:p>
        </w:tc>
        <w:tc>
          <w:tcPr>
            <w:tcW w:type="dxa" w:w="1600"/>
            <w:shd w:fill="FFFFFF" w:val="clear"/>
            <w:tcMar>
              <w:top w:type="dxa" w:w="90"/>
              <w:left w:type="dxa" w:w="120"/>
              <w:bottom w:type="dxa" w:w="90"/>
              <w:right w:type="dxa" w:w="120"/>
            </w:tcMar>
          </w:tcPr>
          <w:p>
            <w:r>
              <w:rPr>
                <w:rFonts w:ascii="Georgia" w:cs="Georgia" w:eastAsia="Georgia" w:hAnsi="Georgia"/>
                <w:color w:val="1A1A1A"/>
                <w:sz w:val="19"/>
                <w:szCs w:val="19"/>
              </w:rPr>
              <w:t xml:space="preserve">No</w:t>
            </w:r>
          </w:p>
        </w:tc>
        <w:tc>
          <w:tcPr>
            <w:tcW w:type="dxa" w:w="4760"/>
            <w:shd w:fill="FFFFFF" w:val="clear"/>
            <w:tcMar>
              <w:top w:type="dxa" w:w="90"/>
              <w:left w:type="dxa" w:w="120"/>
              <w:bottom w:type="dxa" w:w="90"/>
              <w:right w:type="dxa" w:w="120"/>
            </w:tcMar>
          </w:tcPr>
          <w:p>
            <w:r>
              <w:rPr>
                <w:rFonts w:ascii="Georgia" w:cs="Georgia" w:eastAsia="Georgia" w:hAnsi="Georgia"/>
                <w:color w:val="1A1A1A"/>
                <w:sz w:val="19"/>
                <w:szCs w:val="19"/>
              </w:rPr>
              <w:t xml:space="preserve">Presented with legal-code confidence but built on selective historical illustration, not systematic evidence</w:t>
            </w:r>
          </w:p>
        </w:tc>
      </w:tr>
      <w:tr>
        <w:tc>
          <w:tcPr>
            <w:tcW w:type="dxa" w:w="3000"/>
            <w:shd w:fill="F7F5F1" w:val="clear"/>
            <w:tcMar>
              <w:top w:type="dxa" w:w="90"/>
              <w:left w:type="dxa" w:w="120"/>
              <w:bottom w:type="dxa" w:w="90"/>
              <w:right w:type="dxa" w:w="120"/>
            </w:tcMar>
          </w:tcPr>
          <w:p>
            <w:r>
              <w:rPr>
                <w:rFonts w:ascii="Georgia" w:cs="Georgia" w:eastAsia="Georgia" w:hAnsi="Georgia"/>
                <w:color w:val="1A1A1A"/>
                <w:sz w:val="19"/>
                <w:szCs w:val="19"/>
              </w:rPr>
              <w:t xml:space="preserve">“Court politics” as a model for modern organizations</w:t>
            </w:r>
          </w:p>
        </w:tc>
        <w:tc>
          <w:tcPr>
            <w:tcW w:type="dxa" w:w="1600"/>
            <w:shd w:fill="F7F5F1" w:val="clear"/>
            <w:tcMar>
              <w:top w:type="dxa" w:w="90"/>
              <w:left w:type="dxa" w:w="120"/>
              <w:bottom w:type="dxa" w:w="90"/>
              <w:right w:type="dxa" w:w="120"/>
            </w:tcMar>
          </w:tcPr>
          <w:p>
            <w:r>
              <w:rPr>
                <w:rFonts w:ascii="Georgia" w:cs="Georgia" w:eastAsia="Georgia" w:hAnsi="Georgia"/>
                <w:color w:val="1A1A1A"/>
                <w:sz w:val="19"/>
                <w:szCs w:val="19"/>
              </w:rPr>
              <w:t xml:space="preserve">Partially</w:t>
            </w:r>
          </w:p>
        </w:tc>
        <w:tc>
          <w:tcPr>
            <w:tcW w:type="dxa" w:w="4760"/>
            <w:shd w:fill="F7F5F1" w:val="clear"/>
            <w:tcMar>
              <w:top w:type="dxa" w:w="90"/>
              <w:left w:type="dxa" w:w="120"/>
              <w:bottom w:type="dxa" w:w="90"/>
              <w:right w:type="dxa" w:w="120"/>
            </w:tcMar>
          </w:tcPr>
          <w:p>
            <w:r>
              <w:rPr>
                <w:rFonts w:ascii="Georgia" w:cs="Georgia" w:eastAsia="Georgia" w:hAnsi="Georgia"/>
                <w:color w:val="1A1A1A"/>
                <w:sz w:val="19"/>
                <w:szCs w:val="19"/>
              </w:rPr>
              <w:t xml:space="preserve">Useful analogy for many hierarchical, high-stakes environments; overstated for flat, trust-based, or cooperative ones</w:t>
            </w:r>
          </w:p>
        </w:tc>
      </w:tr>
      <w:tr>
        <w:tc>
          <w:tcPr>
            <w:tcW w:type="dxa" w:w="3000"/>
            <w:shd w:fill="FFFFFF" w:val="clear"/>
            <w:tcMar>
              <w:top w:type="dxa" w:w="90"/>
              <w:left w:type="dxa" w:w="120"/>
              <w:bottom w:type="dxa" w:w="90"/>
              <w:right w:type="dxa" w:w="120"/>
            </w:tcMar>
          </w:tcPr>
          <w:p>
            <w:r>
              <w:rPr>
                <w:rFonts w:ascii="Georgia" w:cs="Georgia" w:eastAsia="Georgia" w:hAnsi="Georgia"/>
                <w:color w:val="1A1A1A"/>
                <w:sz w:val="19"/>
                <w:szCs w:val="19"/>
              </w:rPr>
              <w:t xml:space="preserve">“Never outshine the master”</w:t>
            </w:r>
          </w:p>
        </w:tc>
        <w:tc>
          <w:tcPr>
            <w:tcW w:type="dxa" w:w="1600"/>
            <w:shd w:fill="FFFFFF" w:val="clear"/>
            <w:tcMar>
              <w:top w:type="dxa" w:w="90"/>
              <w:left w:type="dxa" w:w="120"/>
              <w:bottom w:type="dxa" w:w="90"/>
              <w:right w:type="dxa" w:w="120"/>
            </w:tcMar>
          </w:tcPr>
          <w:p>
            <w:r>
              <w:rPr>
                <w:rFonts w:ascii="Georgia" w:cs="Georgia" w:eastAsia="Georgia" w:hAnsi="Georgia"/>
                <w:color w:val="1A1A1A"/>
                <w:sz w:val="19"/>
                <w:szCs w:val="19"/>
              </w:rPr>
              <w:t xml:space="preserve">Partially</w:t>
            </w:r>
          </w:p>
        </w:tc>
        <w:tc>
          <w:tcPr>
            <w:tcW w:type="dxa" w:w="4760"/>
            <w:shd w:fill="FFFFFF" w:val="clear"/>
            <w:tcMar>
              <w:top w:type="dxa" w:w="90"/>
              <w:left w:type="dxa" w:w="120"/>
              <w:bottom w:type="dxa" w:w="90"/>
              <w:right w:type="dxa" w:w="120"/>
            </w:tcMar>
          </w:tcPr>
          <w:p>
            <w:r>
              <w:rPr>
                <w:rFonts w:ascii="Georgia" w:cs="Georgia" w:eastAsia="Georgia" w:hAnsi="Georgia"/>
                <w:color w:val="1A1A1A"/>
                <w:sz w:val="19"/>
                <w:szCs w:val="19"/>
              </w:rPr>
              <w:t xml:space="preserve">Captures a real risk with insecure superiors; not a universal rule — many mentors reward and promote visible talent</w:t>
            </w:r>
          </w:p>
        </w:tc>
      </w:tr>
      <w:tr>
        <w:tc>
          <w:tcPr>
            <w:tcW w:type="dxa" w:w="3000"/>
            <w:shd w:fill="F7F5F1" w:val="clear"/>
            <w:tcMar>
              <w:top w:type="dxa" w:w="90"/>
              <w:left w:type="dxa" w:w="120"/>
              <w:bottom w:type="dxa" w:w="90"/>
              <w:right w:type="dxa" w:w="120"/>
            </w:tcMar>
          </w:tcPr>
          <w:p>
            <w:r>
              <w:rPr>
                <w:rFonts w:ascii="Georgia" w:cs="Georgia" w:eastAsia="Georgia" w:hAnsi="Georgia"/>
                <w:color w:val="1A1A1A"/>
                <w:sz w:val="19"/>
                <w:szCs w:val="19"/>
              </w:rPr>
              <w:t xml:space="preserve">“Conceal your intentions”</w:t>
            </w:r>
          </w:p>
        </w:tc>
        <w:tc>
          <w:tcPr>
            <w:tcW w:type="dxa" w:w="1600"/>
            <w:shd w:fill="F7F5F1" w:val="clear"/>
            <w:tcMar>
              <w:top w:type="dxa" w:w="90"/>
              <w:left w:type="dxa" w:w="120"/>
              <w:bottom w:type="dxa" w:w="90"/>
              <w:right w:type="dxa" w:w="120"/>
            </w:tcMar>
          </w:tcPr>
          <w:p>
            <w:r>
              <w:rPr>
                <w:rFonts w:ascii="Georgia" w:cs="Georgia" w:eastAsia="Georgia" w:hAnsi="Georgia"/>
                <w:color w:val="1A1A1A"/>
                <w:sz w:val="19"/>
                <w:szCs w:val="19"/>
              </w:rPr>
              <w:t xml:space="preserve">Partially</w:t>
            </w:r>
          </w:p>
        </w:tc>
        <w:tc>
          <w:tcPr>
            <w:tcW w:type="dxa" w:w="4760"/>
            <w:shd w:fill="F7F5F1" w:val="clear"/>
            <w:tcMar>
              <w:top w:type="dxa" w:w="90"/>
              <w:left w:type="dxa" w:w="120"/>
              <w:bottom w:type="dxa" w:w="90"/>
              <w:right w:type="dxa" w:w="120"/>
            </w:tcMar>
          </w:tcPr>
          <w:p>
            <w:r>
              <w:rPr>
                <w:rFonts w:ascii="Georgia" w:cs="Georgia" w:eastAsia="Georgia" w:hAnsi="Georgia"/>
                <w:color w:val="1A1A1A"/>
                <w:sz w:val="19"/>
                <w:szCs w:val="19"/>
              </w:rPr>
              <w:t xml:space="preserve">Reasonable in single-shot competitive situations; corrosive if applied by default in trust-based, repeated relationships</w:t>
            </w:r>
          </w:p>
        </w:tc>
      </w:tr>
      <w:tr>
        <w:tc>
          <w:tcPr>
            <w:tcW w:type="dxa" w:w="3000"/>
            <w:shd w:fill="FFFFFF" w:val="clear"/>
            <w:tcMar>
              <w:top w:type="dxa" w:w="90"/>
              <w:left w:type="dxa" w:w="120"/>
              <w:bottom w:type="dxa" w:w="90"/>
              <w:right w:type="dxa" w:w="120"/>
            </w:tcMar>
          </w:tcPr>
          <w:p>
            <w:r>
              <w:rPr>
                <w:rFonts w:ascii="Georgia" w:cs="Georgia" w:eastAsia="Georgia" w:hAnsi="Georgia"/>
                <w:color w:val="1A1A1A"/>
                <w:sz w:val="19"/>
                <w:szCs w:val="19"/>
              </w:rPr>
              <w:t xml:space="preserve">“Crush your enemy totally”</w:t>
            </w:r>
          </w:p>
        </w:tc>
        <w:tc>
          <w:tcPr>
            <w:tcW w:type="dxa" w:w="1600"/>
            <w:shd w:fill="FFFFFF" w:val="clear"/>
            <w:tcMar>
              <w:top w:type="dxa" w:w="90"/>
              <w:left w:type="dxa" w:w="120"/>
              <w:bottom w:type="dxa" w:w="90"/>
              <w:right w:type="dxa" w:w="120"/>
            </w:tcMar>
          </w:tcPr>
          <w:p>
            <w:r>
              <w:rPr>
                <w:rFonts w:ascii="Georgia" w:cs="Georgia" w:eastAsia="Georgia" w:hAnsi="Georgia"/>
                <w:color w:val="1A1A1A"/>
                <w:sz w:val="19"/>
                <w:szCs w:val="19"/>
              </w:rPr>
              <w:t xml:space="preserve">No, as literal instruction</w:t>
            </w:r>
          </w:p>
        </w:tc>
        <w:tc>
          <w:tcPr>
            <w:tcW w:type="dxa" w:w="4760"/>
            <w:shd w:fill="FFFFFF" w:val="clear"/>
            <w:tcMar>
              <w:top w:type="dxa" w:w="90"/>
              <w:left w:type="dxa" w:w="120"/>
              <w:bottom w:type="dxa" w:w="90"/>
              <w:right w:type="dxa" w:w="120"/>
            </w:tcMar>
          </w:tcPr>
          <w:p>
            <w:r>
              <w:rPr>
                <w:rFonts w:ascii="Georgia" w:cs="Georgia" w:eastAsia="Georgia" w:hAnsi="Georgia"/>
                <w:color w:val="1A1A1A"/>
                <w:sz w:val="19"/>
                <w:szCs w:val="19"/>
              </w:rPr>
              <w:t xml:space="preserve">Presented rhetorically for effect; taken literally in modern professional or legal contexts, carries serious relational, reputational, and in some cases legal risk the book does not address</w:t>
            </w:r>
          </w:p>
        </w:tc>
      </w:tr>
      <w:tr>
        <w:tc>
          <w:tcPr>
            <w:tcW w:type="dxa" w:w="3000"/>
            <w:shd w:fill="F7F5F1" w:val="clear"/>
            <w:tcMar>
              <w:top w:type="dxa" w:w="90"/>
              <w:left w:type="dxa" w:w="120"/>
              <w:bottom w:type="dxa" w:w="90"/>
              <w:right w:type="dxa" w:w="120"/>
            </w:tcMar>
          </w:tcPr>
          <w:p>
            <w:r>
              <w:rPr>
                <w:rFonts w:ascii="Georgia" w:cs="Georgia" w:eastAsia="Georgia" w:hAnsi="Georgia"/>
                <w:color w:val="1A1A1A"/>
                <w:sz w:val="19"/>
                <w:szCs w:val="19"/>
              </w:rPr>
              <w:t xml:space="preserve">The book's amoral, purely descriptive framing</w:t>
            </w:r>
          </w:p>
        </w:tc>
        <w:tc>
          <w:tcPr>
            <w:tcW w:type="dxa" w:w="1600"/>
            <w:shd w:fill="F7F5F1" w:val="clear"/>
            <w:tcMar>
              <w:top w:type="dxa" w:w="90"/>
              <w:left w:type="dxa" w:w="120"/>
              <w:bottom w:type="dxa" w:w="90"/>
              <w:right w:type="dxa" w:w="120"/>
            </w:tcMar>
          </w:tcPr>
          <w:p>
            <w:r>
              <w:rPr>
                <w:rFonts w:ascii="Georgia" w:cs="Georgia" w:eastAsia="Georgia" w:hAnsi="Georgia"/>
                <w:color w:val="1A1A1A"/>
                <w:sz w:val="19"/>
                <w:szCs w:val="19"/>
              </w:rPr>
              <w:t xml:space="preserve">Partially</w:t>
            </w:r>
          </w:p>
        </w:tc>
        <w:tc>
          <w:tcPr>
            <w:tcW w:type="dxa" w:w="4760"/>
            <w:shd w:fill="F7F5F1" w:val="clear"/>
            <w:tcMar>
              <w:top w:type="dxa" w:w="90"/>
              <w:left w:type="dxa" w:w="120"/>
              <w:bottom w:type="dxa" w:w="90"/>
              <w:right w:type="dxa" w:w="120"/>
            </w:tcMar>
          </w:tcPr>
          <w:p>
            <w:r>
              <w:rPr>
                <w:rFonts w:ascii="Georgia" w:cs="Georgia" w:eastAsia="Georgia" w:hAnsi="Georgia"/>
                <w:color w:val="1A1A1A"/>
                <w:sz w:val="19"/>
                <w:szCs w:val="19"/>
              </w:rPr>
              <w:t xml:space="preserve">Explicitly stated as the author's intent; the imperative, second-person instructional style pushes the reading toward prescriptive in practice</w:t>
            </w:r>
          </w:p>
        </w:tc>
      </w:tr>
    </w:tbl>
    <w:p>
      <w:pPr>
        <w:pStyle w:val="Heading1"/>
        <w:pBdr>
          <w:bottom w:val="single" w:color="B5B0A8" w:sz="6" w:space="6"/>
        </w:pBdr>
        <w:spacing w:after="200" w:before="480"/>
      </w:pPr>
      <w:r>
        <w:rPr>
          <w:rFonts w:ascii="Calibri" w:cs="Calibri" w:eastAsia="Calibri" w:hAnsi="Calibri"/>
          <w:b/>
          <w:bCs/>
          <w:color w:val="7A2E2E"/>
          <w:sz w:val="24"/>
          <w:szCs w:val="24"/>
        </w:rPr>
        <w:t xml:space="preserve">12  </w:t>
      </w:r>
      <w:r>
        <w:rPr>
          <w:rFonts w:ascii="Calibri" w:cs="Calibri" w:eastAsia="Calibri" w:hAnsi="Calibri"/>
          <w:b/>
          <w:bCs/>
          <w:color w:val="1A1A1A"/>
          <w:sz w:val="24"/>
          <w:szCs w:val="24"/>
        </w:rPr>
        <w:t xml:space="preserve">High-Value Lessons</w:t>
      </w:r>
    </w:p>
    <w:p>
      <w:pPr>
        <w:spacing w:after="100" w:line="270"/>
      </w:pPr>
      <w:r>
        <w:rPr>
          <w:rFonts w:ascii="Calibri" w:cs="Calibri" w:eastAsia="Calibri" w:hAnsi="Calibri"/>
          <w:b/>
          <w:bCs/>
          <w:color w:val="7A2E2E"/>
          <w:sz w:val="20"/>
          <w:szCs w:val="20"/>
        </w:rPr>
        <w:t xml:space="preserve">1. Power dynamics operate whether or not you acknowledge them.  </w:t>
      </w:r>
      <w:r>
        <w:rPr>
          <w:rFonts w:ascii="Georgia" w:cs="Georgia" w:eastAsia="Georgia" w:hAnsi="Georgia"/>
          <w:color w:val="1A1A1A"/>
          <w:sz w:val="21"/>
          <w:szCs w:val="21"/>
        </w:rPr>
        <w:t xml:space="preserve">Greene's foundational premise is that opting out of studying power does not exempt a person from it. Practical meaning: consciously map the status and incentive dynamics of environments you operate in, even cooperative ones.</w:t>
      </w:r>
    </w:p>
    <w:p>
      <w:pPr>
        <w:spacing w:after="100" w:line="270"/>
      </w:pPr>
      <w:r>
        <w:rPr>
          <w:rFonts w:ascii="Calibri" w:cs="Calibri" w:eastAsia="Calibri" w:hAnsi="Calibri"/>
          <w:b/>
          <w:bCs/>
          <w:color w:val="7A2E2E"/>
          <w:sz w:val="20"/>
          <w:szCs w:val="20"/>
        </w:rPr>
        <w:t xml:space="preserve">2. Perception is a variable you can manage, not a fixed given.  </w:t>
      </w:r>
      <w:r>
        <w:rPr>
          <w:rFonts w:ascii="Georgia" w:cs="Georgia" w:eastAsia="Georgia" w:hAnsi="Georgia"/>
          <w:color w:val="1A1A1A"/>
          <w:sz w:val="21"/>
          <w:szCs w:val="21"/>
        </w:rPr>
        <w:t xml:space="preserve">How actions are read by others is treated as separable from, and as consequential as, the actions themselves. Practical meaning: before acting in a visible situation, consider how it will be interpreted and by whom.</w:t>
      </w:r>
    </w:p>
    <w:p>
      <w:pPr>
        <w:spacing w:after="100" w:line="270"/>
      </w:pPr>
      <w:r>
        <w:rPr>
          <w:rFonts w:ascii="Calibri" w:cs="Calibri" w:eastAsia="Calibri" w:hAnsi="Calibri"/>
          <w:b/>
          <w:bCs/>
          <w:color w:val="7A2E2E"/>
          <w:sz w:val="20"/>
          <w:szCs w:val="20"/>
        </w:rPr>
        <w:t xml:space="preserve">3. Don't make a superior look outshone without good reason.  </w:t>
      </w:r>
      <w:r>
        <w:rPr>
          <w:rFonts w:ascii="Georgia" w:cs="Georgia" w:eastAsia="Georgia" w:hAnsi="Georgia"/>
          <w:color w:val="1A1A1A"/>
          <w:sz w:val="21"/>
          <w:szCs w:val="21"/>
        </w:rPr>
        <w:t xml:space="preserve">A recurring historical pattern shows subordinates punished for embarrassing insecure superiors, regardless of merit. Practical meaning: manage credit-sharing deliberately with people who have power over your position.</w:t>
      </w:r>
    </w:p>
    <w:p>
      <w:pPr>
        <w:spacing w:after="100" w:line="270"/>
      </w:pPr>
      <w:r>
        <w:rPr>
          <w:rFonts w:ascii="Calibri" w:cs="Calibri" w:eastAsia="Calibri" w:hAnsi="Calibri"/>
          <w:b/>
          <w:bCs/>
          <w:color w:val="7A2E2E"/>
          <w:sz w:val="20"/>
          <w:szCs w:val="20"/>
        </w:rPr>
        <w:t xml:space="preserve">4. Reactive emotion in conflict tends to cost you leverage.  </w:t>
      </w:r>
      <w:r>
        <w:rPr>
          <w:rFonts w:ascii="Georgia" w:cs="Georgia" w:eastAsia="Georgia" w:hAnsi="Georgia"/>
          <w:color w:val="1A1A1A"/>
          <w:sz w:val="21"/>
          <w:szCs w:val="21"/>
        </w:rPr>
        <w:t xml:space="preserve">Multiple historical cases show impulsive anger or panic being exploited by calmer rivals. Practical meaning: build in a deliberate pause before responding in high-stakes disputes.</w:t>
      </w:r>
    </w:p>
    <w:p>
      <w:pPr>
        <w:spacing w:after="100" w:line="270"/>
      </w:pPr>
      <w:r>
        <w:rPr>
          <w:rFonts w:ascii="Calibri" w:cs="Calibri" w:eastAsia="Calibri" w:hAnsi="Calibri"/>
          <w:b/>
          <w:bCs/>
          <w:color w:val="7A2E2E"/>
          <w:sz w:val="20"/>
          <w:szCs w:val="20"/>
        </w:rPr>
        <w:t xml:space="preserve">5. Timing changes the effect of the same action.  </w:t>
      </w:r>
      <w:r>
        <w:rPr>
          <w:rFonts w:ascii="Georgia" w:cs="Georgia" w:eastAsia="Georgia" w:hAnsi="Georgia"/>
          <w:color w:val="1A1A1A"/>
          <w:sz w:val="21"/>
          <w:szCs w:val="21"/>
        </w:rPr>
        <w:t xml:space="preserve">Several laws hinge on patience — the same move succeeds or fails depending on when it's made. Practical meaning: weigh whether now is actually the moment to act, not only whether the action itself is right.</w:t>
      </w:r>
    </w:p>
    <w:p>
      <w:pPr>
        <w:spacing w:after="100" w:line="270"/>
      </w:pPr>
      <w:r>
        <w:rPr>
          <w:rFonts w:ascii="Calibri" w:cs="Calibri" w:eastAsia="Calibri" w:hAnsi="Calibri"/>
          <w:b/>
          <w:bCs/>
          <w:color w:val="7A2E2E"/>
          <w:sz w:val="20"/>
          <w:szCs w:val="20"/>
        </w:rPr>
        <w:t xml:space="preserve">6. Reputation compounds — manage it proactively.  </w:t>
      </w:r>
      <w:r>
        <w:rPr>
          <w:rFonts w:ascii="Georgia" w:cs="Georgia" w:eastAsia="Georgia" w:hAnsi="Georgia"/>
          <w:color w:val="1A1A1A"/>
          <w:sz w:val="21"/>
          <w:szCs w:val="21"/>
        </w:rPr>
        <w:t xml:space="preserve">Greene treats reputation as an actively built asset, not a passive by-product. Practical meaning: address reputational damage early rather than assuming good work will correct it.</w:t>
      </w:r>
    </w:p>
    <w:p>
      <w:pPr>
        <w:spacing w:after="100" w:line="270"/>
      </w:pPr>
      <w:r>
        <w:rPr>
          <w:rFonts w:ascii="Calibri" w:cs="Calibri" w:eastAsia="Calibri" w:hAnsi="Calibri"/>
          <w:b/>
          <w:bCs/>
          <w:color w:val="7A2E2E"/>
          <w:sz w:val="20"/>
          <w:szCs w:val="20"/>
        </w:rPr>
        <w:t xml:space="preserve">7. Study your audience's specific psychology, not a generic playbook.  </w:t>
      </w:r>
      <w:r>
        <w:rPr>
          <w:rFonts w:ascii="Georgia" w:cs="Georgia" w:eastAsia="Georgia" w:hAnsi="Georgia"/>
          <w:color w:val="1A1A1A"/>
          <w:sz w:val="21"/>
          <w:szCs w:val="21"/>
        </w:rPr>
        <w:t xml:space="preserve">Several laws depend on reading the particular incentives and insecurities of the person involved. Practical meaning: tailor persuasion and requests to the individual, not a one-size-fits-all script.</w:t>
      </w:r>
    </w:p>
    <w:p>
      <w:pPr>
        <w:spacing w:after="100" w:line="270"/>
      </w:pPr>
      <w:r>
        <w:rPr>
          <w:rFonts w:ascii="Calibri" w:cs="Calibri" w:eastAsia="Calibri" w:hAnsi="Calibri"/>
          <w:b/>
          <w:bCs/>
          <w:color w:val="7A2E2E"/>
          <w:sz w:val="20"/>
          <w:szCs w:val="20"/>
        </w:rPr>
        <w:t xml:space="preserve">8. Indirect approaches often meet less resistance than direct demands.  </w:t>
      </w:r>
      <w:r>
        <w:rPr>
          <w:rFonts w:ascii="Georgia" w:cs="Georgia" w:eastAsia="Georgia" w:hAnsi="Georgia"/>
          <w:color w:val="1A1A1A"/>
          <w:sz w:val="21"/>
          <w:szCs w:val="21"/>
        </w:rPr>
        <w:t xml:space="preserve">A recurring tactic across laws is achieving an aim without triggering the defensiveness direct confrontation provokes. Practical meaning: consider whether a goal can be reached through a lower-friction path before defaulting to confrontation.</w:t>
      </w:r>
    </w:p>
    <w:p>
      <w:pPr>
        <w:spacing w:after="100" w:line="270"/>
      </w:pPr>
      <w:r>
        <w:rPr>
          <w:rFonts w:ascii="Calibri" w:cs="Calibri" w:eastAsia="Calibri" w:hAnsi="Calibri"/>
          <w:b/>
          <w:bCs/>
          <w:color w:val="7A2E2E"/>
          <w:sz w:val="20"/>
          <w:szCs w:val="20"/>
        </w:rPr>
        <w:t xml:space="preserve">9. Concealed intentions are a double-edged tool.  </w:t>
      </w:r>
      <w:r>
        <w:rPr>
          <w:rFonts w:ascii="Georgia" w:cs="Georgia" w:eastAsia="Georgia" w:hAnsi="Georgia"/>
          <w:color w:val="1A1A1A"/>
          <w:sz w:val="21"/>
          <w:szCs w:val="21"/>
        </w:rPr>
        <w:t xml:space="preserve">Revealing a plan early lets rivals counter it — but the book underweights that a reputation for concealment is itself costly. Practical meaning: use selectively, in genuinely adversarial or single-shot situations, not as a default relational style.</w:t>
      </w:r>
    </w:p>
    <w:p>
      <w:pPr>
        <w:spacing w:after="100" w:line="270"/>
      </w:pPr>
      <w:r>
        <w:rPr>
          <w:rFonts w:ascii="Calibri" w:cs="Calibri" w:eastAsia="Calibri" w:hAnsi="Calibri"/>
          <w:b/>
          <w:bCs/>
          <w:color w:val="7A2E2E"/>
          <w:sz w:val="20"/>
          <w:szCs w:val="20"/>
        </w:rPr>
        <w:t xml:space="preserve">10. The laws frequently contradict each other.  </w:t>
      </w:r>
      <w:r>
        <w:rPr>
          <w:rFonts w:ascii="Georgia" w:cs="Georgia" w:eastAsia="Georgia" w:hAnsi="Georgia"/>
          <w:color w:val="1A1A1A"/>
          <w:sz w:val="21"/>
          <w:szCs w:val="21"/>
        </w:rPr>
        <w:t xml:space="preserve">Boldness and caution, concealment and visible action are each recommended elsewhere in the book. Practical meaning: treat this as a toolbox to be applied with situational judgment, not a consistent system to follow uniformly.</w:t>
      </w:r>
    </w:p>
    <w:p>
      <w:pPr>
        <w:spacing w:after="100" w:line="270"/>
      </w:pPr>
      <w:r>
        <w:rPr>
          <w:rFonts w:ascii="Calibri" w:cs="Calibri" w:eastAsia="Calibri" w:hAnsi="Calibri"/>
          <w:b/>
          <w:bCs/>
          <w:color w:val="7A2E2E"/>
          <w:sz w:val="20"/>
          <w:szCs w:val="20"/>
        </w:rPr>
        <w:t xml:space="preserve">11. Historical pattern-matching is suggestive, not proof.  </w:t>
      </w:r>
      <w:r>
        <w:rPr>
          <w:rFonts w:ascii="Georgia" w:cs="Georgia" w:eastAsia="Georgia" w:hAnsi="Georgia"/>
          <w:color w:val="1A1A1A"/>
          <w:sz w:val="21"/>
          <w:szCs w:val="21"/>
        </w:rPr>
        <w:t xml:space="preserve">The book's evidence is illustrative anecdote, not systematic study. Practical meaning: treat each law as a hypothesis worth testing against your own situation, not an established rule.</w:t>
      </w:r>
    </w:p>
    <w:p>
      <w:pPr>
        <w:spacing w:after="100" w:line="270"/>
      </w:pPr>
      <w:r>
        <w:rPr>
          <w:rFonts w:ascii="Calibri" w:cs="Calibri" w:eastAsia="Calibri" w:hAnsi="Calibri"/>
          <w:b/>
          <w:bCs/>
          <w:color w:val="7A2E2E"/>
          <w:sz w:val="20"/>
          <w:szCs w:val="20"/>
        </w:rPr>
        <w:t xml:space="preserve">12. Tactics with high short-term payoff can carry high long-term relational cost.  </w:t>
      </w:r>
      <w:r>
        <w:rPr>
          <w:rFonts w:ascii="Georgia" w:cs="Georgia" w:eastAsia="Georgia" w:hAnsi="Georgia"/>
          <w:color w:val="1A1A1A"/>
          <w:sz w:val="21"/>
          <w:szCs w:val="21"/>
        </w:rPr>
        <w:t xml:space="preserve">Laws involving deception or ruthlessness are evaluated mainly on effectiveness, not on their cost to trust over time. Practical meaning: weigh a tactic's effect on your durable relationships and reputation, not only its immediate outcome.</w:t>
      </w:r>
    </w:p>
    <w:p>
      <w:pPr>
        <w:spacing w:after="100" w:line="270"/>
      </w:pPr>
      <w:r>
        <w:rPr>
          <w:rFonts w:ascii="Calibri" w:cs="Calibri" w:eastAsia="Calibri" w:hAnsi="Calibri"/>
          <w:b/>
          <w:bCs/>
          <w:color w:val="7A2E2E"/>
          <w:sz w:val="20"/>
          <w:szCs w:val="20"/>
        </w:rPr>
        <w:t xml:space="preserve">13. The book is more reliable as a defensive guide than an offensive one.  </w:t>
      </w:r>
      <w:r>
        <w:rPr>
          <w:rFonts w:ascii="Georgia" w:cs="Georgia" w:eastAsia="Georgia" w:hAnsi="Georgia"/>
          <w:color w:val="1A1A1A"/>
          <w:sz w:val="21"/>
          <w:szCs w:val="21"/>
        </w:rPr>
        <w:t xml:space="preserve">Recognizing these tactics when used against you carries less ethical and relational risk than deploying them proactively. Practical meaning: use the framework primarily to notice manipulation, not as a default operating style.</w:t>
      </w:r>
    </w:p>
    <w:p>
      <w:pPr>
        <w:spacing w:after="100" w:line="270"/>
      </w:pPr>
      <w:r>
        <w:rPr>
          <w:rFonts w:ascii="Calibri" w:cs="Calibri" w:eastAsia="Calibri" w:hAnsi="Calibri"/>
          <w:b/>
          <w:bCs/>
          <w:color w:val="7A2E2E"/>
          <w:sz w:val="20"/>
          <w:szCs w:val="20"/>
        </w:rPr>
        <w:t xml:space="preserve">14. Court-style zero-sum thinking doesn't fit every environment.  </w:t>
      </w:r>
      <w:r>
        <w:rPr>
          <w:rFonts w:ascii="Georgia" w:cs="Georgia" w:eastAsia="Georgia" w:hAnsi="Georgia"/>
          <w:color w:val="1A1A1A"/>
          <w:sz w:val="21"/>
          <w:szCs w:val="21"/>
        </w:rPr>
        <w:t xml:space="preserve">Many modern relationships and institutions run on cooperative, repeated-trust dynamics the book's court model does not capture well. Practical meaning: calibrate how much of this framework applies based on whether your actual environment is genuinely adversarial or fundamentally cooperative.</w:t>
      </w:r>
    </w:p>
    <w:p>
      <w:pPr>
        <w:pStyle w:val="Heading1"/>
        <w:pBdr>
          <w:bottom w:val="single" w:color="B5B0A8" w:sz="6" w:space="6"/>
        </w:pBdr>
        <w:spacing w:after="200" w:before="480"/>
      </w:pPr>
      <w:r>
        <w:rPr>
          <w:rFonts w:ascii="Calibri" w:cs="Calibri" w:eastAsia="Calibri" w:hAnsi="Calibri"/>
          <w:b/>
          <w:bCs/>
          <w:color w:val="7A2E2E"/>
          <w:sz w:val="24"/>
          <w:szCs w:val="24"/>
        </w:rPr>
        <w:t xml:space="preserve">13  </w:t>
      </w:r>
      <w:r>
        <w:rPr>
          <w:rFonts w:ascii="Calibri" w:cs="Calibri" w:eastAsia="Calibri" w:hAnsi="Calibri"/>
          <w:b/>
          <w:bCs/>
          <w:color w:val="1A1A1A"/>
          <w:sz w:val="24"/>
          <w:szCs w:val="24"/>
        </w:rPr>
        <w:t xml:space="preserve">The Book in One Mental Model</w:t>
      </w:r>
    </w:p>
    <w:p>
      <w:pPr>
        <w:spacing w:after="200" w:before="100"/>
        <w:jc w:val="center"/>
      </w:pPr>
      <w:r>
        <w:rPr>
          <w:rFonts w:ascii="Calibri" w:cs="Calibri" w:eastAsia="Calibri" w:hAnsi="Calibri"/>
          <w:b/>
          <w:bCs/>
          <w:color w:val="7A2E2E"/>
          <w:sz w:val="20"/>
          <w:szCs w:val="20"/>
        </w:rPr>
        <w:t xml:space="preserve">Social environments are treated as covert competitive arenas (“courts”)</w:t>
      </w:r>
    </w:p>
    <w:p>
      <w:pPr>
        <w:spacing w:after="200" w:before="100"/>
        <w:jc w:val="center"/>
      </w:pPr>
      <w:r>
        <w:rPr>
          <w:rFonts w:ascii="Calibri" w:cs="Calibri" w:eastAsia="Calibri" w:hAnsi="Calibri"/>
          <w:b/>
          <w:bCs/>
          <w:color w:val="7A2E2E"/>
          <w:sz w:val="20"/>
          <w:szCs w:val="20"/>
        </w:rPr>
        <w:t xml:space="preserve">↓</w:t>
      </w:r>
    </w:p>
    <w:p>
      <w:pPr>
        <w:spacing w:after="200" w:before="100"/>
        <w:jc w:val="center"/>
      </w:pPr>
      <w:r>
        <w:rPr>
          <w:rFonts w:ascii="Calibri" w:cs="Calibri" w:eastAsia="Calibri" w:hAnsi="Calibri"/>
          <w:b/>
          <w:bCs/>
          <w:color w:val="7A2E2E"/>
          <w:sz w:val="20"/>
          <w:szCs w:val="20"/>
        </w:rPr>
        <w:t xml:space="preserve">Perception, timing, and emotional control are the primary levers within them</w:t>
      </w:r>
    </w:p>
    <w:p>
      <w:pPr>
        <w:spacing w:after="200" w:before="100"/>
        <w:jc w:val="center"/>
      </w:pPr>
      <w:r>
        <w:rPr>
          <w:rFonts w:ascii="Calibri" w:cs="Calibri" w:eastAsia="Calibri" w:hAnsi="Calibri"/>
          <w:b/>
          <w:bCs/>
          <w:color w:val="7A2E2E"/>
          <w:sz w:val="20"/>
          <w:szCs w:val="20"/>
        </w:rPr>
        <w:t xml:space="preserve">↓</w:t>
      </w:r>
    </w:p>
    <w:p>
      <w:pPr>
        <w:spacing w:after="200" w:before="100"/>
        <w:jc w:val="center"/>
      </w:pPr>
      <w:r>
        <w:rPr>
          <w:rFonts w:ascii="Calibri" w:cs="Calibri" w:eastAsia="Calibri" w:hAnsi="Calibri"/>
          <w:b/>
          <w:bCs/>
          <w:color w:val="7A2E2E"/>
          <w:sz w:val="20"/>
          <w:szCs w:val="20"/>
        </w:rPr>
        <w:t xml:space="preserve">48 historically-derived tactics apply these levers to recurring situations (rivals, superiors, allies, one's own reputation)</w:t>
      </w:r>
    </w:p>
    <w:p>
      <w:pPr>
        <w:spacing w:after="200" w:before="100"/>
        <w:jc w:val="center"/>
      </w:pPr>
      <w:r>
        <w:rPr>
          <w:rFonts w:ascii="Calibri" w:cs="Calibri" w:eastAsia="Calibri" w:hAnsi="Calibri"/>
          <w:b/>
          <w:bCs/>
          <w:color w:val="7A2E2E"/>
          <w:sz w:val="20"/>
          <w:szCs w:val="20"/>
        </w:rPr>
        <w:t xml:space="preserve">↓</w:t>
      </w:r>
    </w:p>
    <w:p>
      <w:pPr>
        <w:spacing w:after="200" w:before="100"/>
        <w:jc w:val="center"/>
      </w:pPr>
      <w:r>
        <w:rPr>
          <w:rFonts w:ascii="Calibri" w:cs="Calibri" w:eastAsia="Calibri" w:hAnsi="Calibri"/>
          <w:b/>
          <w:bCs/>
          <w:color w:val="7A2E2E"/>
          <w:sz w:val="20"/>
          <w:szCs w:val="20"/>
        </w:rPr>
        <w:t xml:space="preserve">Correct, well-timed application shifts relative power in the practitioner's favor</w:t>
      </w:r>
    </w:p>
    <w:p>
      <w:pPr>
        <w:spacing w:after="200" w:before="100"/>
        <w:jc w:val="center"/>
      </w:pPr>
      <w:r>
        <w:rPr>
          <w:rFonts w:ascii="Calibri" w:cs="Calibri" w:eastAsia="Calibri" w:hAnsi="Calibri"/>
          <w:b/>
          <w:bCs/>
          <w:color w:val="7A2E2E"/>
          <w:sz w:val="20"/>
          <w:szCs w:val="20"/>
        </w:rPr>
        <w:t xml:space="preserve">↓</w:t>
      </w:r>
    </w:p>
    <w:p>
      <w:pPr>
        <w:spacing w:after="200" w:before="100"/>
        <w:jc w:val="center"/>
      </w:pPr>
      <w:r>
        <w:rPr>
          <w:rFonts w:ascii="Calibri" w:cs="Calibri" w:eastAsia="Calibri" w:hAnsi="Calibri"/>
          <w:b/>
          <w:bCs/>
          <w:color w:val="7A2E2E"/>
          <w:sz w:val="20"/>
          <w:szCs w:val="20"/>
        </w:rPr>
        <w:t xml:space="preserve">Long-run outcome depends on trade-offs the book itself under-weighs: reputational and relational cost of tactics used</w:t>
      </w:r>
    </w:p>
    <w:p>
      <w:pPr>
        <w:pStyle w:val="Heading1"/>
        <w:pBdr>
          <w:bottom w:val="single" w:color="B5B0A8" w:sz="6" w:space="6"/>
        </w:pBdr>
        <w:spacing w:after="200" w:before="480"/>
      </w:pPr>
      <w:r>
        <w:rPr>
          <w:rFonts w:ascii="Calibri" w:cs="Calibri" w:eastAsia="Calibri" w:hAnsi="Calibri"/>
          <w:b/>
          <w:bCs/>
          <w:color w:val="7A2E2E"/>
          <w:sz w:val="24"/>
          <w:szCs w:val="24"/>
        </w:rPr>
        <w:t xml:space="preserve">14  </w:t>
      </w:r>
      <w:r>
        <w:rPr>
          <w:rFonts w:ascii="Calibri" w:cs="Calibri" w:eastAsia="Calibri" w:hAnsi="Calibri"/>
          <w:b/>
          <w:bCs/>
          <w:color w:val="1A1A1A"/>
          <w:sz w:val="24"/>
          <w:szCs w:val="24"/>
        </w:rPr>
        <w:t xml:space="preserve">What to Remember</w:t>
      </w:r>
    </w:p>
    <w:p>
      <w:pPr>
        <w:pStyle w:val="Heading2"/>
        <w:spacing w:after="120" w:before="300"/>
      </w:pPr>
      <w:r>
        <w:rPr>
          <w:rFonts w:ascii="Calibri" w:cs="Calibri" w:eastAsia="Calibri" w:hAnsi="Calibri"/>
          <w:b/>
          <w:bCs/>
          <w:color w:val="1A1A1A"/>
          <w:sz w:val="21"/>
          <w:szCs w:val="21"/>
        </w:rPr>
        <w:t xml:space="preserve">The 10 Things Worth Remembering</w:t>
      </w:r>
    </w:p>
    <w:p>
      <w:pPr>
        <w:pStyle w:val="ListParagraph"/>
        <w:numPr>
          <w:ilvl w:val="0"/>
          <w:numId w:val="1"/>
        </w:numPr>
        <w:spacing w:after="80" w:line="270"/>
      </w:pPr>
      <w:r>
        <w:rPr>
          <w:rFonts w:ascii="Georgia" w:cs="Georgia" w:eastAsia="Georgia" w:hAnsi="Georgia"/>
          <w:color w:val="1A1A1A"/>
          <w:sz w:val="21"/>
          <w:szCs w:val="21"/>
        </w:rPr>
        <w:t xml:space="preserve">The book models social life as a covert competitive arena (“court politics”), not a cooperative default.</w:t>
      </w:r>
    </w:p>
    <w:p>
      <w:pPr>
        <w:pStyle w:val="ListParagraph"/>
        <w:numPr>
          <w:ilvl w:val="0"/>
          <w:numId w:val="1"/>
        </w:numPr>
        <w:spacing w:after="80" w:line="270"/>
      </w:pPr>
      <w:r>
        <w:rPr>
          <w:rFonts w:ascii="Georgia" w:cs="Georgia" w:eastAsia="Georgia" w:hAnsi="Georgia"/>
          <w:color w:val="1A1A1A"/>
          <w:sz w:val="21"/>
          <w:szCs w:val="21"/>
        </w:rPr>
        <w:t xml:space="preserve">Its central mechanisms are perception management, emotional self-control, and strategic indirection.</w:t>
      </w:r>
    </w:p>
    <w:p>
      <w:pPr>
        <w:pStyle w:val="ListParagraph"/>
        <w:numPr>
          <w:ilvl w:val="0"/>
          <w:numId w:val="1"/>
        </w:numPr>
        <w:spacing w:after="80" w:line="270"/>
      </w:pPr>
      <w:r>
        <w:rPr>
          <w:rFonts w:ascii="Georgia" w:cs="Georgia" w:eastAsia="Georgia" w:hAnsi="Georgia"/>
          <w:color w:val="1A1A1A"/>
          <w:sz w:val="21"/>
          <w:szCs w:val="21"/>
        </w:rPr>
        <w:t xml:space="preserve">The 48 laws are modular and situational, not a sequential system — several directly contradict one another.</w:t>
      </w:r>
    </w:p>
    <w:p>
      <w:pPr>
        <w:pStyle w:val="ListParagraph"/>
        <w:numPr>
          <w:ilvl w:val="0"/>
          <w:numId w:val="1"/>
        </w:numPr>
        <w:spacing w:after="80" w:line="270"/>
      </w:pPr>
      <w:r>
        <w:rPr>
          <w:rFonts w:ascii="Georgia" w:cs="Georgia" w:eastAsia="Georgia" w:hAnsi="Georgia"/>
          <w:color w:val="1A1A1A"/>
          <w:sz w:val="21"/>
          <w:szCs w:val="21"/>
        </w:rPr>
        <w:t xml:space="preserve">Evidence is drawn from selectively chosen historical anecdote, not systematic study — treat the laws as suggestive pattern, not established fact.</w:t>
      </w:r>
    </w:p>
    <w:p>
      <w:pPr>
        <w:pStyle w:val="ListParagraph"/>
        <w:numPr>
          <w:ilvl w:val="0"/>
          <w:numId w:val="1"/>
        </w:numPr>
        <w:spacing w:after="80" w:line="270"/>
      </w:pPr>
      <w:r>
        <w:rPr>
          <w:rFonts w:ascii="Georgia" w:cs="Georgia" w:eastAsia="Georgia" w:hAnsi="Georgia"/>
          <w:color w:val="1A1A1A"/>
          <w:sz w:val="21"/>
          <w:szCs w:val="21"/>
        </w:rPr>
        <w:t xml:space="preserve">The book's stated stance is amoral and descriptive, though its imperative writing style functions prescriptively in practice.</w:t>
      </w:r>
    </w:p>
    <w:p>
      <w:pPr>
        <w:pStyle w:val="ListParagraph"/>
        <w:numPr>
          <w:ilvl w:val="0"/>
          <w:numId w:val="1"/>
        </w:numPr>
        <w:spacing w:after="80" w:line="270"/>
      </w:pPr>
      <w:r>
        <w:rPr>
          <w:rFonts w:ascii="Georgia" w:cs="Georgia" w:eastAsia="Georgia" w:hAnsi="Georgia"/>
          <w:color w:val="1A1A1A"/>
          <w:sz w:val="21"/>
          <w:szCs w:val="21"/>
        </w:rPr>
        <w:t xml:space="preserve">Reputation is treated as an actively managed strategic asset, not a passive by-product of behavior.</w:t>
      </w:r>
    </w:p>
    <w:p>
      <w:pPr>
        <w:pStyle w:val="ListParagraph"/>
        <w:numPr>
          <w:ilvl w:val="0"/>
          <w:numId w:val="1"/>
        </w:numPr>
        <w:spacing w:after="80" w:line="270"/>
      </w:pPr>
      <w:r>
        <w:rPr>
          <w:rFonts w:ascii="Georgia" w:cs="Georgia" w:eastAsia="Georgia" w:hAnsi="Georgia"/>
          <w:color w:val="1A1A1A"/>
          <w:sz w:val="21"/>
          <w:szCs w:val="21"/>
        </w:rPr>
        <w:t xml:space="preserve">Emotional detachment is presented as strategically advantageous, with its psychological and relational costs largely unaddressed.</w:t>
      </w:r>
    </w:p>
    <w:p>
      <w:pPr>
        <w:pStyle w:val="ListParagraph"/>
        <w:numPr>
          <w:ilvl w:val="0"/>
          <w:numId w:val="1"/>
        </w:numPr>
        <w:spacing w:after="80" w:line="270"/>
      </w:pPr>
      <w:r>
        <w:rPr>
          <w:rFonts w:ascii="Georgia" w:cs="Georgia" w:eastAsia="Georgia" w:hAnsi="Georgia"/>
          <w:color w:val="1A1A1A"/>
          <w:sz w:val="21"/>
          <w:szCs w:val="21"/>
        </w:rPr>
        <w:t xml:space="preserve">The framework fits adversarial, zero-sum, high-stakes environments better than cooperative, trust-based, repeated-interaction ones.</w:t>
      </w:r>
    </w:p>
    <w:p>
      <w:pPr>
        <w:pStyle w:val="ListParagraph"/>
        <w:numPr>
          <w:ilvl w:val="0"/>
          <w:numId w:val="1"/>
        </w:numPr>
        <w:spacing w:after="80" w:line="270"/>
      </w:pPr>
      <w:r>
        <w:rPr>
          <w:rFonts w:ascii="Georgia" w:cs="Georgia" w:eastAsia="Georgia" w:hAnsi="Georgia"/>
          <w:color w:val="1A1A1A"/>
          <w:sz w:val="21"/>
          <w:szCs w:val="21"/>
        </w:rPr>
        <w:t xml:space="preserve">The most defensible use of the book is diagnostic — recognizing these tactics when used by others — rather than as a default offensive playbook.</w:t>
      </w:r>
    </w:p>
    <w:p>
      <w:pPr>
        <w:pStyle w:val="ListParagraph"/>
        <w:numPr>
          <w:ilvl w:val="0"/>
          <w:numId w:val="1"/>
        </w:numPr>
        <w:spacing w:after="80" w:line="270"/>
      </w:pPr>
      <w:r>
        <w:rPr>
          <w:rFonts w:ascii="Georgia" w:cs="Georgia" w:eastAsia="Georgia" w:hAnsi="Georgia"/>
          <w:color w:val="1A1A1A"/>
          <w:sz w:val="21"/>
          <w:szCs w:val="21"/>
        </w:rPr>
        <w:t xml:space="preserve">Several tactics carry real relational, reputational, and in some contexts legal or professional risk that the book does not weigh against their tactical effectiveness.</w:t>
      </w:r>
    </w:p>
    <w:p>
      <w:pPr>
        <w:pStyle w:val="Heading2"/>
        <w:spacing w:after="120" w:before="300"/>
      </w:pPr>
      <w:r>
        <w:rPr>
          <w:rFonts w:ascii="Calibri" w:cs="Calibri" w:eastAsia="Calibri" w:hAnsi="Calibri"/>
          <w:b/>
          <w:bCs/>
          <w:color w:val="1A1A1A"/>
          <w:sz w:val="21"/>
          <w:szCs w:val="21"/>
        </w:rPr>
        <w:t xml:space="preserve">Structure-to-Concept Map (abbreviated)</w:t>
      </w:r>
    </w:p>
    <w:p>
      <w:pPr>
        <w:spacing w:after="140" w:line="276"/>
      </w:pPr>
      <w:r>
        <w:rPr>
          <w:rFonts w:ascii="Georgia" w:cs="Georgia" w:eastAsia="Georgia" w:hAnsi="Georgia"/>
          <w:color w:val="1A1A1A"/>
          <w:sz w:val="21"/>
          <w:szCs w:val="21"/>
        </w:rPr>
        <w:t xml:space="preserve">The book has no chapter structure in the conventional sense — it consists of 48 standalone laws, each with the same internal format (judgment, transgression, keys to power, historical examples, reversal). The map below groups representative laws by the underlying mechanism they primarily serve.</w:t>
      </w:r>
    </w:p>
    <w:tbl>
      <w:tblPr>
        <w:tblW w:type="dxa" w:w="9360"/>
        <w:tblBorders>
          <w:top w:val="single" w:color="B5B0A8" w:sz="4"/>
          <w:left w:val="single" w:color="B5B0A8" w:sz="4"/>
          <w:bottom w:val="single" w:color="B5B0A8" w:sz="4"/>
          <w:right w:val="single" w:color="B5B0A8" w:sz="4"/>
          <w:insideH w:val="single" w:color="B5B0A8" w:sz="2"/>
          <w:insideV w:val="single" w:color="B5B0A8" w:sz="2"/>
        </w:tblBorders>
      </w:tblPr>
      <w:tblGrid>
        <w:gridCol w:w="3200"/>
        <w:gridCol w:w="6160"/>
      </w:tblGrid>
      <w:tr>
        <w:trPr>
          <w:tblHeader/>
        </w:trPr>
        <w:tc>
          <w:tcPr>
            <w:tcW w:type="dxa" w:w="32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Underlying mechanism</w:t>
            </w:r>
          </w:p>
        </w:tc>
        <w:tc>
          <w:tcPr>
            <w:tcW w:type="dxa" w:w="616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Representative laws (illustrative, not exhaustive)</w:t>
            </w:r>
          </w:p>
        </w:tc>
      </w:tr>
      <w:tr>
        <w:tc>
          <w:tcPr>
            <w:tcW w:type="dxa" w:w="3200"/>
            <w:shd w:fill="FFFFFF" w:val="clear"/>
            <w:tcMar>
              <w:top w:type="dxa" w:w="90"/>
              <w:left w:type="dxa" w:w="120"/>
              <w:bottom w:type="dxa" w:w="90"/>
              <w:right w:type="dxa" w:w="120"/>
            </w:tcMar>
          </w:tcPr>
          <w:p>
            <w:r>
              <w:rPr>
                <w:rFonts w:ascii="Georgia" w:cs="Georgia" w:eastAsia="Georgia" w:hAnsi="Georgia"/>
                <w:color w:val="1A1A1A"/>
                <w:sz w:val="19"/>
                <w:szCs w:val="19"/>
              </w:rPr>
              <w:t xml:space="preserve">Perception management</w:t>
            </w:r>
          </w:p>
        </w:tc>
        <w:tc>
          <w:tcPr>
            <w:tcW w:type="dxa" w:w="6160"/>
            <w:shd w:fill="FFFFFF" w:val="clear"/>
            <w:tcMar>
              <w:top w:type="dxa" w:w="90"/>
              <w:left w:type="dxa" w:w="120"/>
              <w:bottom w:type="dxa" w:w="90"/>
              <w:right w:type="dxa" w:w="120"/>
            </w:tcMar>
          </w:tcPr>
          <w:p>
            <w:r>
              <w:rPr>
                <w:rFonts w:ascii="Georgia" w:cs="Georgia" w:eastAsia="Georgia" w:hAnsi="Georgia"/>
                <w:color w:val="1A1A1A"/>
                <w:sz w:val="19"/>
                <w:szCs w:val="19"/>
              </w:rPr>
              <w:t xml:space="preserve">Law 1 (Never outshine the master); Law 4 (Always say less than necessary); Law 25 (Re-create yourself)</w:t>
            </w:r>
          </w:p>
        </w:tc>
      </w:tr>
      <w:tr>
        <w:tc>
          <w:tcPr>
            <w:tcW w:type="dxa" w:w="3200"/>
            <w:shd w:fill="F7F5F1" w:val="clear"/>
            <w:tcMar>
              <w:top w:type="dxa" w:w="90"/>
              <w:left w:type="dxa" w:w="120"/>
              <w:bottom w:type="dxa" w:w="90"/>
              <w:right w:type="dxa" w:w="120"/>
            </w:tcMar>
          </w:tcPr>
          <w:p>
            <w:r>
              <w:rPr>
                <w:rFonts w:ascii="Georgia" w:cs="Georgia" w:eastAsia="Georgia" w:hAnsi="Georgia"/>
                <w:color w:val="1A1A1A"/>
                <w:sz w:val="19"/>
                <w:szCs w:val="19"/>
              </w:rPr>
              <w:t xml:space="preserve">Concealment / indirection</w:t>
            </w:r>
          </w:p>
        </w:tc>
        <w:tc>
          <w:tcPr>
            <w:tcW w:type="dxa" w:w="6160"/>
            <w:shd w:fill="F7F5F1" w:val="clear"/>
            <w:tcMar>
              <w:top w:type="dxa" w:w="90"/>
              <w:left w:type="dxa" w:w="120"/>
              <w:bottom w:type="dxa" w:w="90"/>
              <w:right w:type="dxa" w:w="120"/>
            </w:tcMar>
          </w:tcPr>
          <w:p>
            <w:r>
              <w:rPr>
                <w:rFonts w:ascii="Georgia" w:cs="Georgia" w:eastAsia="Georgia" w:hAnsi="Georgia"/>
                <w:color w:val="1A1A1A"/>
                <w:sz w:val="19"/>
                <w:szCs w:val="19"/>
              </w:rPr>
              <w:t xml:space="preserve">Law 3 (Conceal your intentions); Law 12 (Use selective honesty and generosity); Law 17 (Cultivate an air of unpredictability)</w:t>
            </w:r>
          </w:p>
        </w:tc>
      </w:tr>
      <w:tr>
        <w:tc>
          <w:tcPr>
            <w:tcW w:type="dxa" w:w="3200"/>
            <w:shd w:fill="FFFFFF" w:val="clear"/>
            <w:tcMar>
              <w:top w:type="dxa" w:w="90"/>
              <w:left w:type="dxa" w:w="120"/>
              <w:bottom w:type="dxa" w:w="90"/>
              <w:right w:type="dxa" w:w="120"/>
            </w:tcMar>
          </w:tcPr>
          <w:p>
            <w:r>
              <w:rPr>
                <w:rFonts w:ascii="Georgia" w:cs="Georgia" w:eastAsia="Georgia" w:hAnsi="Georgia"/>
                <w:color w:val="1A1A1A"/>
                <w:sz w:val="19"/>
                <w:szCs w:val="19"/>
              </w:rPr>
              <w:t xml:space="preserve">Reputation and status management</w:t>
            </w:r>
          </w:p>
        </w:tc>
        <w:tc>
          <w:tcPr>
            <w:tcW w:type="dxa" w:w="6160"/>
            <w:shd w:fill="FFFFFF" w:val="clear"/>
            <w:tcMar>
              <w:top w:type="dxa" w:w="90"/>
              <w:left w:type="dxa" w:w="120"/>
              <w:bottom w:type="dxa" w:w="90"/>
              <w:right w:type="dxa" w:w="120"/>
            </w:tcMar>
          </w:tcPr>
          <w:p>
            <w:r>
              <w:rPr>
                <w:rFonts w:ascii="Georgia" w:cs="Georgia" w:eastAsia="Georgia" w:hAnsi="Georgia"/>
                <w:color w:val="1A1A1A"/>
                <w:sz w:val="19"/>
                <w:szCs w:val="19"/>
              </w:rPr>
              <w:t xml:space="preserve">Law 5 (So much depends on reputation); Law 6 (Court attention at all cost); Law 34 (Be royal in your own fashion)</w:t>
            </w:r>
          </w:p>
        </w:tc>
      </w:tr>
      <w:tr>
        <w:tc>
          <w:tcPr>
            <w:tcW w:type="dxa" w:w="3200"/>
            <w:shd w:fill="F7F5F1" w:val="clear"/>
            <w:tcMar>
              <w:top w:type="dxa" w:w="90"/>
              <w:left w:type="dxa" w:w="120"/>
              <w:bottom w:type="dxa" w:w="90"/>
              <w:right w:type="dxa" w:w="120"/>
            </w:tcMar>
          </w:tcPr>
          <w:p>
            <w:r>
              <w:rPr>
                <w:rFonts w:ascii="Georgia" w:cs="Georgia" w:eastAsia="Georgia" w:hAnsi="Georgia"/>
                <w:color w:val="1A1A1A"/>
                <w:sz w:val="19"/>
                <w:szCs w:val="19"/>
              </w:rPr>
              <w:t xml:space="preserve">Timing, patience, and positioning</w:t>
            </w:r>
          </w:p>
        </w:tc>
        <w:tc>
          <w:tcPr>
            <w:tcW w:type="dxa" w:w="6160"/>
            <w:shd w:fill="F7F5F1" w:val="clear"/>
            <w:tcMar>
              <w:top w:type="dxa" w:w="90"/>
              <w:left w:type="dxa" w:w="120"/>
              <w:bottom w:type="dxa" w:w="90"/>
              <w:right w:type="dxa" w:w="120"/>
            </w:tcMar>
          </w:tcPr>
          <w:p>
            <w:r>
              <w:rPr>
                <w:rFonts w:ascii="Georgia" w:cs="Georgia" w:eastAsia="Georgia" w:hAnsi="Georgia"/>
                <w:color w:val="1A1A1A"/>
                <w:sz w:val="19"/>
                <w:szCs w:val="19"/>
              </w:rPr>
              <w:t xml:space="preserve">Law 16 (Use absence to increase respect); Law 35 (Master the art of timing)</w:t>
            </w:r>
          </w:p>
        </w:tc>
      </w:tr>
      <w:tr>
        <w:tc>
          <w:tcPr>
            <w:tcW w:type="dxa" w:w="3200"/>
            <w:shd w:fill="FFFFFF" w:val="clear"/>
            <w:tcMar>
              <w:top w:type="dxa" w:w="90"/>
              <w:left w:type="dxa" w:w="120"/>
              <w:bottom w:type="dxa" w:w="90"/>
              <w:right w:type="dxa" w:w="120"/>
            </w:tcMar>
          </w:tcPr>
          <w:p>
            <w:r>
              <w:rPr>
                <w:rFonts w:ascii="Georgia" w:cs="Georgia" w:eastAsia="Georgia" w:hAnsi="Georgia"/>
                <w:color w:val="1A1A1A"/>
                <w:sz w:val="19"/>
                <w:szCs w:val="19"/>
              </w:rPr>
              <w:t xml:space="preserve">Handling rivals and conflict</w:t>
            </w:r>
          </w:p>
        </w:tc>
        <w:tc>
          <w:tcPr>
            <w:tcW w:type="dxa" w:w="6160"/>
            <w:shd w:fill="FFFFFF" w:val="clear"/>
            <w:tcMar>
              <w:top w:type="dxa" w:w="90"/>
              <w:left w:type="dxa" w:w="120"/>
              <w:bottom w:type="dxa" w:w="90"/>
              <w:right w:type="dxa" w:w="120"/>
            </w:tcMar>
          </w:tcPr>
          <w:p>
            <w:r>
              <w:rPr>
                <w:rFonts w:ascii="Georgia" w:cs="Georgia" w:eastAsia="Georgia" w:hAnsi="Georgia"/>
                <w:color w:val="1A1A1A"/>
                <w:sz w:val="19"/>
                <w:szCs w:val="19"/>
              </w:rPr>
              <w:t xml:space="preserve">Law 2 (Never put too much trust in friends); Law 15 (Crush your enemy totally); Law 19 (Know who you're dealing with)</w:t>
            </w:r>
          </w:p>
        </w:tc>
      </w:tr>
    </w:tbl>
    <w:p>
      <w:pPr>
        <w:pStyle w:val="Heading1"/>
        <w:pBdr>
          <w:bottom w:val="single" w:color="B5B0A8" w:sz="6" w:space="6"/>
        </w:pBdr>
        <w:spacing w:after="200" w:before="480"/>
      </w:pPr>
      <w:r>
        <w:rPr>
          <w:rFonts w:ascii="Calibri" w:cs="Calibri" w:eastAsia="Calibri" w:hAnsi="Calibri"/>
          <w:b/>
          <w:bCs/>
          <w:color w:val="7A2E2E"/>
          <w:sz w:val="24"/>
          <w:szCs w:val="24"/>
        </w:rPr>
        <w:t xml:space="preserve">15  </w:t>
      </w:r>
      <w:r>
        <w:rPr>
          <w:rFonts w:ascii="Calibri" w:cs="Calibri" w:eastAsia="Calibri" w:hAnsi="Calibri"/>
          <w:b/>
          <w:bCs/>
          <w:color w:val="1A1A1A"/>
          <w:sz w:val="24"/>
          <w:szCs w:val="24"/>
        </w:rPr>
        <w:t xml:space="preserve">Final Assessment</w:t>
      </w:r>
    </w:p>
    <w:tbl>
      <w:tblPr>
        <w:tblW w:type="dxa" w:w="9360"/>
        <w:tblBorders>
          <w:top w:val="single" w:color="B5B0A8" w:sz="4"/>
          <w:left w:val="single" w:color="B5B0A8" w:sz="4"/>
          <w:bottom w:val="single" w:color="B5B0A8" w:sz="4"/>
          <w:right w:val="single" w:color="B5B0A8" w:sz="4"/>
          <w:insideH w:val="single" w:color="B5B0A8" w:sz="2"/>
          <w:insideV w:val="single" w:color="B5B0A8" w:sz="2"/>
        </w:tblBorders>
      </w:tblPr>
      <w:tblGrid>
        <w:gridCol w:w="4680"/>
        <w:gridCol w:w="4680"/>
      </w:tblGrid>
      <w:tr>
        <w:trPr>
          <w:tblHeader/>
        </w:trPr>
        <w:tc>
          <w:tcPr>
            <w:tcW w:type="dxa" w:w="468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Dimension</w:t>
            </w:r>
          </w:p>
        </w:tc>
        <w:tc>
          <w:tcPr>
            <w:tcW w:type="dxa" w:w="468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Score</w:t>
            </w:r>
          </w:p>
        </w:tc>
      </w:tr>
      <w:tr>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Intellectual depth</w:t>
            </w:r>
          </w:p>
        </w:tc>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5 / 10</w:t>
            </w:r>
          </w:p>
        </w:tc>
      </w:tr>
      <w:tr>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Practical usefulness</w:t>
            </w:r>
          </w:p>
        </w:tc>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6 / 10</w:t>
            </w:r>
          </w:p>
        </w:tc>
      </w:tr>
      <w:tr>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Evidence quality</w:t>
            </w:r>
          </w:p>
        </w:tc>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3 / 10</w:t>
            </w:r>
          </w:p>
        </w:tc>
      </w:tr>
      <w:tr>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Originality</w:t>
            </w:r>
          </w:p>
        </w:tc>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6 / 10</w:t>
            </w:r>
          </w:p>
        </w:tc>
      </w:tr>
      <w:tr>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Modern relevance</w:t>
            </w:r>
          </w:p>
        </w:tc>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6 / 10</w:t>
            </w:r>
          </w:p>
        </w:tc>
      </w:tr>
      <w:tr>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Overall value</w:t>
            </w:r>
          </w:p>
        </w:tc>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6 / 10</w:t>
            </w:r>
          </w:p>
        </w:tc>
      </w:tr>
    </w:tbl>
    <w:p>
      <w:pPr>
        <w:spacing w:after="0" w:before="220"/>
      </w:pPr>
    </w:p>
    <w:p>
      <w:pPr>
        <w:spacing w:after="100" w:line="270"/>
      </w:pPr>
      <w:r>
        <w:rPr>
          <w:rFonts w:ascii="Calibri" w:cs="Calibri" w:eastAsia="Calibri" w:hAnsi="Calibri"/>
          <w:b/>
          <w:bCs/>
          <w:color w:val="7A2E2E"/>
          <w:sz w:val="20"/>
          <w:szCs w:val="20"/>
        </w:rPr>
        <w:t xml:space="preserve">Who should read this book:  </w:t>
      </w:r>
      <w:r>
        <w:rPr>
          <w:rFonts w:ascii="Georgia" w:cs="Georgia" w:eastAsia="Georgia" w:hAnsi="Georgia"/>
          <w:color w:val="1A1A1A"/>
          <w:sz w:val="21"/>
          <w:szCs w:val="21"/>
        </w:rPr>
        <w:t xml:space="preserve">Readers who want a historically framed vocabulary for recognizing status games, perception management, and strategic maneuvering — particularly useful defensively, to identify when such tactics are being used against them, and in genuinely adversarial or high-stakes political/organizational environments.</w:t>
      </w:r>
    </w:p>
    <w:p>
      <w:pPr>
        <w:spacing w:after="100" w:line="270"/>
      </w:pPr>
      <w:r>
        <w:rPr>
          <w:rFonts w:ascii="Calibri" w:cs="Calibri" w:eastAsia="Calibri" w:hAnsi="Calibri"/>
          <w:b/>
          <w:bCs/>
          <w:color w:val="7A2E2E"/>
          <w:sz w:val="20"/>
          <w:szCs w:val="20"/>
        </w:rPr>
        <w:t xml:space="preserve">Who probably doesn't need to read it:  </w:t>
      </w:r>
      <w:r>
        <w:rPr>
          <w:rFonts w:ascii="Georgia" w:cs="Georgia" w:eastAsia="Georgia" w:hAnsi="Georgia"/>
          <w:color w:val="1A1A1A"/>
          <w:sz w:val="21"/>
          <w:szCs w:val="21"/>
        </w:rPr>
        <w:t xml:space="preserve">Readers seeking rigorously evidenced guidance on influence or negotiation (better served by empirical negotiation and organizational-behavior literature), or readers operating primarily in cooperative, trust-dependent relationships and institutions, where the book's zero-sum court model and several of its specific tactics are a poor fit and carry real relational risk if applied uncritically.</w:t>
      </w:r>
    </w:p>
    <w:p>
      <w:pPr>
        <w:pBdr>
          <w:top w:val="single" w:color="B5B0A8" w:sz="4" w:space="8"/>
        </w:pBdr>
        <w:spacing w:before="300"/>
      </w:pPr>
      <w:r>
        <w:rPr>
          <w:rFonts w:ascii="Calibri" w:cs="Calibri" w:eastAsia="Calibri" w:hAnsi="Calibri"/>
          <w:i/>
          <w:iCs/>
          <w:color w:val="5A5A5A"/>
          <w:sz w:val="17"/>
          <w:szCs w:val="17"/>
        </w:rPr>
        <w:t xml:space="preserve">End of guide.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B0A8" w:sz="4" w:space="4"/>
      </w:pBdr>
      <w:jc w:val="center"/>
    </w:pPr>
    <w:r>
      <w:rPr>
        <w:rFonts w:ascii="Calibri" w:cs="Calibri" w:eastAsia="Calibri" w:hAnsi="Calibri"/>
        <w:color w:val="5A5A5A"/>
        <w:sz w:val="15"/>
        <w:szCs w:val="15"/>
      </w:rPr>
      <w:t xml:space="preserve">Robert Greene  ·  Compressed Knowledge System  ·  </w:t>
    </w:r>
    <w:r>
      <w:rPr>
        <w:rFonts w:ascii="Calibri" w:cs="Calibri" w:eastAsia="Calibri" w:hAnsi="Calibri"/>
        <w:color w:val="5A5A5A"/>
        <w:sz w:val="15"/>
        <w:szCs w:val="15"/>
      </w:rPr>
      <w:fldChar w:fldCharType="begin"/>
      <w:instrText xml:space="preserve">PAGE</w:instrText>
      <w:fldChar w:fldCharType="separate"/>
      <w:fldChar w:fldCharType="end"/>
    </w:r>
    <w:r>
      <w:rPr>
        <w:rFonts w:ascii="Calibri" w:cs="Calibri" w:eastAsia="Calibri" w:hAnsi="Calibri"/>
        <w:color w:val="5A5A5A"/>
        <w:sz w:val="15"/>
        <w:szCs w:val="15"/>
      </w:rPr>
      <w:t xml:space="preserve"> / </w:t>
    </w:r>
    <w:r>
      <w:rPr>
        <w:rFonts w:ascii="Calibri" w:cs="Calibri" w:eastAsia="Calibri" w:hAnsi="Calibri"/>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B0A8" w:sz="4" w:space="4"/>
      </w:pBdr>
      <w:jc w:val="right"/>
    </w:pPr>
    <w:r>
      <w:rPr>
        <w:rFonts w:ascii="Calibri" w:cs="Calibri" w:eastAsia="Calibri" w:hAnsi="Calibri"/>
        <w:color w:val="5A5A5A"/>
        <w:spacing w:val="10"/>
        <w:sz w:val="15"/>
        <w:szCs w:val="15"/>
      </w:rPr>
      <w:t xml:space="preserve">THE 48 LAWS OF POWER — A CRITICAL PRACTICAL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2026-08-12T22:42:42.836Z</dcterms:created>
  <dcterms:modified xsi:type="dcterms:W3CDTF">2026-08-12T22:42:42.850Z</dcterms:modified>
</cp:coreProperties>
</file>

<file path=docProps/custom.xml><?xml version="1.0" encoding="utf-8"?>
<Properties xmlns="http://schemas.openxmlformats.org/officeDocument/2006/custom-properties" xmlns:vt="http://schemas.openxmlformats.org/officeDocument/2006/docPropsVTypes"/>
</file>