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Cambria" w:cs="Cambria" w:eastAsia="Cambria" w:hAnsi="Cambria"/>
          <w:b/>
          <w:bCs/>
          <w:color w:val="1A1A1A"/>
          <w:spacing w:val="10"/>
          <w:sz w:val="46"/>
          <w:szCs w:val="46"/>
        </w:rPr>
        <w:t xml:space="preserve">INFLUENCE: THE PSYCHOLOGY OF PERSUASION</w:t>
      </w:r>
    </w:p>
    <w:p>
      <w:pPr>
        <w:pBdr>
          <w:bottom w:val="single" w:color="6B2C2C" w:sz="6" w:space="8"/>
        </w:pBdr>
        <w:spacing w:after="300" w:before="0"/>
      </w:pPr>
      <w:r>
        <w:rPr>
          <w:rFonts w:ascii="Calibri" w:cs="Calibri" w:eastAsia="Calibri" w:hAnsi="Calibri"/>
          <w:b w:val="false"/>
          <w:bCs w:val="false"/>
          <w:i w:val="false"/>
          <w:iCs w:val="false"/>
          <w:color w:val="6B2C2C"/>
          <w:spacing w:val="24"/>
          <w:sz w:val="22"/>
          <w:szCs w:val="22"/>
        </w:rPr>
        <w:t xml:space="preserve">A CRITICAL PRACTICAL GUIDE</w:t>
      </w:r>
    </w:p>
    <w:p>
      <w:pPr>
        <w:spacing w:after="60" w:before="0"/>
      </w:pPr>
      <w:r>
        <w:rPr>
          <w:rFonts w:ascii="Calibri" w:cs="Calibri" w:eastAsia="Calibri" w:hAnsi="Calibri"/>
          <w:b/>
          <w:bCs/>
          <w:color w:val="757575"/>
          <w:spacing w:val="8"/>
          <w:sz w:val="18"/>
          <w:szCs w:val="18"/>
        </w:rPr>
        <w:t xml:space="preserve">AUTHOR   </w:t>
      </w:r>
      <w:r>
        <w:rPr>
          <w:rFonts w:ascii="Cambria" w:cs="Cambria" w:eastAsia="Cambria" w:hAnsi="Cambria"/>
          <w:color w:val="4A4A4A"/>
          <w:sz w:val="21"/>
          <w:szCs w:val="21"/>
        </w:rPr>
        <w:t xml:space="preserve">Robert B. Cialdini</w:t>
      </w:r>
    </w:p>
    <w:p>
      <w:pPr>
        <w:spacing w:after="60" w:before="0"/>
      </w:pPr>
      <w:r>
        <w:rPr>
          <w:rFonts w:ascii="Calibri" w:cs="Calibri" w:eastAsia="Calibri" w:hAnsi="Calibri"/>
          <w:b/>
          <w:bCs/>
          <w:color w:val="757575"/>
          <w:spacing w:val="8"/>
          <w:sz w:val="18"/>
          <w:szCs w:val="18"/>
        </w:rPr>
        <w:t xml:space="preserve">ORIGINAL PUBLICATION   </w:t>
      </w:r>
      <w:r>
        <w:rPr>
          <w:rFonts w:ascii="Cambria" w:cs="Cambria" w:eastAsia="Cambria" w:hAnsi="Cambria"/>
          <w:color w:val="4A4A4A"/>
          <w:sz w:val="21"/>
          <w:szCs w:val="21"/>
        </w:rPr>
        <w:t xml:space="preserve">1984 (revised &amp; expanded edition, 2021)</w:t>
      </w:r>
    </w:p>
    <w:p>
      <w:pPr>
        <w:spacing w:after="60" w:before="0"/>
      </w:pPr>
      <w:r>
        <w:rPr>
          <w:rFonts w:ascii="Calibri" w:cs="Calibri" w:eastAsia="Calibri" w:hAnsi="Calibri"/>
          <w:b/>
          <w:bCs/>
          <w:color w:val="757575"/>
          <w:spacing w:val="8"/>
          <w:sz w:val="18"/>
          <w:szCs w:val="18"/>
        </w:rPr>
        <w:t xml:space="preserve">GENRE   </w:t>
      </w:r>
      <w:r>
        <w:rPr>
          <w:rFonts w:ascii="Cambria" w:cs="Cambria" w:eastAsia="Cambria" w:hAnsi="Cambria"/>
          <w:color w:val="4A4A4A"/>
          <w:sz w:val="21"/>
          <w:szCs w:val="21"/>
        </w:rPr>
        <w:t xml:space="preserve">Applied social psychology / behavioral science</w:t>
      </w:r>
    </w:p>
    <w:p>
      <w:pPr>
        <w:spacing w:after="60" w:before="0"/>
      </w:pPr>
      <w:r>
        <w:rPr>
          <w:rFonts w:ascii="Calibri" w:cs="Calibri" w:eastAsia="Calibri" w:hAnsi="Calibri"/>
          <w:b/>
          <w:bCs/>
          <w:color w:val="757575"/>
          <w:spacing w:val="8"/>
          <w:sz w:val="18"/>
          <w:szCs w:val="18"/>
        </w:rPr>
        <w:t xml:space="preserve">CORE SUBJECT   </w:t>
      </w:r>
      <w:r>
        <w:rPr>
          <w:rFonts w:ascii="Cambria" w:cs="Cambria" w:eastAsia="Cambria" w:hAnsi="Cambria"/>
          <w:color w:val="4A4A4A"/>
          <w:sz w:val="21"/>
          <w:szCs w:val="21"/>
        </w:rPr>
        <w:t xml:space="preserve">The automatic psychological triggers that produce compliance, and how they are systematically exploited</w:t>
      </w:r>
    </w:p>
    <w:p>
      <w:pPr>
        <w:spacing w:after="0" w:before="0"/>
      </w:pPr>
      <w:r>
        <w:rPr>
          <w:sz w:val="2"/>
          <w:szCs w:val="2"/>
        </w:rPr>
        <w:t xml:space="preserve"/>
      </w:r>
    </w:p>
    <w:p>
      <w:pPr>
        <w:pBdr>
          <w:bottom w:val="single" w:color="C9C7C2" w:sz="3" w:space="1"/>
        </w:pBdr>
        <w:spacing w:after="260" w:before="260"/>
      </w:pPr>
      <w:r>
        <w:rPr>
          <w:sz w:val="2"/>
          <w:szCs w:val="2"/>
        </w:rPr>
        <w:t xml:space="preserve"/>
      </w:r>
    </w:p>
    <w:p>
      <w:pPr>
        <w:pStyle w:val="Heading1"/>
        <w:keepNext/>
        <w:pBdr>
          <w:bottom w:val="single" w:color="C9C7C2" w:sz="4" w:space="6"/>
        </w:pBdr>
        <w:spacing w:after="200" w:before="480"/>
      </w:pPr>
      <w:r>
        <w:rPr>
          <w:rFonts w:ascii="Cambria" w:cs="Cambria" w:eastAsia="Cambria" w:hAnsi="Cambria"/>
          <w:b/>
          <w:bCs/>
          <w:color w:val="6B2C2C"/>
          <w:sz w:val="30"/>
          <w:szCs w:val="30"/>
        </w:rPr>
        <w:t xml:space="preserve">1  </w:t>
      </w:r>
      <w:r>
        <w:rPr>
          <w:rFonts w:ascii="Cambria" w:cs="Cambria" w:eastAsia="Cambria" w:hAnsi="Cambria"/>
          <w:b/>
          <w:bCs/>
          <w:color w:val="1A1A1A"/>
          <w:sz w:val="30"/>
          <w:szCs w:val="30"/>
        </w:rPr>
        <w:t xml:space="preserve">Executive Thesis</w:t>
      </w:r>
    </w:p>
    <w:p>
      <w:pPr>
        <w:spacing w:after="160" w:before="0" w:line="288"/>
        <w:jc w:val="left"/>
      </w:pPr>
      <w:r>
        <w:rPr>
          <w:rFonts w:ascii="Cambria" w:cs="Cambria" w:eastAsia="Cambria" w:hAnsi="Cambria"/>
          <w:color w:val="4A4A4A"/>
          <w:sz w:val="21"/>
          <w:szCs w:val="21"/>
        </w:rPr>
        <w:t xml:space="preserve">Cialdini's central claim is that human compliance — saying yes to requests — is often governed not by deliberate reasoning but by automatic, reflexive responses to specific trigger features in a situation. Modern life is too complex and information-dense for careful evaluation of every decision, so people rely on mental shortcuts (heuristics) that are normally reliable: reciprocate favors, stay consistent with prior commitments, follow the crowd, trust people we like, defer to authority, value what is scarce, and favor those who share our identity. These shortcuts evolved because they usually produce good outcomes for low cognitive cost.</w:t>
      </w:r>
    </w:p>
    <w:p>
      <w:pPr>
        <w:spacing w:after="160" w:before="0" w:line="288"/>
        <w:jc w:val="left"/>
      </w:pPr>
      <w:r>
        <w:rPr>
          <w:rFonts w:ascii="Cambria" w:cs="Cambria" w:eastAsia="Cambria" w:hAnsi="Cambria"/>
          <w:color w:val="4A4A4A"/>
          <w:sz w:val="21"/>
          <w:szCs w:val="21"/>
        </w:rPr>
        <w:t xml:space="preserve">The book's real subject is the systematic exploitation of these shortcuts by what Cialdini calls “compliance professionals” — salespeople, fundraisers, cult recruiters, negotiators — who have empirically discovered and now deploy these triggers deliberately, often stripped of the conditions that made the underlying heuristic trustworthy. Cialdini's stated purpose is defensive: expose the mechanics so readers can recognize a trigger firing independent of a request's actual merits, and refuse or self-correct accordingly. In practice the book functions as both a field manual (readers routinely apply it offensively, in sales and marketing) and a warning system against manipulation — a duality Cialdini acknowledges only partially.</w:t>
      </w:r>
    </w:p>
    <w:p>
      <w:pPr>
        <w:pStyle w:val="Heading1"/>
        <w:keepNext/>
        <w:pBdr>
          <w:bottom w:val="single" w:color="C9C7C2" w:sz="4" w:space="6"/>
        </w:pBdr>
        <w:spacing w:after="200" w:before="480"/>
      </w:pPr>
      <w:r>
        <w:rPr>
          <w:rFonts w:ascii="Cambria" w:cs="Cambria" w:eastAsia="Cambria" w:hAnsi="Cambria"/>
          <w:b/>
          <w:bCs/>
          <w:color w:val="6B2C2C"/>
          <w:sz w:val="30"/>
          <w:szCs w:val="30"/>
        </w:rPr>
        <w:t xml:space="preserve">2  </w:t>
      </w:r>
      <w:r>
        <w:rPr>
          <w:rFonts w:ascii="Cambria" w:cs="Cambria" w:eastAsia="Cambria" w:hAnsi="Cambria"/>
          <w:b/>
          <w:bCs/>
          <w:color w:val="1A1A1A"/>
          <w:sz w:val="30"/>
          <w:szCs w:val="30"/>
        </w:rPr>
        <w:t xml:space="preserve">The Problem the Book Is Trying to Solve</w:t>
      </w:r>
    </w:p>
    <w:p>
      <w:pPr>
        <w:spacing w:after="160" w:before="0" w:line="288"/>
        <w:jc w:val="left"/>
      </w:pPr>
      <w:r>
        <w:rPr>
          <w:rFonts w:ascii="Cambria" w:cs="Cambria" w:eastAsia="Cambria" w:hAnsi="Cambria"/>
          <w:b w:val="false"/>
          <w:bCs w:val="false"/>
          <w:i w:val="false"/>
          <w:iCs w:val="false"/>
          <w:color w:val="4A4A4A"/>
          <w:sz w:val="21"/>
          <w:szCs w:val="21"/>
        </w:rPr>
        <w:t xml:space="preserve">Cialdini's motivating observation, drawn from his own repeated experience of being “taken” by salespeople despite being an academic psychologist, is that </w:t>
      </w:r>
      <w:r>
        <w:rPr>
          <w:rFonts w:ascii="Cambria" w:cs="Cambria" w:eastAsia="Cambria" w:hAnsi="Cambria"/>
          <w:b/>
          <w:bCs/>
          <w:i w:val="false"/>
          <w:iCs w:val="false"/>
          <w:color w:val="4A4A4A"/>
          <w:sz w:val="21"/>
          <w:szCs w:val="21"/>
        </w:rPr>
        <w:t xml:space="preserve">people who should know better still comply with requests that are not in their own interest.</w:t>
      </w:r>
      <w:r>
        <w:rPr>
          <w:rFonts w:ascii="Cambria" w:cs="Cambria" w:eastAsia="Cambria" w:hAnsi="Cambria"/>
          <w:b w:val="false"/>
          <w:bCs w:val="false"/>
          <w:i w:val="false"/>
          <w:iCs w:val="false"/>
          <w:color w:val="4A4A4A"/>
          <w:sz w:val="21"/>
          <w:szCs w:val="21"/>
        </w:rPr>
        <w:t xml:space="preserve"> Conventional thinking at the time treated persuasion as primarily a matter of </w:t>
      </w:r>
      <w:r>
        <w:rPr>
          <w:rFonts w:ascii="Cambria" w:cs="Cambria" w:eastAsia="Cambria" w:hAnsi="Cambria"/>
          <w:b w:val="false"/>
          <w:bCs w:val="false"/>
          <w:i/>
          <w:iCs/>
          <w:color w:val="4A4A4A"/>
          <w:sz w:val="21"/>
          <w:szCs w:val="21"/>
        </w:rPr>
        <w:t xml:space="preserve">content</w:t>
      </w:r>
      <w:r>
        <w:rPr>
          <w:rFonts w:ascii="Cambria" w:cs="Cambria" w:eastAsia="Cambria" w:hAnsi="Cambria"/>
          <w:b w:val="false"/>
          <w:bCs w:val="false"/>
          <w:i w:val="false"/>
          <w:iCs w:val="false"/>
          <w:color w:val="4A4A4A"/>
          <w:sz w:val="21"/>
          <w:szCs w:val="21"/>
        </w:rPr>
        <w:t xml:space="preserve"> — the strength of arguments, evidence, or incentives. Cialdini argues this misses the dominant mechanism: much real-world compliance is triggered by </w:t>
      </w:r>
      <w:r>
        <w:rPr>
          <w:rFonts w:ascii="Cambria" w:cs="Cambria" w:eastAsia="Cambria" w:hAnsi="Cambria"/>
          <w:b w:val="false"/>
          <w:bCs w:val="false"/>
          <w:i/>
          <w:iCs/>
          <w:color w:val="4A4A4A"/>
          <w:sz w:val="21"/>
          <w:szCs w:val="21"/>
        </w:rPr>
        <w:t xml:space="preserve">form</w:t>
      </w:r>
      <w:r>
        <w:rPr>
          <w:rFonts w:ascii="Cambria" w:cs="Cambria" w:eastAsia="Cambria" w:hAnsi="Cambria"/>
          <w:b w:val="false"/>
          <w:bCs w:val="false"/>
          <w:i w:val="false"/>
          <w:iCs w:val="false"/>
          <w:color w:val="4A4A4A"/>
          <w:sz w:val="21"/>
          <w:szCs w:val="21"/>
        </w:rPr>
        <w:t xml:space="preserve">, not content — by the mere presence of a trigger feature (a favor, a label, a crowd, a uniform, a deadline) that activates an automatic response, bypassing evaluation of the request's actual merits.</w:t>
      </w:r>
    </w:p>
    <w:p>
      <w:pPr>
        <w:spacing w:after="160" w:before="0" w:line="288"/>
        <w:jc w:val="left"/>
      </w:pPr>
      <w:r>
        <w:rPr>
          <w:rFonts w:ascii="Cambria" w:cs="Cambria" w:eastAsia="Cambria" w:hAnsi="Cambria"/>
          <w:b w:val="false"/>
          <w:bCs w:val="false"/>
          <w:i w:val="false"/>
          <w:iCs w:val="false"/>
          <w:color w:val="4A4A4A"/>
          <w:sz w:val="21"/>
          <w:szCs w:val="21"/>
        </w:rPr>
        <w:t xml:space="preserve">The question the book answers: </w:t>
      </w:r>
      <w:r>
        <w:rPr>
          <w:rFonts w:ascii="Cambria" w:cs="Cambria" w:eastAsia="Cambria" w:hAnsi="Cambria"/>
          <w:b/>
          <w:bCs/>
          <w:i w:val="false"/>
          <w:iCs w:val="false"/>
          <w:color w:val="4A4A4A"/>
          <w:sz w:val="21"/>
          <w:szCs w:val="21"/>
        </w:rPr>
        <w:t xml:space="preserve">what are the specific, learnable trigger features that cause people to comply automatically, and why do they work reliably across contexts and cultures?</w:t>
      </w:r>
      <w:r>
        <w:rPr>
          <w:rFonts w:ascii="Cambria" w:cs="Cambria" w:eastAsia="Cambria" w:hAnsi="Cambria"/>
          <w:b w:val="false"/>
          <w:bCs w:val="false"/>
          <w:i w:val="false"/>
          <w:iCs w:val="false"/>
          <w:color w:val="4A4A4A"/>
          <w:sz w:val="21"/>
          <w:szCs w:val="21"/>
        </w:rPr>
        <w:t xml:space="preserve"> Cialdini's answer is structural rather than anecdotal — he claims to have identified a small, closed set of these triggers (six, later seven) through three years of covert participant-observation training inside sales, fundraising, and recruitment organizations, supplemented by academic experimental literature.</w:t>
      </w:r>
    </w:p>
    <w:p>
      <w:pPr>
        <w:pStyle w:val="Heading1"/>
        <w:keepNext/>
        <w:pBdr>
          <w:bottom w:val="single" w:color="C9C7C2" w:sz="4" w:space="6"/>
        </w:pBdr>
        <w:spacing w:after="200" w:before="480"/>
      </w:pPr>
      <w:r>
        <w:rPr>
          <w:rFonts w:ascii="Cambria" w:cs="Cambria" w:eastAsia="Cambria" w:hAnsi="Cambria"/>
          <w:b/>
          <w:bCs/>
          <w:color w:val="6B2C2C"/>
          <w:sz w:val="30"/>
          <w:szCs w:val="30"/>
        </w:rPr>
        <w:t xml:space="preserve">3  </w:t>
      </w:r>
      <w:r>
        <w:rPr>
          <w:rFonts w:ascii="Cambria" w:cs="Cambria" w:eastAsia="Cambria" w:hAnsi="Cambria"/>
          <w:b/>
          <w:bCs/>
          <w:color w:val="1A1A1A"/>
          <w:sz w:val="30"/>
          <w:szCs w:val="30"/>
        </w:rPr>
        <w:t xml:space="preserve">The Author's Core Worldview</w:t>
      </w:r>
    </w:p>
    <w:p>
      <w:pPr>
        <w:pStyle w:val="Heading3"/>
        <w:keepNext/>
        <w:spacing w:after="90" w:before="240"/>
      </w:pPr>
      <w:r>
        <w:rPr>
          <w:rFonts w:ascii="Cambria" w:cs="Cambria" w:eastAsia="Cambria" w:hAnsi="Cambria"/>
          <w:b/>
          <w:bCs/>
          <w:i w:val="false"/>
          <w:iCs w:val="false"/>
          <w:color w:val="1A1A1A"/>
          <w:sz w:val="21"/>
          <w:szCs w:val="21"/>
        </w:rPr>
        <w:t xml:space="preserve">Proposition 1 — Automaticity is the default, not the exception</w:t>
      </w:r>
    </w:p>
    <w:p>
      <w:pPr>
        <w:spacing w:after="160" w:before="0" w:line="288"/>
        <w:jc w:val="left"/>
      </w:pPr>
      <w:r>
        <w:rPr>
          <w:rFonts w:ascii="Cambria" w:cs="Cambria" w:eastAsia="Cambria" w:hAnsi="Cambria"/>
          <w:color w:val="4A4A4A"/>
          <w:sz w:val="21"/>
          <w:szCs w:val="21"/>
        </w:rPr>
        <w:t xml:space="preserve">Most human behavior in response to social requests is not the product of careful deliberation. People operate on “autopilot” most of the time because full analysis of every stimulus is cognitively unaffordable.</w:t>
      </w:r>
    </w:p>
    <w:p>
      <w:pPr>
        <w:pStyle w:val="Heading3"/>
        <w:keepNext/>
        <w:spacing w:after="90" w:before="240"/>
      </w:pPr>
      <w:r>
        <w:rPr>
          <w:rFonts w:ascii="Cambria" w:cs="Cambria" w:eastAsia="Cambria" w:hAnsi="Cambria"/>
          <w:b/>
          <w:bCs/>
          <w:i w:val="false"/>
          <w:iCs w:val="false"/>
          <w:color w:val="1A1A1A"/>
          <w:sz w:val="21"/>
          <w:szCs w:val="21"/>
        </w:rPr>
        <w:t xml:space="preserve">Proposition 2 — Heuristics are shortcuts that are usually correct</w:t>
      </w:r>
    </w:p>
    <w:p>
      <w:pPr>
        <w:spacing w:after="160" w:before="0" w:line="288"/>
        <w:jc w:val="left"/>
      </w:pPr>
      <w:r>
        <w:rPr>
          <w:rFonts w:ascii="Cambria" w:cs="Cambria" w:eastAsia="Cambria" w:hAnsi="Cambria"/>
          <w:color w:val="4A4A4A"/>
          <w:sz w:val="21"/>
          <w:szCs w:val="21"/>
        </w:rPr>
        <w:t xml:space="preserve">The shortcuts examined in the book (reciprocity, consistency, social proof, liking, authority, scarcity, unity) exist because, historically and generally, following them led to good decisions. Cialdini treats them as fundamentally adaptive, not as flaws.</w:t>
      </w:r>
    </w:p>
    <w:p>
      <w:pPr>
        <w:pStyle w:val="Heading3"/>
        <w:keepNext/>
        <w:spacing w:after="90" w:before="240"/>
      </w:pPr>
      <w:r>
        <w:rPr>
          <w:rFonts w:ascii="Cambria" w:cs="Cambria" w:eastAsia="Cambria" w:hAnsi="Cambria"/>
          <w:b/>
          <w:bCs/>
          <w:i w:val="false"/>
          <w:iCs w:val="false"/>
          <w:color w:val="1A1A1A"/>
          <w:sz w:val="21"/>
          <w:szCs w:val="21"/>
        </w:rPr>
        <w:t xml:space="preserve">Proposition 3 — A shortcut can be triggered by its surface feature alone</w:t>
      </w:r>
    </w:p>
    <w:p>
      <w:pPr>
        <w:spacing w:after="160" w:before="0" w:line="288"/>
        <w:jc w:val="left"/>
      </w:pPr>
      <w:r>
        <w:rPr>
          <w:rFonts w:ascii="Cambria" w:cs="Cambria" w:eastAsia="Cambria" w:hAnsi="Cambria"/>
          <w:color w:val="4A4A4A"/>
          <w:sz w:val="21"/>
          <w:szCs w:val="21"/>
        </w:rPr>
        <w:t xml:space="preserve">Because the response is automatic, it can be activated by an isolated trigger feature (e.g., the word “because,” a uniform, a claimed scarcity) even when the substantive conditions that normally justify the response are absent or fabricated.</w:t>
      </w:r>
    </w:p>
    <w:p>
      <w:pPr>
        <w:pStyle w:val="Heading3"/>
        <w:keepNext/>
        <w:spacing w:after="90" w:before="240"/>
      </w:pPr>
      <w:r>
        <w:rPr>
          <w:rFonts w:ascii="Cambria" w:cs="Cambria" w:eastAsia="Cambria" w:hAnsi="Cambria"/>
          <w:b/>
          <w:bCs/>
          <w:i w:val="false"/>
          <w:iCs w:val="false"/>
          <w:color w:val="1A1A1A"/>
          <w:sz w:val="21"/>
          <w:szCs w:val="21"/>
        </w:rPr>
        <w:t xml:space="preserve">Proposition 4 — Exploitation is a discovered technology, refined by trial and error</w:t>
      </w:r>
    </w:p>
    <w:p>
      <w:pPr>
        <w:spacing w:after="160" w:before="0" w:line="288"/>
        <w:jc w:val="left"/>
      </w:pPr>
      <w:r>
        <w:rPr>
          <w:rFonts w:ascii="Cambria" w:cs="Cambria" w:eastAsia="Cambria" w:hAnsi="Cambria"/>
          <w:color w:val="4A4A4A"/>
          <w:sz w:val="21"/>
          <w:szCs w:val="21"/>
        </w:rPr>
        <w:t xml:space="preserve">Compliance professionals did not need to understand why the triggers work. Cialdini argues they identified effective tactics empirically — by testing what increased sales, donations, or compliance — long before psychologists explained the underlying mechanism.</w:t>
      </w:r>
    </w:p>
    <w:p>
      <w:pPr>
        <w:pStyle w:val="Heading3"/>
        <w:keepNext/>
        <w:spacing w:after="90" w:before="240"/>
      </w:pPr>
      <w:r>
        <w:rPr>
          <w:rFonts w:ascii="Cambria" w:cs="Cambria" w:eastAsia="Cambria" w:hAnsi="Cambria"/>
          <w:b/>
          <w:bCs/>
          <w:i w:val="false"/>
          <w:iCs w:val="false"/>
          <w:color w:val="1A1A1A"/>
          <w:sz w:val="21"/>
          <w:szCs w:val="21"/>
        </w:rPr>
        <w:t xml:space="preserve">Proposition 5 — Awareness of the mechanism is the primary defense</w:t>
      </w:r>
    </w:p>
    <w:p>
      <w:pPr>
        <w:spacing w:after="160" w:before="0" w:line="288"/>
        <w:jc w:val="left"/>
      </w:pPr>
      <w:r>
        <w:rPr>
          <w:rFonts w:ascii="Cambria" w:cs="Cambria" w:eastAsia="Cambria" w:hAnsi="Cambria"/>
          <w:color w:val="4A4A4A"/>
          <w:sz w:val="21"/>
          <w:szCs w:val="21"/>
        </w:rPr>
        <w:t xml:space="preserve">Because the triggers operate below conscious deliberation, the main countermeasure the book offers is meta-awareness: noticing when a trigger feature is present and deliberately re-engaging analytical thought, rather than trying to resist temptation through willpower alone.</w:t>
      </w:r>
    </w:p>
    <w:p>
      <w:pPr>
        <w:pStyle w:val="Heading3"/>
        <w:keepNext/>
        <w:spacing w:after="90" w:before="240"/>
      </w:pPr>
      <w:r>
        <w:rPr>
          <w:rFonts w:ascii="Cambria" w:cs="Cambria" w:eastAsia="Cambria" w:hAnsi="Cambria"/>
          <w:b/>
          <w:bCs/>
          <w:i w:val="false"/>
          <w:iCs w:val="false"/>
          <w:color w:val="1A1A1A"/>
          <w:sz w:val="21"/>
          <w:szCs w:val="21"/>
        </w:rPr>
        <w:t xml:space="preserve">Proposition 6 — The triggers are ethically neutral; their use is not</w:t>
      </w:r>
    </w:p>
    <w:p>
      <w:pPr>
        <w:spacing w:after="160" w:before="0" w:line="288"/>
        <w:jc w:val="left"/>
      </w:pPr>
      <w:r>
        <w:rPr>
          <w:rFonts w:ascii="Cambria" w:cs="Cambria" w:eastAsia="Cambria" w:hAnsi="Cambria"/>
          <w:color w:val="4A4A4A"/>
          <w:sz w:val="21"/>
          <w:szCs w:val="21"/>
        </w:rPr>
        <w:t xml:space="preserve">Cialdini is explicit that the principles themselves are not manipulative — reciprocity, consistency, and the rest are largely prosocial norms. What makes a use of them exploitative is whether the trigger is deployed honestly (reflecting a real underlying condition) or is manufactured to produce compliance the target would not otherwise grant.</w:t>
      </w:r>
    </w:p>
    <w:p>
      <w:pPr>
        <w:pStyle w:val="Heading3"/>
        <w:keepNext/>
        <w:spacing w:after="90" w:before="240"/>
      </w:pPr>
      <w:r>
        <w:rPr>
          <w:rFonts w:ascii="Cambria" w:cs="Cambria" w:eastAsia="Cambria" w:hAnsi="Cambria"/>
          <w:b/>
          <w:bCs/>
          <w:i w:val="false"/>
          <w:iCs w:val="false"/>
          <w:color w:val="1A1A1A"/>
          <w:sz w:val="21"/>
          <w:szCs w:val="21"/>
        </w:rPr>
        <w:t xml:space="preserve">Proposition 7 — Culture and evolution both shape and constrain the mechanism</w:t>
      </w:r>
    </w:p>
    <w:p>
      <w:pPr>
        <w:spacing w:after="160" w:before="0" w:line="288"/>
        <w:jc w:val="left"/>
      </w:pPr>
      <w:r>
        <w:rPr>
          <w:rFonts w:ascii="Cambria" w:cs="Cambria" w:eastAsia="Cambria" w:hAnsi="Cambria"/>
          <w:color w:val="4A4A4A"/>
          <w:sz w:val="21"/>
          <w:szCs w:val="21"/>
        </w:rPr>
        <w:t xml:space="preserve">Cialdini situates several principles — especially reciprocity and unity — as having deep evolutionary and cross-cultural roots; reciprocity in particular is treated as a near-universal social norm essential to the division of labor and trade.</w:t>
      </w:r>
    </w:p>
    <w:p>
      <w:pPr>
        <w:pStyle w:val="Heading1"/>
        <w:keepNext/>
        <w:pBdr>
          <w:bottom w:val="single" w:color="C9C7C2" w:sz="4" w:space="6"/>
        </w:pBdr>
        <w:spacing w:after="200" w:before="480"/>
      </w:pPr>
      <w:r>
        <w:rPr>
          <w:rFonts w:ascii="Cambria" w:cs="Cambria" w:eastAsia="Cambria" w:hAnsi="Cambria"/>
          <w:b/>
          <w:bCs/>
          <w:color w:val="6B2C2C"/>
          <w:sz w:val="30"/>
          <w:szCs w:val="30"/>
        </w:rPr>
        <w:t xml:space="preserve">4  </w:t>
      </w:r>
      <w:r>
        <w:rPr>
          <w:rFonts w:ascii="Cambria" w:cs="Cambria" w:eastAsia="Cambria" w:hAnsi="Cambria"/>
          <w:b/>
          <w:bCs/>
          <w:color w:val="1A1A1A"/>
          <w:sz w:val="30"/>
          <w:szCs w:val="30"/>
        </w:rPr>
        <w:t xml:space="preserve">Core Concept Map</w:t>
      </w:r>
    </w:p>
    <w:p>
      <w:pPr>
        <w:pStyle w:val="Heading3"/>
        <w:keepNext/>
        <w:spacing w:after="90" w:before="240"/>
      </w:pPr>
      <w:r>
        <w:rPr>
          <w:rFonts w:ascii="Cambria" w:cs="Cambria" w:eastAsia="Cambria" w:hAnsi="Cambria"/>
          <w:b/>
          <w:bCs/>
          <w:i w:val="false"/>
          <w:iCs w:val="false"/>
          <w:color w:val="1A1A1A"/>
          <w:sz w:val="21"/>
          <w:szCs w:val="21"/>
        </w:rPr>
        <w:t xml:space="preserve">Fixed-Action Pattern (“click, whirr”)</w:t>
      </w:r>
    </w:p>
    <w:p>
      <w:pPr>
        <w:spacing w:after="60"/>
      </w:pPr>
      <w:r>
        <w:rPr>
          <w:rFonts w:ascii="Cambria" w:cs="Cambria" w:eastAsia="Cambria" w:hAnsi="Cambria"/>
          <w:i/>
          <w:iCs/>
          <w:color w:val="757575"/>
          <w:sz w:val="19"/>
          <w:szCs w:val="19"/>
        </w:rPr>
        <w:t xml:space="preserve">the ethological borrowing at the root of the whole framework</w:t>
      </w:r>
    </w:p>
    <w:p>
      <w:pPr>
        <w:spacing w:after="40" w:before="140" w:line="276"/>
      </w:pPr>
      <w:r>
        <w:rPr>
          <w:rFonts w:ascii="Calibri" w:cs="Calibri" w:eastAsia="Calibri" w:hAnsi="Calibri"/>
          <w:b/>
          <w:bCs/>
          <w:color w:val="6B2C2C"/>
          <w:spacing w:val="6"/>
          <w:sz w:val="17"/>
          <w:szCs w:val="17"/>
        </w:rPr>
        <w:t xml:space="preserve">DEFINITION  </w:t>
      </w:r>
      <w:r>
        <w:rPr>
          <w:rFonts w:ascii="Cambria" w:cs="Cambria" w:eastAsia="Cambria" w:hAnsi="Cambria"/>
          <w:color w:val="4A4A4A"/>
          <w:sz w:val="21"/>
          <w:szCs w:val="21"/>
        </w:rPr>
        <w:t xml:space="preserve">An automatic, largely invariant behavioral sequence triggered by a single stimulus feature. Cialdini's animal example: a turkey hen's maternal response, triggered by a chick's “cheep-cheep” sound alone — even when that sound comes from a stuffed predator.</w:t>
      </w:r>
    </w:p>
    <w:p>
      <w:pPr>
        <w:spacing w:after="40" w:before="140" w:line="276"/>
      </w:pPr>
      <w:r>
        <w:rPr>
          <w:rFonts w:ascii="Calibri" w:cs="Calibri" w:eastAsia="Calibri" w:hAnsi="Calibri"/>
          <w:b/>
          <w:bCs/>
          <w:color w:val="6B2C2C"/>
          <w:spacing w:val="6"/>
          <w:sz w:val="17"/>
          <w:szCs w:val="17"/>
        </w:rPr>
        <w:t xml:space="preserve">WHY IT MATTERS  </w:t>
      </w:r>
      <w:r>
        <w:rPr>
          <w:rFonts w:ascii="Cambria" w:cs="Cambria" w:eastAsia="Cambria" w:hAnsi="Cambria"/>
          <w:color w:val="4A4A4A"/>
          <w:sz w:val="21"/>
          <w:szCs w:val="21"/>
        </w:rPr>
        <w:t xml:space="preserve">This is the biological model for all seven human principles — each is treated as a human “click-whirr” response.</w:t>
      </w:r>
    </w:p>
    <w:p>
      <w:pPr>
        <w:spacing w:after="40" w:before="140" w:line="276"/>
      </w:pPr>
      <w:r>
        <w:rPr>
          <w:rFonts w:ascii="Calibri" w:cs="Calibri" w:eastAsia="Calibri" w:hAnsi="Calibri"/>
          <w:b/>
          <w:bCs/>
          <w:color w:val="6B2C2C"/>
          <w:spacing w:val="6"/>
          <w:sz w:val="17"/>
          <w:szCs w:val="17"/>
        </w:rPr>
        <w:t xml:space="preserve">RELATIONSHIP  </w:t>
      </w:r>
      <w:r>
        <w:rPr>
          <w:rFonts w:ascii="Cambria" w:cs="Cambria" w:eastAsia="Cambria" w:hAnsi="Cambria"/>
          <w:color w:val="4A4A4A"/>
          <w:sz w:val="21"/>
          <w:szCs w:val="21"/>
        </w:rPr>
        <w:t xml:space="preserve">Parent concept to all seven weapons of influence below.</w:t>
      </w:r>
    </w:p>
    <w:p>
      <w:pPr>
        <w:pStyle w:val="Heading3"/>
        <w:keepNext/>
        <w:spacing w:after="90" w:before="240"/>
      </w:pPr>
      <w:r>
        <w:rPr>
          <w:rFonts w:ascii="Cambria" w:cs="Cambria" w:eastAsia="Cambria" w:hAnsi="Cambria"/>
          <w:b/>
          <w:bCs/>
          <w:i w:val="false"/>
          <w:iCs w:val="false"/>
          <w:color w:val="1A1A1A"/>
          <w:sz w:val="21"/>
          <w:szCs w:val="21"/>
        </w:rPr>
        <w:t xml:space="preserve">Weapons of Influence</w:t>
      </w:r>
    </w:p>
    <w:p>
      <w:pPr>
        <w:spacing w:after="60"/>
      </w:pPr>
      <w:r>
        <w:rPr>
          <w:rFonts w:ascii="Cambria" w:cs="Cambria" w:eastAsia="Cambria" w:hAnsi="Cambria"/>
          <w:i/>
          <w:iCs/>
          <w:color w:val="757575"/>
          <w:sz w:val="19"/>
          <w:szCs w:val="19"/>
        </w:rPr>
        <w:t xml:space="preserve">Reciprocation · Commitment/Consistency · Social Proof · Liking · Authority · Scarcity · Unity</w:t>
      </w:r>
    </w:p>
    <w:p>
      <w:pPr>
        <w:spacing w:after="40" w:before="140" w:line="276"/>
      </w:pPr>
      <w:r>
        <w:rPr>
          <w:rFonts w:ascii="Calibri" w:cs="Calibri" w:eastAsia="Calibri" w:hAnsi="Calibri"/>
          <w:b/>
          <w:bCs/>
          <w:color w:val="6B2C2C"/>
          <w:spacing w:val="6"/>
          <w:sz w:val="17"/>
          <w:szCs w:val="17"/>
        </w:rPr>
        <w:t xml:space="preserve">DEFINITION  </w:t>
      </w:r>
      <w:r>
        <w:rPr>
          <w:rFonts w:ascii="Cambria" w:cs="Cambria" w:eastAsia="Cambria" w:hAnsi="Cambria"/>
          <w:color w:val="4A4A4A"/>
          <w:sz w:val="21"/>
          <w:szCs w:val="21"/>
        </w:rPr>
        <w:t xml:space="preserve">The seven specific trigger-response patterns Cialdini identifies as governing compliance.</w:t>
      </w:r>
    </w:p>
    <w:p>
      <w:pPr>
        <w:spacing w:after="40" w:before="140" w:line="276"/>
      </w:pPr>
      <w:r>
        <w:rPr>
          <w:rFonts w:ascii="Calibri" w:cs="Calibri" w:eastAsia="Calibri" w:hAnsi="Calibri"/>
          <w:b/>
          <w:bCs/>
          <w:color w:val="6B2C2C"/>
          <w:spacing w:val="6"/>
          <w:sz w:val="17"/>
          <w:szCs w:val="17"/>
        </w:rPr>
        <w:t xml:space="preserve">WHY IT MATTERS  </w:t>
      </w:r>
      <w:r>
        <w:rPr>
          <w:rFonts w:ascii="Cambria" w:cs="Cambria" w:eastAsia="Cambria" w:hAnsi="Cambria"/>
          <w:color w:val="4A4A4A"/>
          <w:sz w:val="21"/>
          <w:szCs w:val="21"/>
        </w:rPr>
        <w:t xml:space="preserve">These are the operational content of the entire book.</w:t>
      </w:r>
    </w:p>
    <w:p>
      <w:pPr>
        <w:spacing w:after="40" w:before="140" w:line="276"/>
      </w:pPr>
      <w:r>
        <w:rPr>
          <w:rFonts w:ascii="Calibri" w:cs="Calibri" w:eastAsia="Calibri" w:hAnsi="Calibri"/>
          <w:b/>
          <w:bCs/>
          <w:color w:val="6B2C2C"/>
          <w:spacing w:val="6"/>
          <w:sz w:val="17"/>
          <w:szCs w:val="17"/>
        </w:rPr>
        <w:t xml:space="preserve">RELATIONSHIP  </w:t>
      </w:r>
      <w:r>
        <w:rPr>
          <w:rFonts w:ascii="Cambria" w:cs="Cambria" w:eastAsia="Cambria" w:hAnsi="Cambria"/>
          <w:color w:val="4A4A4A"/>
          <w:sz w:val="21"/>
          <w:szCs w:val="21"/>
        </w:rPr>
        <w:t xml:space="preserve">Each is a specialized instance of the fixed-action pattern, exploitable via Trigger Features (below).</w:t>
      </w:r>
    </w:p>
    <w:p>
      <w:pPr>
        <w:pStyle w:val="Heading3"/>
        <w:keepNext/>
        <w:spacing w:after="90" w:before="240"/>
      </w:pPr>
      <w:r>
        <w:rPr>
          <w:rFonts w:ascii="Cambria" w:cs="Cambria" w:eastAsia="Cambria" w:hAnsi="Cambria"/>
          <w:b/>
          <w:bCs/>
          <w:i w:val="false"/>
          <w:iCs w:val="false"/>
          <w:color w:val="1A1A1A"/>
          <w:sz w:val="21"/>
          <w:szCs w:val="21"/>
        </w:rPr>
        <w:t xml:space="preserve">Trigger Features</w:t>
      </w:r>
    </w:p>
    <w:p>
      <w:pPr>
        <w:spacing w:after="40" w:before="140" w:line="276"/>
      </w:pPr>
      <w:r>
        <w:rPr>
          <w:rFonts w:ascii="Calibri" w:cs="Calibri" w:eastAsia="Calibri" w:hAnsi="Calibri"/>
          <w:b/>
          <w:bCs/>
          <w:color w:val="6B2C2C"/>
          <w:spacing w:val="6"/>
          <w:sz w:val="17"/>
          <w:szCs w:val="17"/>
        </w:rPr>
        <w:t xml:space="preserve">DEFINITION  </w:t>
      </w:r>
      <w:r>
        <w:rPr>
          <w:rFonts w:ascii="Cambria" w:cs="Cambria" w:eastAsia="Cambria" w:hAnsi="Cambria"/>
          <w:color w:val="4A4A4A"/>
          <w:sz w:val="21"/>
          <w:szCs w:val="21"/>
        </w:rPr>
        <w:t xml:space="preserve">The specific, isolable stimulus — a gift, a signed statement, a crowd, a compliment, a title, a deadline, a “we” label — that activates a given weapon of influence.</w:t>
      </w:r>
    </w:p>
    <w:p>
      <w:pPr>
        <w:spacing w:after="40" w:before="140" w:line="276"/>
      </w:pPr>
      <w:r>
        <w:rPr>
          <w:rFonts w:ascii="Calibri" w:cs="Calibri" w:eastAsia="Calibri" w:hAnsi="Calibri"/>
          <w:b/>
          <w:bCs/>
          <w:color w:val="6B2C2C"/>
          <w:spacing w:val="6"/>
          <w:sz w:val="17"/>
          <w:szCs w:val="17"/>
        </w:rPr>
        <w:t xml:space="preserve">WHY IT MATTERS  </w:t>
      </w:r>
      <w:r>
        <w:rPr>
          <w:rFonts w:ascii="Cambria" w:cs="Cambria" w:eastAsia="Cambria" w:hAnsi="Cambria"/>
          <w:color w:val="4A4A4A"/>
          <w:sz w:val="21"/>
          <w:szCs w:val="21"/>
        </w:rPr>
        <w:t xml:space="preserve">This is the exploitable surface: professionals manufacture the trigger feature without the substance behind it.</w:t>
      </w:r>
    </w:p>
    <w:p>
      <w:pPr>
        <w:spacing w:after="40" w:before="140" w:line="276"/>
      </w:pPr>
      <w:r>
        <w:rPr>
          <w:rFonts w:ascii="Calibri" w:cs="Calibri" w:eastAsia="Calibri" w:hAnsi="Calibri"/>
          <w:b/>
          <w:bCs/>
          <w:color w:val="6B2C2C"/>
          <w:spacing w:val="6"/>
          <w:sz w:val="17"/>
          <w:szCs w:val="17"/>
        </w:rPr>
        <w:t xml:space="preserve">RELATIONSHIP  </w:t>
      </w:r>
      <w:r>
        <w:rPr>
          <w:rFonts w:ascii="Cambria" w:cs="Cambria" w:eastAsia="Cambria" w:hAnsi="Cambria"/>
          <w:color w:val="4A4A4A"/>
          <w:sz w:val="21"/>
          <w:szCs w:val="21"/>
        </w:rPr>
        <w:t xml:space="preserve">Sits between the Weapon of Influence and the resulting Compliance.</w:t>
      </w:r>
    </w:p>
    <w:p>
      <w:pPr>
        <w:pStyle w:val="Heading3"/>
        <w:keepNext/>
        <w:spacing w:after="90" w:before="240"/>
      </w:pPr>
      <w:r>
        <w:rPr>
          <w:rFonts w:ascii="Cambria" w:cs="Cambria" w:eastAsia="Cambria" w:hAnsi="Cambria"/>
          <w:b/>
          <w:bCs/>
          <w:i w:val="false"/>
          <w:iCs w:val="false"/>
          <w:color w:val="1A1A1A"/>
          <w:sz w:val="21"/>
          <w:szCs w:val="21"/>
        </w:rPr>
        <w:t xml:space="preserve">Compliance Professionals</w:t>
      </w:r>
    </w:p>
    <w:p>
      <w:pPr>
        <w:spacing w:after="40" w:before="140" w:line="276"/>
      </w:pPr>
      <w:r>
        <w:rPr>
          <w:rFonts w:ascii="Calibri" w:cs="Calibri" w:eastAsia="Calibri" w:hAnsi="Calibri"/>
          <w:b/>
          <w:bCs/>
          <w:color w:val="6B2C2C"/>
          <w:spacing w:val="6"/>
          <w:sz w:val="17"/>
          <w:szCs w:val="17"/>
        </w:rPr>
        <w:t xml:space="preserve">DEFINITION  </w:t>
      </w:r>
      <w:r>
        <w:rPr>
          <w:rFonts w:ascii="Cambria" w:cs="Cambria" w:eastAsia="Cambria" w:hAnsi="Cambria"/>
          <w:color w:val="4A4A4A"/>
          <w:sz w:val="21"/>
          <w:szCs w:val="21"/>
        </w:rPr>
        <w:t xml:space="preserve">Individuals or organizations whose occupation involves deliberately manufacturing trigger features to produce compliance — salespeople, cult recruiters, fundraisers, negotiators.</w:t>
      </w:r>
    </w:p>
    <w:p>
      <w:pPr>
        <w:spacing w:after="40" w:before="140" w:line="276"/>
      </w:pPr>
      <w:r>
        <w:rPr>
          <w:rFonts w:ascii="Calibri" w:cs="Calibri" w:eastAsia="Calibri" w:hAnsi="Calibri"/>
          <w:b/>
          <w:bCs/>
          <w:color w:val="6B2C2C"/>
          <w:spacing w:val="6"/>
          <w:sz w:val="17"/>
          <w:szCs w:val="17"/>
        </w:rPr>
        <w:t xml:space="preserve">WHY IT MATTERS  </w:t>
      </w:r>
      <w:r>
        <w:rPr>
          <w:rFonts w:ascii="Cambria" w:cs="Cambria" w:eastAsia="Cambria" w:hAnsi="Cambria"/>
          <w:color w:val="4A4A4A"/>
          <w:sz w:val="21"/>
          <w:szCs w:val="21"/>
        </w:rPr>
        <w:t xml:space="preserve">The book's practical antagonist; their techniques supply the case studies throughout.</w:t>
      </w:r>
    </w:p>
    <w:p>
      <w:pPr>
        <w:spacing w:after="40" w:before="140" w:line="276"/>
      </w:pPr>
      <w:r>
        <w:rPr>
          <w:rFonts w:ascii="Calibri" w:cs="Calibri" w:eastAsia="Calibri" w:hAnsi="Calibri"/>
          <w:b/>
          <w:bCs/>
          <w:color w:val="6B2C2C"/>
          <w:spacing w:val="6"/>
          <w:sz w:val="17"/>
          <w:szCs w:val="17"/>
        </w:rPr>
        <w:t xml:space="preserve">RELATIONSHIP  </w:t>
      </w:r>
      <w:r>
        <w:rPr>
          <w:rFonts w:ascii="Cambria" w:cs="Cambria" w:eastAsia="Cambria" w:hAnsi="Cambria"/>
          <w:color w:val="4A4A4A"/>
          <w:sz w:val="21"/>
          <w:szCs w:val="21"/>
        </w:rPr>
        <w:t xml:space="preserve">The agents who exploit trigger features to activate weapons of influence.</w:t>
      </w:r>
    </w:p>
    <w:p>
      <w:pPr>
        <w:pStyle w:val="Heading3"/>
        <w:keepNext/>
        <w:spacing w:after="90" w:before="240"/>
      </w:pPr>
      <w:r>
        <w:rPr>
          <w:rFonts w:ascii="Cambria" w:cs="Cambria" w:eastAsia="Cambria" w:hAnsi="Cambria"/>
          <w:b/>
          <w:bCs/>
          <w:i w:val="false"/>
          <w:iCs w:val="false"/>
          <w:color w:val="1A1A1A"/>
          <w:sz w:val="21"/>
          <w:szCs w:val="21"/>
        </w:rPr>
        <w:t xml:space="preserve">Perceptual Contrast</w:t>
      </w:r>
    </w:p>
    <w:p>
      <w:pPr>
        <w:spacing w:after="40" w:before="140" w:line="276"/>
      </w:pPr>
      <w:r>
        <w:rPr>
          <w:rFonts w:ascii="Calibri" w:cs="Calibri" w:eastAsia="Calibri" w:hAnsi="Calibri"/>
          <w:b/>
          <w:bCs/>
          <w:color w:val="6B2C2C"/>
          <w:spacing w:val="6"/>
          <w:sz w:val="17"/>
          <w:szCs w:val="17"/>
        </w:rPr>
        <w:t xml:space="preserve">DEFINITION  </w:t>
      </w:r>
      <w:r>
        <w:rPr>
          <w:rFonts w:ascii="Cambria" w:cs="Cambria" w:eastAsia="Cambria" w:hAnsi="Cambria"/>
          <w:color w:val="4A4A4A"/>
          <w:sz w:val="21"/>
          <w:szCs w:val="21"/>
        </w:rPr>
        <w:t xml:space="preserve">A secondary, cross-cutting principle (not one of the seven): a stimulus is judged relative to what preceded it, not in isolation — a $500 suit seems cheap when shown after a $2,000 one.</w:t>
      </w:r>
    </w:p>
    <w:p>
      <w:pPr>
        <w:spacing w:after="40" w:before="140" w:line="276"/>
      </w:pPr>
      <w:r>
        <w:rPr>
          <w:rFonts w:ascii="Calibri" w:cs="Calibri" w:eastAsia="Calibri" w:hAnsi="Calibri"/>
          <w:b/>
          <w:bCs/>
          <w:color w:val="6B2C2C"/>
          <w:spacing w:val="6"/>
          <w:sz w:val="17"/>
          <w:szCs w:val="17"/>
        </w:rPr>
        <w:t xml:space="preserve">WHY IT MATTERS  </w:t>
      </w:r>
      <w:r>
        <w:rPr>
          <w:rFonts w:ascii="Cambria" w:cs="Cambria" w:eastAsia="Cambria" w:hAnsi="Cambria"/>
          <w:color w:val="4A4A4A"/>
          <w:sz w:val="21"/>
          <w:szCs w:val="21"/>
        </w:rPr>
        <w:t xml:space="preserve">Amplifies several main weapons — e.g., the door-in-the-face technique relies on contrast as much as reciprocal concession.</w:t>
      </w:r>
    </w:p>
    <w:p>
      <w:pPr>
        <w:spacing w:after="40" w:before="140" w:line="276"/>
      </w:pPr>
      <w:r>
        <w:rPr>
          <w:rFonts w:ascii="Calibri" w:cs="Calibri" w:eastAsia="Calibri" w:hAnsi="Calibri"/>
          <w:b/>
          <w:bCs/>
          <w:color w:val="6B2C2C"/>
          <w:spacing w:val="6"/>
          <w:sz w:val="17"/>
          <w:szCs w:val="17"/>
        </w:rPr>
        <w:t xml:space="preserve">RELATIONSHIP  </w:t>
      </w:r>
      <w:r>
        <w:rPr>
          <w:rFonts w:ascii="Cambria" w:cs="Cambria" w:eastAsia="Cambria" w:hAnsi="Cambria"/>
          <w:color w:val="4A4A4A"/>
          <w:sz w:val="21"/>
          <w:szCs w:val="21"/>
        </w:rPr>
        <w:t xml:space="preserve">A modifier that compounds with the main seven.</w:t>
      </w:r>
    </w:p>
    <w:p>
      <w:pPr>
        <w:pStyle w:val="Heading3"/>
        <w:keepNext/>
        <w:spacing w:after="90" w:before="240"/>
      </w:pPr>
      <w:r>
        <w:rPr>
          <w:rFonts w:ascii="Cambria" w:cs="Cambria" w:eastAsia="Cambria" w:hAnsi="Cambria"/>
          <w:b/>
          <w:bCs/>
          <w:i w:val="false"/>
          <w:iCs w:val="false"/>
          <w:color w:val="1A1A1A"/>
          <w:sz w:val="21"/>
          <w:szCs w:val="21"/>
        </w:rPr>
        <w:t xml:space="preserve">Automatic vs. Controlled Processing</w:t>
      </w:r>
    </w:p>
    <w:p>
      <w:pPr>
        <w:spacing w:after="40" w:before="140" w:line="276"/>
      </w:pPr>
      <w:r>
        <w:rPr>
          <w:rFonts w:ascii="Calibri" w:cs="Calibri" w:eastAsia="Calibri" w:hAnsi="Calibri"/>
          <w:b/>
          <w:bCs/>
          <w:color w:val="6B2C2C"/>
          <w:spacing w:val="6"/>
          <w:sz w:val="17"/>
          <w:szCs w:val="17"/>
        </w:rPr>
        <w:t xml:space="preserve">DEFINITION  </w:t>
      </w:r>
      <w:r>
        <w:rPr>
          <w:rFonts w:ascii="Cambria" w:cs="Cambria" w:eastAsia="Cambria" w:hAnsi="Cambria"/>
          <w:color w:val="4A4A4A"/>
          <w:sz w:val="21"/>
          <w:szCs w:val="21"/>
        </w:rPr>
        <w:t xml:space="preserve">Cialdini's implicit dual-process framing: automatic (“click-whirr”) responses versus deliberate, effortful evaluation.</w:t>
      </w:r>
    </w:p>
    <w:p>
      <w:pPr>
        <w:spacing w:after="40" w:before="140" w:line="276"/>
      </w:pPr>
      <w:r>
        <w:rPr>
          <w:rFonts w:ascii="Calibri" w:cs="Calibri" w:eastAsia="Calibri" w:hAnsi="Calibri"/>
          <w:b/>
          <w:bCs/>
          <w:color w:val="6B2C2C"/>
          <w:spacing w:val="6"/>
          <w:sz w:val="17"/>
          <w:szCs w:val="17"/>
        </w:rPr>
        <w:t xml:space="preserve">WHY IT MATTERS  </w:t>
      </w:r>
      <w:r>
        <w:rPr>
          <w:rFonts w:ascii="Cambria" w:cs="Cambria" w:eastAsia="Cambria" w:hAnsi="Cambria"/>
          <w:color w:val="4A4A4A"/>
          <w:sz w:val="21"/>
          <w:szCs w:val="21"/>
        </w:rPr>
        <w:t xml:space="preserve">This is the cognitive architecture explaining why the principles work and how defense is possible.</w:t>
      </w:r>
    </w:p>
    <w:p>
      <w:pPr>
        <w:spacing w:after="40" w:before="140" w:line="276"/>
      </w:pPr>
      <w:r>
        <w:rPr>
          <w:rFonts w:ascii="Calibri" w:cs="Calibri" w:eastAsia="Calibri" w:hAnsi="Calibri"/>
          <w:b/>
          <w:bCs/>
          <w:color w:val="6B2C2C"/>
          <w:spacing w:val="6"/>
          <w:sz w:val="17"/>
          <w:szCs w:val="17"/>
        </w:rPr>
        <w:t xml:space="preserve">RELATIONSHIP  </w:t>
      </w:r>
      <w:r>
        <w:rPr>
          <w:rFonts w:ascii="Cambria" w:cs="Cambria" w:eastAsia="Cambria" w:hAnsi="Cambria"/>
          <w:color w:val="4A4A4A"/>
          <w:sz w:val="21"/>
          <w:szCs w:val="21"/>
        </w:rPr>
        <w:t xml:space="preserve">Underlies every principle; the reader's only lever for defense is shifting from automatic to controlled processing.</w:t>
      </w:r>
    </w:p>
    <w:p>
      <w:pPr>
        <w:pStyle w:val="Heading3"/>
        <w:keepNext/>
        <w:spacing w:after="90" w:before="240"/>
      </w:pPr>
      <w:r>
        <w:rPr>
          <w:rFonts w:ascii="Cambria" w:cs="Cambria" w:eastAsia="Cambria" w:hAnsi="Cambria"/>
          <w:b/>
          <w:bCs/>
          <w:i w:val="false"/>
          <w:iCs w:val="false"/>
          <w:color w:val="1A1A1A"/>
          <w:sz w:val="21"/>
          <w:szCs w:val="21"/>
        </w:rPr>
        <w:t xml:space="preserve">Overall architecture</w:t>
      </w:r>
    </w:p>
    <w:tbl>
      <w:tblPr>
        <w:tblW w:type="dxa" w:w="9360"/>
        <w:tblBorders>
          <w:top w:val="single" w:color="C9C7C2" w:sz="4"/>
          <w:left w:val="single" w:color="6B2C2C" w:sz="16"/>
          <w:bottom w:val="single" w:color="C9C7C2" w:sz="4"/>
          <w:right w:val="none" w:color="FFFFFF" w:sz="0"/>
          <w:insideH w:val="none" w:color="FFFFFF" w:sz="0"/>
          <w:insideV w:val="none" w:color="FFFFFF" w:sz="0"/>
        </w:tblBorders>
      </w:tblPr>
      <w:tblGrid>
        <w:gridCol w:w="9360"/>
      </w:tblGrid>
      <w:tr>
        <w:trPr>
          <w:cantSplit/>
        </w:trPr>
        <w:tc>
          <w:tcPr>
            <w:tcW w:type="dxa" w:w="9360"/>
            <w:shd w:fill="F4F3F0" w:color="auto" w:val="clear"/>
            <w:tcMar>
              <w:top w:type="dxa" w:w="160"/>
              <w:left w:type="dxa" w:w="220"/>
              <w:bottom w:type="dxa" w:w="160"/>
              <w:right w:type="dxa" w:w="260"/>
            </w:tcMar>
          </w:tcPr>
          <w:p>
            <w:pPr>
              <w:spacing w:after="60"/>
            </w:pPr>
            <w:r>
              <w:rPr>
                <w:rFonts w:ascii="Calibri" w:cs="Calibri" w:eastAsia="Calibri" w:hAnsi="Calibri"/>
                <w:b/>
                <w:bCs/>
                <w:color w:val="6B2C2C"/>
                <w:spacing w:val="6"/>
                <w:sz w:val="17"/>
                <w:szCs w:val="17"/>
              </w:rPr>
              <w:t xml:space="preserve">RECONSTRUCTED ARCHITECTURE</w:t>
            </w:r>
          </w:p>
          <w:p>
            <w:pPr>
              <w:spacing w:after="0" w:line="276"/>
            </w:pPr>
            <w:r>
              <w:rPr>
                <w:rFonts w:ascii="Cambria" w:cs="Cambria" w:eastAsia="Cambria" w:hAnsi="Cambria"/>
                <w:i w:val="false"/>
                <w:iCs w:val="false"/>
                <w:color w:val="4A4A4A"/>
                <w:sz w:val="20"/>
                <w:szCs w:val="20"/>
              </w:rPr>
              <w:t xml:space="preserve">Fixed-Action Pattern (biological model)  →  Weapon of Influence (human-specific instance)  →  Trigger Feature (the exploitable surface signal)  →  Compliance Professional's manufactured stimulus  →  Automatic Compliance (bypassing evaluation)  →  Reader's countermeasure: recognize trigger → shift to Controlled Processing → evaluate merits independently</w:t>
            </w:r>
          </w:p>
        </w:tc>
      </w:tr>
    </w:tbl>
    <w:p>
      <w:pPr>
        <w:pStyle w:val="Heading1"/>
        <w:keepNext/>
        <w:pBdr>
          <w:bottom w:val="single" w:color="C9C7C2" w:sz="4" w:space="6"/>
        </w:pBdr>
        <w:spacing w:after="200" w:before="480"/>
      </w:pPr>
      <w:r>
        <w:rPr>
          <w:rFonts w:ascii="Cambria" w:cs="Cambria" w:eastAsia="Cambria" w:hAnsi="Cambria"/>
          <w:b/>
          <w:bCs/>
          <w:color w:val="6B2C2C"/>
          <w:sz w:val="30"/>
          <w:szCs w:val="30"/>
        </w:rPr>
        <w:t xml:space="preserve">5  </w:t>
      </w:r>
      <w:r>
        <w:rPr>
          <w:rFonts w:ascii="Cambria" w:cs="Cambria" w:eastAsia="Cambria" w:hAnsi="Cambria"/>
          <w:b/>
          <w:bCs/>
          <w:color w:val="1A1A1A"/>
          <w:sz w:val="30"/>
          <w:szCs w:val="30"/>
        </w:rPr>
        <w:t xml:space="preserve">The Core Concepts</w:t>
      </w:r>
    </w:p>
    <w:p>
      <w:pPr>
        <w:spacing w:after="160" w:before="0" w:line="288"/>
        <w:jc w:val="left"/>
      </w:pPr>
      <w:r>
        <w:rPr>
          <w:rFonts w:ascii="Cambria" w:cs="Cambria" w:eastAsia="Cambria" w:hAnsi="Cambria"/>
          <w:color w:val="4A4A4A"/>
          <w:sz w:val="21"/>
          <w:szCs w:val="21"/>
        </w:rPr>
        <w:t xml:space="preserve">Seven concepts carry the intellectual weight of the book. They receive unequal space below in proportion to their role in Cialdini's own framework and to the strength or contestedness of their supporting evidence.</w:t>
      </w:r>
    </w:p>
    <w:p>
      <w:pPr>
        <w:pStyle w:val="Heading2"/>
        <w:keepNext/>
        <w:spacing w:after="120" w:before="300"/>
      </w:pPr>
      <w:r>
        <w:rPr>
          <w:rFonts w:ascii="Cambria" w:cs="Cambria" w:eastAsia="Cambria" w:hAnsi="Cambria"/>
          <w:b/>
          <w:bCs/>
          <w:color w:val="1A1A1A"/>
          <w:sz w:val="24"/>
          <w:szCs w:val="24"/>
        </w:rPr>
        <w:t xml:space="preserve">Reciprocation</w:t>
      </w:r>
    </w:p>
    <w:p>
      <w:pPr>
        <w:spacing w:after="40" w:before="140" w:line="276"/>
      </w:pPr>
      <w:r>
        <w:rPr>
          <w:rFonts w:ascii="Calibri" w:cs="Calibri" w:eastAsia="Calibri" w:hAnsi="Calibri"/>
          <w:b/>
          <w:bCs/>
          <w:color w:val="6B2C2C"/>
          <w:spacing w:val="6"/>
          <w:sz w:val="17"/>
          <w:szCs w:val="17"/>
        </w:rPr>
        <w:t xml:space="preserve">WHAT IT MEANS  </w:t>
      </w:r>
      <w:r>
        <w:rPr>
          <w:rFonts w:ascii="Cambria" w:cs="Cambria" w:eastAsia="Cambria" w:hAnsi="Cambria"/>
          <w:color w:val="4A4A4A"/>
          <w:sz w:val="21"/>
          <w:szCs w:val="21"/>
        </w:rPr>
        <w:t xml:space="preserve">The obligation to repay what another person has provided — a near-universal social norm that makes coordinated exchange, trade, and division of labor possible.</w:t>
      </w:r>
    </w:p>
    <w:p>
      <w:pPr>
        <w:spacing w:after="40" w:before="140" w:line="276"/>
      </w:pPr>
      <w:r>
        <w:rPr>
          <w:rFonts w:ascii="Calibri" w:cs="Calibri" w:eastAsia="Calibri" w:hAnsi="Calibri"/>
          <w:b/>
          <w:bCs/>
          <w:color w:val="6B2C2C"/>
          <w:spacing w:val="6"/>
          <w:sz w:val="17"/>
          <w:szCs w:val="17"/>
        </w:rPr>
        <w:t xml:space="preserve">WHAT THE AUTHOR CLAIMS  </w:t>
      </w:r>
      <w:r>
        <w:rPr>
          <w:rFonts w:ascii="Cambria" w:cs="Cambria" w:eastAsia="Cambria" w:hAnsi="Cambria"/>
          <w:color w:val="4A4A4A"/>
          <w:sz w:val="21"/>
          <w:szCs w:val="21"/>
        </w:rPr>
        <w:t xml:space="preserve">Reciprocation is powerful enough to work even when the initial gift is unsolicited, small relative to what's requested in return, or given by someone disliked. Cialdini cites unsolicited-gift fundraising and free-sample tactics as exploiting this, and describes the “rejection-then-retreat” (door-in-the-face) technique: a large request first, then retreat to the smaller target request — accepted both as a reciprocated concession and via perceptual contrast.</w:t>
      </w:r>
    </w:p>
    <w:p>
      <w:pPr>
        <w:spacing w:after="40" w:before="140" w:line="276"/>
      </w:pPr>
      <w:r>
        <w:rPr>
          <w:rFonts w:ascii="Calibri" w:cs="Calibri" w:eastAsia="Calibri" w:hAnsi="Calibri"/>
          <w:b/>
          <w:bCs/>
          <w:color w:val="6B2C2C"/>
          <w:spacing w:val="6"/>
          <w:sz w:val="17"/>
          <w:szCs w:val="17"/>
        </w:rPr>
        <w:t xml:space="preserve">WHY IT MATTERS  </w:t>
      </w:r>
      <w:r>
        <w:rPr>
          <w:rFonts w:ascii="Cambria" w:cs="Cambria" w:eastAsia="Cambria" w:hAnsi="Cambria"/>
          <w:color w:val="4A4A4A"/>
          <w:sz w:val="21"/>
          <w:szCs w:val="21"/>
        </w:rPr>
        <w:t xml:space="preserve">Presented as the most primal and cross-culturally universal principle, tied to Cialdini's broader claim about the evolutionary importance of reciprocal exchange to human cooperation.</w:t>
      </w:r>
    </w:p>
    <w:p>
      <w:pPr>
        <w:spacing w:after="40" w:before="140" w:line="276"/>
      </w:pPr>
      <w:r>
        <w:rPr>
          <w:rFonts w:ascii="Calibri" w:cs="Calibri" w:eastAsia="Calibri" w:hAnsi="Calibri"/>
          <w:b/>
          <w:bCs/>
          <w:color w:val="6B2C2C"/>
          <w:spacing w:val="6"/>
          <w:sz w:val="17"/>
          <w:szCs w:val="17"/>
        </w:rPr>
        <w:t xml:space="preserve">PRACTICAL IMPLICATION  </w:t>
      </w:r>
      <w:r>
        <w:rPr>
          <w:rFonts w:ascii="Cambria" w:cs="Cambria" w:eastAsia="Cambria" w:hAnsi="Cambria"/>
          <w:color w:val="4A4A4A"/>
          <w:sz w:val="21"/>
          <w:szCs w:val="21"/>
        </w:rPr>
        <w:t xml:space="preserve">An unsolicited favor is not free; it creates a real psychological pull toward repayment disproportionate to the favor's actual value. Recognizing an unsolicited “gift” as a possible trigger, rather than automatically returning it, is the defense Cialdini recommends.</w:t>
      </w:r>
    </w:p>
    <w:p>
      <w:pPr>
        <w:spacing w:after="40" w:before="140" w:line="276"/>
      </w:pPr>
      <w:r>
        <w:rPr>
          <w:rFonts w:ascii="Calibri" w:cs="Calibri" w:eastAsia="Calibri" w:hAnsi="Calibri"/>
          <w:b/>
          <w:bCs/>
          <w:color w:val="6B2C2C"/>
          <w:spacing w:val="6"/>
          <w:sz w:val="17"/>
          <w:szCs w:val="17"/>
        </w:rPr>
        <w:t xml:space="preserve">IMPORTANT LIMITATION  </w:t>
      </w:r>
      <w:r>
        <w:rPr>
          <w:rFonts w:ascii="Cambria" w:cs="Cambria" w:eastAsia="Cambria" w:hAnsi="Cambria"/>
          <w:color w:val="4A4A4A"/>
          <w:sz w:val="21"/>
          <w:szCs w:val="21"/>
        </w:rPr>
        <w:t xml:space="preserve">Cialdini does not clearly quantify how large a “small” gift can be before the effect saturates or reverses, nor how it varies by culture, income, or relationship closeness — the principle is described qualitatively, from field observation and a limited set of experiments, not a generalizable dose-response model.</w:t>
      </w:r>
    </w:p>
    <w:p>
      <w:pPr>
        <w:pStyle w:val="Heading2"/>
        <w:keepNext/>
        <w:spacing w:after="120" w:before="300"/>
      </w:pPr>
      <w:r>
        <w:rPr>
          <w:rFonts w:ascii="Cambria" w:cs="Cambria" w:eastAsia="Cambria" w:hAnsi="Cambria"/>
          <w:b/>
          <w:bCs/>
          <w:color w:val="1A1A1A"/>
          <w:sz w:val="24"/>
          <w:szCs w:val="24"/>
        </w:rPr>
        <w:t xml:space="preserve">Commitment and Consistency</w:t>
      </w:r>
    </w:p>
    <w:p>
      <w:pPr>
        <w:spacing w:after="40" w:before="140" w:line="276"/>
      </w:pPr>
      <w:r>
        <w:rPr>
          <w:rFonts w:ascii="Calibri" w:cs="Calibri" w:eastAsia="Calibri" w:hAnsi="Calibri"/>
          <w:b/>
          <w:bCs/>
          <w:color w:val="6B2C2C"/>
          <w:spacing w:val="6"/>
          <w:sz w:val="17"/>
          <w:szCs w:val="17"/>
        </w:rPr>
        <w:t xml:space="preserve">WHAT IT MEANS  </w:t>
      </w:r>
      <w:r>
        <w:rPr>
          <w:rFonts w:ascii="Cambria" w:cs="Cambria" w:eastAsia="Cambria" w:hAnsi="Cambria"/>
          <w:color w:val="4A4A4A"/>
          <w:sz w:val="21"/>
          <w:szCs w:val="21"/>
        </w:rPr>
        <w:t xml:space="preserve">Once a person makes a stand — especially in writing, publicly, or with effort attached — they feel internal and social pressure to behave consistently with it, even if the original reasons no longer apply.</w:t>
      </w:r>
    </w:p>
    <w:p>
      <w:pPr>
        <w:spacing w:after="40" w:before="140" w:line="276"/>
      </w:pPr>
      <w:r>
        <w:rPr>
          <w:rFonts w:ascii="Calibri" w:cs="Calibri" w:eastAsia="Calibri" w:hAnsi="Calibri"/>
          <w:b/>
          <w:bCs/>
          <w:color w:val="6B2C2C"/>
          <w:spacing w:val="6"/>
          <w:sz w:val="17"/>
          <w:szCs w:val="17"/>
        </w:rPr>
        <w:t xml:space="preserve">WHAT THE AUTHOR CLAIMS  </w:t>
      </w:r>
      <w:r>
        <w:rPr>
          <w:rFonts w:ascii="Cambria" w:cs="Cambria" w:eastAsia="Cambria" w:hAnsi="Cambria"/>
          <w:color w:val="4A4A4A"/>
          <w:sz w:val="21"/>
          <w:szCs w:val="21"/>
        </w:rPr>
        <w:t xml:space="preserve">Small initial commitments (foot-in-the-door) make people far more likely to agree to escalated, related requests later, because refusing would conflict with their self-image as someone who already agreed. Cialdini's most striking case study is Chinese Communist POW camps during the Korean War, where prisoners were induced to make small, seemingly trivial written or verbal statements that were then leveraged into larger ideological shifts and collaboration — described as more effective long-term than physical coercion.</w:t>
      </w:r>
    </w:p>
    <w:p>
      <w:pPr>
        <w:spacing w:after="40" w:before="140" w:line="276"/>
      </w:pPr>
      <w:r>
        <w:rPr>
          <w:rFonts w:ascii="Calibri" w:cs="Calibri" w:eastAsia="Calibri" w:hAnsi="Calibri"/>
          <w:b/>
          <w:bCs/>
          <w:color w:val="6B2C2C"/>
          <w:spacing w:val="6"/>
          <w:sz w:val="17"/>
          <w:szCs w:val="17"/>
        </w:rPr>
        <w:t xml:space="preserve">WHY IT MATTERS  </w:t>
      </w:r>
      <w:r>
        <w:rPr>
          <w:rFonts w:ascii="Cambria" w:cs="Cambria" w:eastAsia="Cambria" w:hAnsi="Cambria"/>
          <w:color w:val="4A4A4A"/>
          <w:sz w:val="21"/>
          <w:szCs w:val="21"/>
        </w:rPr>
        <w:t xml:space="preserve">Explains why active, self-generated commitments are stickier than externally imposed ones — consistency pressure comes from the self-concept, not from the requester.</w:t>
      </w:r>
    </w:p>
    <w:p>
      <w:pPr>
        <w:spacing w:after="40" w:before="140" w:line="276"/>
      </w:pPr>
      <w:r>
        <w:rPr>
          <w:rFonts w:ascii="Calibri" w:cs="Calibri" w:eastAsia="Calibri" w:hAnsi="Calibri"/>
          <w:b/>
          <w:bCs/>
          <w:color w:val="6B2C2C"/>
          <w:spacing w:val="6"/>
          <w:sz w:val="17"/>
          <w:szCs w:val="17"/>
        </w:rPr>
        <w:t xml:space="preserve">PRACTICAL IMPLICATION  </w:t>
      </w:r>
      <w:r>
        <w:rPr>
          <w:rFonts w:ascii="Cambria" w:cs="Cambria" w:eastAsia="Cambria" w:hAnsi="Cambria"/>
          <w:color w:val="4A4A4A"/>
          <w:sz w:val="21"/>
          <w:szCs w:val="21"/>
        </w:rPr>
        <w:t xml:space="preserve">Be wary of making small commitments, even ones that feel harmless (a survey answer, a verbal “yes, I care about X”), in contexts where an escalated request may follow — the small commitment is often not incidental but instrumental.</w:t>
      </w:r>
    </w:p>
    <w:p>
      <w:pPr>
        <w:spacing w:after="40" w:before="140" w:line="276"/>
      </w:pPr>
      <w:r>
        <w:rPr>
          <w:rFonts w:ascii="Calibri" w:cs="Calibri" w:eastAsia="Calibri" w:hAnsi="Calibri"/>
          <w:b/>
          <w:bCs/>
          <w:color w:val="6B2C2C"/>
          <w:spacing w:val="6"/>
          <w:sz w:val="17"/>
          <w:szCs w:val="17"/>
        </w:rPr>
        <w:t xml:space="preserve">IMPORTANT LIMITATION  </w:t>
      </w:r>
      <w:r>
        <w:rPr>
          <w:rFonts w:ascii="Cambria" w:cs="Cambria" w:eastAsia="Cambria" w:hAnsi="Cambria"/>
          <w:color w:val="4A4A4A"/>
          <w:sz w:val="21"/>
          <w:szCs w:val="21"/>
        </w:rPr>
        <w:t xml:space="preserve">Generalizing from Korean War POW indoctrination — an extreme, high-stakes, involuntary environment — to everyday low-balling in sales is a significant leap in context. Cialdini presents both under one mechanism, but the coercive backdrop of the POW case (captivity, no exit option) is qualitatively different from a customer's freedom to leave a sales interaction, a difference the book does not fully address.</w:t>
      </w:r>
    </w:p>
    <w:p>
      <w:pPr>
        <w:pStyle w:val="Heading2"/>
        <w:keepNext/>
        <w:spacing w:after="120" w:before="300"/>
      </w:pPr>
      <w:r>
        <w:rPr>
          <w:rFonts w:ascii="Cambria" w:cs="Cambria" w:eastAsia="Cambria" w:hAnsi="Cambria"/>
          <w:b/>
          <w:bCs/>
          <w:color w:val="1A1A1A"/>
          <w:sz w:val="24"/>
          <w:szCs w:val="24"/>
        </w:rPr>
        <w:t xml:space="preserve">Social Proof</w:t>
      </w:r>
    </w:p>
    <w:p>
      <w:pPr>
        <w:spacing w:after="40" w:before="140" w:line="276"/>
      </w:pPr>
      <w:r>
        <w:rPr>
          <w:rFonts w:ascii="Calibri" w:cs="Calibri" w:eastAsia="Calibri" w:hAnsi="Calibri"/>
          <w:b/>
          <w:bCs/>
          <w:color w:val="6B2C2C"/>
          <w:spacing w:val="6"/>
          <w:sz w:val="17"/>
          <w:szCs w:val="17"/>
        </w:rPr>
        <w:t xml:space="preserve">WHAT IT MEANS  </w:t>
      </w:r>
      <w:r>
        <w:rPr>
          <w:rFonts w:ascii="Cambria" w:cs="Cambria" w:eastAsia="Cambria" w:hAnsi="Cambria"/>
          <w:color w:val="4A4A4A"/>
          <w:sz w:val="21"/>
          <w:szCs w:val="21"/>
        </w:rPr>
        <w:t xml:space="preserve">People determine correct behavior in ambiguous situations by observing what others do — especially others perceived as similar to themselves.</w:t>
      </w:r>
    </w:p>
    <w:p>
      <w:pPr>
        <w:spacing w:after="40" w:before="140" w:line="276"/>
      </w:pPr>
      <w:r>
        <w:rPr>
          <w:rFonts w:ascii="Calibri" w:cs="Calibri" w:eastAsia="Calibri" w:hAnsi="Calibri"/>
          <w:b/>
          <w:bCs/>
          <w:color w:val="6B2C2C"/>
          <w:spacing w:val="6"/>
          <w:sz w:val="17"/>
          <w:szCs w:val="17"/>
        </w:rPr>
        <w:t xml:space="preserve">WHAT THE AUTHOR CLAIMS  </w:t>
      </w:r>
      <w:r>
        <w:rPr>
          <w:rFonts w:ascii="Cambria" w:cs="Cambria" w:eastAsia="Cambria" w:hAnsi="Cambria"/>
          <w:color w:val="4A4A4A"/>
          <w:sz w:val="21"/>
          <w:szCs w:val="21"/>
        </w:rPr>
        <w:t xml:space="preserve">Social proof is strongest under uncertainty and similarity: watching a “similar other” act is more persuasive than watching a dissimilar one. Cialdini uses the Kitty Genovese murder case (reported at the time as involving many witnesses who allegedly did nothing) to introduce pluralistic ignorance and diffusion of responsibility — the idea that each bystander infers from others' inaction that intervention isn't needed, and that responsibility to act is diffused across the group. Canned laughter, bestseller lists, and “most popular” labels are cited as manufactured social proof.</w:t>
      </w:r>
    </w:p>
    <w:p>
      <w:pPr>
        <w:spacing w:after="40" w:before="140" w:line="276"/>
      </w:pPr>
      <w:r>
        <w:rPr>
          <w:rFonts w:ascii="Calibri" w:cs="Calibri" w:eastAsia="Calibri" w:hAnsi="Calibri"/>
          <w:b/>
          <w:bCs/>
          <w:color w:val="6B2C2C"/>
          <w:spacing w:val="6"/>
          <w:sz w:val="17"/>
          <w:szCs w:val="17"/>
        </w:rPr>
        <w:t xml:space="preserve">WHY IT MATTERS  </w:t>
      </w:r>
      <w:r>
        <w:rPr>
          <w:rFonts w:ascii="Cambria" w:cs="Cambria" w:eastAsia="Cambria" w:hAnsi="Cambria"/>
          <w:color w:val="4A4A4A"/>
          <w:sz w:val="21"/>
          <w:szCs w:val="21"/>
        </w:rPr>
        <w:t xml:space="preserve">One of the two principles (with liking) most directly connected to mainstream marketing today — testimonials, “join millions who…,” user reviews.</w:t>
      </w:r>
    </w:p>
    <w:p>
      <w:pPr>
        <w:spacing w:after="40" w:before="140" w:line="276"/>
      </w:pPr>
      <w:r>
        <w:rPr>
          <w:rFonts w:ascii="Calibri" w:cs="Calibri" w:eastAsia="Calibri" w:hAnsi="Calibri"/>
          <w:b/>
          <w:bCs/>
          <w:color w:val="6B2C2C"/>
          <w:spacing w:val="6"/>
          <w:sz w:val="17"/>
          <w:szCs w:val="17"/>
        </w:rPr>
        <w:t xml:space="preserve">PRACTICAL IMPLICATION  </w:t>
      </w:r>
      <w:r>
        <w:rPr>
          <w:rFonts w:ascii="Cambria" w:cs="Cambria" w:eastAsia="Cambria" w:hAnsi="Cambria"/>
          <w:color w:val="4A4A4A"/>
          <w:sz w:val="21"/>
          <w:szCs w:val="21"/>
        </w:rPr>
        <w:t xml:space="preserve">Deliberately manufactured cues of popularity (fake reviews, seeded crowds, canned laughter) should trigger skepticism proportional to how easily they can be fabricated.</w:t>
      </w:r>
    </w:p>
    <w:tbl>
      <w:tblPr>
        <w:tblW w:type="dxa" w:w="9360"/>
        <w:tblBorders>
          <w:top w:val="single" w:color="C9C7C2" w:sz="4"/>
          <w:left w:val="single" w:color="6B2C2C" w:sz="16"/>
          <w:bottom w:val="single" w:color="C9C7C2" w:sz="4"/>
          <w:right w:val="none" w:color="FFFFFF" w:sz="0"/>
          <w:insideH w:val="none" w:color="FFFFFF" w:sz="0"/>
          <w:insideV w:val="none" w:color="FFFFFF" w:sz="0"/>
        </w:tblBorders>
      </w:tblPr>
      <w:tblGrid>
        <w:gridCol w:w="9360"/>
      </w:tblGrid>
      <w:tr>
        <w:trPr>
          <w:cantSplit/>
        </w:trPr>
        <w:tc>
          <w:tcPr>
            <w:tcW w:type="dxa" w:w="9360"/>
            <w:shd w:fill="F4F3F0" w:color="auto" w:val="clear"/>
            <w:tcMar>
              <w:top w:type="dxa" w:w="160"/>
              <w:left w:type="dxa" w:w="220"/>
              <w:bottom w:type="dxa" w:w="160"/>
              <w:right w:type="dxa" w:w="260"/>
            </w:tcMar>
          </w:tcPr>
          <w:p>
            <w:pPr>
              <w:spacing w:after="60"/>
            </w:pPr>
            <w:r>
              <w:rPr>
                <w:rFonts w:ascii="Calibri" w:cs="Calibri" w:eastAsia="Calibri" w:hAnsi="Calibri"/>
                <w:b/>
                <w:bCs/>
                <w:color w:val="6B2C2C"/>
                <w:spacing w:val="6"/>
                <w:sz w:val="17"/>
                <w:szCs w:val="17"/>
              </w:rPr>
              <w:t xml:space="preserve">IMPORTANT LIMITATION</w:t>
            </w:r>
          </w:p>
          <w:p>
            <w:pPr>
              <w:spacing w:after="0" w:line="276"/>
            </w:pPr>
            <w:r>
              <w:rPr>
                <w:rFonts w:ascii="Cambria" w:cs="Cambria" w:eastAsia="Cambria" w:hAnsi="Cambria"/>
                <w:i w:val="false"/>
                <w:iCs w:val="false"/>
                <w:color w:val="4A4A4A"/>
                <w:sz w:val="20"/>
                <w:szCs w:val="20"/>
              </w:rPr>
              <w:t xml:space="preserve">The specific Kitty Genovese narrative Cialdini uses — widely cited in this era as “38 witnesses who did nothing” — has since been substantially challenged by later journalistic investigation, which found fewer confirmed witnesses and more attempts to intervene than the original reporting claimed. This does not invalidate the separately, experimentally demonstrated bystander effect, but the anecdote itself is weaker evidence than the book presents it as.</w:t>
            </w:r>
          </w:p>
        </w:tc>
      </w:tr>
    </w:tbl>
    <w:p>
      <w:pPr>
        <w:pStyle w:val="Heading2"/>
        <w:keepNext/>
        <w:spacing w:after="120" w:before="300"/>
      </w:pPr>
      <w:r>
        <w:rPr>
          <w:rFonts w:ascii="Cambria" w:cs="Cambria" w:eastAsia="Cambria" w:hAnsi="Cambria"/>
          <w:b/>
          <w:bCs/>
          <w:color w:val="1A1A1A"/>
          <w:sz w:val="24"/>
          <w:szCs w:val="24"/>
        </w:rPr>
        <w:t xml:space="preserve">Liking</w:t>
      </w:r>
    </w:p>
    <w:p>
      <w:pPr>
        <w:spacing w:after="40" w:before="140" w:line="276"/>
      </w:pPr>
      <w:r>
        <w:rPr>
          <w:rFonts w:ascii="Calibri" w:cs="Calibri" w:eastAsia="Calibri" w:hAnsi="Calibri"/>
          <w:b/>
          <w:bCs/>
          <w:color w:val="6B2C2C"/>
          <w:spacing w:val="6"/>
          <w:sz w:val="17"/>
          <w:szCs w:val="17"/>
        </w:rPr>
        <w:t xml:space="preserve">WHAT IT MEANS  </w:t>
      </w:r>
      <w:r>
        <w:rPr>
          <w:rFonts w:ascii="Cambria" w:cs="Cambria" w:eastAsia="Cambria" w:hAnsi="Cambria"/>
          <w:color w:val="4A4A4A"/>
          <w:sz w:val="21"/>
          <w:szCs w:val="21"/>
        </w:rPr>
        <w:t xml:space="preserve">People are more easily persuaded by people they like, and liking itself is reliably increased by identifiable factors: physical attractiveness, similarity, compliments, familiarity/contact, and positive association.</w:t>
      </w:r>
    </w:p>
    <w:p>
      <w:pPr>
        <w:spacing w:after="40" w:before="140" w:line="276"/>
      </w:pPr>
      <w:r>
        <w:rPr>
          <w:rFonts w:ascii="Calibri" w:cs="Calibri" w:eastAsia="Calibri" w:hAnsi="Calibri"/>
          <w:b/>
          <w:bCs/>
          <w:color w:val="6B2C2C"/>
          <w:spacing w:val="6"/>
          <w:sz w:val="17"/>
          <w:szCs w:val="17"/>
        </w:rPr>
        <w:t xml:space="preserve">WHAT THE AUTHOR CLAIMS  </w:t>
      </w:r>
      <w:r>
        <w:rPr>
          <w:rFonts w:ascii="Cambria" w:cs="Cambria" w:eastAsia="Cambria" w:hAnsi="Cambria"/>
          <w:color w:val="4A4A4A"/>
          <w:sz w:val="21"/>
          <w:szCs w:val="21"/>
        </w:rPr>
        <w:t xml:space="preserve">Physical attractiveness produces a “halo effect” — attractive people are unconsciously credited with unrelated positive traits (talent, honesty, intelligence), measurably affecting outcomes like hiring and judicial leniency in studies Cialdini cites. Cooperation toward shared goals increases liking; mere repeated positive contact increases liking; and people bask in reflected glory (BIRGing) from association with winners — wearing team apparel after a win, using “we” for a team's win but “they” for its loss.</w:t>
      </w:r>
    </w:p>
    <w:p>
      <w:pPr>
        <w:spacing w:after="40" w:before="140" w:line="276"/>
      </w:pPr>
      <w:r>
        <w:rPr>
          <w:rFonts w:ascii="Calibri" w:cs="Calibri" w:eastAsia="Calibri" w:hAnsi="Calibri"/>
          <w:b/>
          <w:bCs/>
          <w:color w:val="6B2C2C"/>
          <w:spacing w:val="6"/>
          <w:sz w:val="17"/>
          <w:szCs w:val="17"/>
        </w:rPr>
        <w:t xml:space="preserve">WHY IT MATTERS  </w:t>
      </w:r>
      <w:r>
        <w:rPr>
          <w:rFonts w:ascii="Cambria" w:cs="Cambria" w:eastAsia="Cambria" w:hAnsi="Cambria"/>
          <w:color w:val="4A4A4A"/>
          <w:sz w:val="21"/>
          <w:szCs w:val="21"/>
        </w:rPr>
        <w:t xml:space="preserve">Liking is the principle most directly exploited by relationship-based sales models (e.g., multi-level marketing through friend and family networks) — uniquely effective, Cialdini argues, because it fuses liking with reciprocity and social proof simultaneously.</w:t>
      </w:r>
    </w:p>
    <w:p>
      <w:pPr>
        <w:spacing w:after="40" w:before="140" w:line="276"/>
      </w:pPr>
      <w:r>
        <w:rPr>
          <w:rFonts w:ascii="Calibri" w:cs="Calibri" w:eastAsia="Calibri" w:hAnsi="Calibri"/>
          <w:b/>
          <w:bCs/>
          <w:color w:val="6B2C2C"/>
          <w:spacing w:val="6"/>
          <w:sz w:val="17"/>
          <w:szCs w:val="17"/>
        </w:rPr>
        <w:t xml:space="preserve">PRACTICAL IMPLICATION  </w:t>
      </w:r>
      <w:r>
        <w:rPr>
          <w:rFonts w:ascii="Cambria" w:cs="Cambria" w:eastAsia="Cambria" w:hAnsi="Cambria"/>
          <w:color w:val="4A4A4A"/>
          <w:sz w:val="21"/>
          <w:szCs w:val="21"/>
        </w:rPr>
        <w:t xml:space="preserve">Sales relationships deliberately engineered to feel like friendship should be evaluated on the same terms as the underlying transaction, independent of the rapport.</w:t>
      </w:r>
    </w:p>
    <w:p>
      <w:pPr>
        <w:spacing w:after="40" w:before="140" w:line="276"/>
      </w:pPr>
      <w:r>
        <w:rPr>
          <w:rFonts w:ascii="Calibri" w:cs="Calibri" w:eastAsia="Calibri" w:hAnsi="Calibri"/>
          <w:b/>
          <w:bCs/>
          <w:color w:val="6B2C2C"/>
          <w:spacing w:val="6"/>
          <w:sz w:val="17"/>
          <w:szCs w:val="17"/>
        </w:rPr>
        <w:t xml:space="preserve">IMPORTANT LIMITATION  </w:t>
      </w:r>
      <w:r>
        <w:rPr>
          <w:rFonts w:ascii="Cambria" w:cs="Cambria" w:eastAsia="Cambria" w:hAnsi="Cambria"/>
          <w:color w:val="4A4A4A"/>
          <w:sz w:val="21"/>
          <w:szCs w:val="21"/>
        </w:rPr>
        <w:t xml:space="preserve">The attractiveness-halo and association effects Cialdini cites are drawn from real published research, but effect sizes and durability outside the specific cited studies are not discussed — the reader gets confident direction of effect, not its magnitude or the conditions under which it weakens.</w:t>
      </w:r>
    </w:p>
    <w:p>
      <w:pPr>
        <w:pStyle w:val="Heading2"/>
        <w:keepNext/>
        <w:spacing w:after="120" w:before="300"/>
      </w:pPr>
      <w:r>
        <w:rPr>
          <w:rFonts w:ascii="Cambria" w:cs="Cambria" w:eastAsia="Cambria" w:hAnsi="Cambria"/>
          <w:b/>
          <w:bCs/>
          <w:color w:val="1A1A1A"/>
          <w:sz w:val="24"/>
          <w:szCs w:val="24"/>
        </w:rPr>
        <w:t xml:space="preserve">Authority</w:t>
      </w:r>
    </w:p>
    <w:p>
      <w:pPr>
        <w:spacing w:after="40" w:before="140" w:line="276"/>
      </w:pPr>
      <w:r>
        <w:rPr>
          <w:rFonts w:ascii="Calibri" w:cs="Calibri" w:eastAsia="Calibri" w:hAnsi="Calibri"/>
          <w:b/>
          <w:bCs/>
          <w:color w:val="6B2C2C"/>
          <w:spacing w:val="6"/>
          <w:sz w:val="17"/>
          <w:szCs w:val="17"/>
        </w:rPr>
        <w:t xml:space="preserve">WHAT IT MEANS  </w:t>
      </w:r>
      <w:r>
        <w:rPr>
          <w:rFonts w:ascii="Cambria" w:cs="Cambria" w:eastAsia="Cambria" w:hAnsi="Cambria"/>
          <w:color w:val="4A4A4A"/>
          <w:sz w:val="21"/>
          <w:szCs w:val="21"/>
        </w:rPr>
        <w:t xml:space="preserve">People show a strong, often unreflective tendency to comply with directives from perceived authority figures — a tendency triggerable by symbols of authority (titles, clothing, uniforms) independent of genuine expertise or legitimacy.</w:t>
      </w:r>
    </w:p>
    <w:p>
      <w:pPr>
        <w:spacing w:after="40" w:before="140" w:line="276"/>
      </w:pPr>
      <w:r>
        <w:rPr>
          <w:rFonts w:ascii="Calibri" w:cs="Calibri" w:eastAsia="Calibri" w:hAnsi="Calibri"/>
          <w:b/>
          <w:bCs/>
          <w:color w:val="6B2C2C"/>
          <w:spacing w:val="6"/>
          <w:sz w:val="17"/>
          <w:szCs w:val="17"/>
        </w:rPr>
        <w:t xml:space="preserve">WHAT THE AUTHOR CLAIMS  </w:t>
      </w:r>
      <w:r>
        <w:rPr>
          <w:rFonts w:ascii="Cambria" w:cs="Cambria" w:eastAsia="Cambria" w:hAnsi="Cambria"/>
          <w:color w:val="4A4A4A"/>
          <w:sz w:val="21"/>
          <w:szCs w:val="21"/>
        </w:rPr>
        <w:t xml:space="preserve">This is one of the most heavily evidenced sections of the book. Cialdini leans extensively on Stanley Milgram's obedience experiments, in which a majority of participants administered what they believed were dangerous or lethal electric shocks to another person simply because an experimenter in a lab coat instructed them to continue. He generalizes this to symbols of authority more broadly, citing hospital studies of nurses following clearly improper orders from unfamiliar “doctors” over the phone — arguing that surface trappings of authority can trigger obedience even absent verified legitimacy.</w:t>
      </w:r>
    </w:p>
    <w:p>
      <w:pPr>
        <w:spacing w:after="40" w:before="140" w:line="276"/>
      </w:pPr>
      <w:r>
        <w:rPr>
          <w:rFonts w:ascii="Calibri" w:cs="Calibri" w:eastAsia="Calibri" w:hAnsi="Calibri"/>
          <w:b/>
          <w:bCs/>
          <w:color w:val="6B2C2C"/>
          <w:spacing w:val="6"/>
          <w:sz w:val="17"/>
          <w:szCs w:val="17"/>
        </w:rPr>
        <w:t xml:space="preserve">WHY IT MATTERS  </w:t>
      </w:r>
      <w:r>
        <w:rPr>
          <w:rFonts w:ascii="Cambria" w:cs="Cambria" w:eastAsia="Cambria" w:hAnsi="Cambria"/>
          <w:color w:val="4A4A4A"/>
          <w:sz w:val="21"/>
          <w:szCs w:val="21"/>
        </w:rPr>
        <w:t xml:space="preserve">Presented as the principle with the starkest gap between the automatic response's usual reliability (experts usually do know more) and its catastrophic failure mode (blind obedience to illegitimate or fraudulent authority).</w:t>
      </w:r>
    </w:p>
    <w:p>
      <w:pPr>
        <w:spacing w:after="40" w:before="140" w:line="276"/>
      </w:pPr>
      <w:r>
        <w:rPr>
          <w:rFonts w:ascii="Calibri" w:cs="Calibri" w:eastAsia="Calibri" w:hAnsi="Calibri"/>
          <w:b/>
          <w:bCs/>
          <w:color w:val="6B2C2C"/>
          <w:spacing w:val="6"/>
          <w:sz w:val="17"/>
          <w:szCs w:val="17"/>
        </w:rPr>
        <w:t xml:space="preserve">PRACTICAL IMPLICATION  </w:t>
      </w:r>
      <w:r>
        <w:rPr>
          <w:rFonts w:ascii="Cambria" w:cs="Cambria" w:eastAsia="Cambria" w:hAnsi="Cambria"/>
          <w:color w:val="4A4A4A"/>
          <w:sz w:val="21"/>
          <w:szCs w:val="21"/>
        </w:rPr>
        <w:t xml:space="preserve">Cialdini recommends two questions when facing an authority figure: “Is this person truly an expert?” and “How truthful can we expect this expert to be here?” — separating the trigger (trappings of authority) from its substance (verified expertise and disinterestedness).</w:t>
      </w:r>
    </w:p>
    <w:tbl>
      <w:tblPr>
        <w:tblW w:type="dxa" w:w="9360"/>
        <w:tblBorders>
          <w:top w:val="single" w:color="C9C7C2" w:sz="4"/>
          <w:left w:val="single" w:color="6B2C2C" w:sz="16"/>
          <w:bottom w:val="single" w:color="C9C7C2" w:sz="4"/>
          <w:right w:val="none" w:color="FFFFFF" w:sz="0"/>
          <w:insideH w:val="none" w:color="FFFFFF" w:sz="0"/>
          <w:insideV w:val="none" w:color="FFFFFF" w:sz="0"/>
        </w:tblBorders>
      </w:tblPr>
      <w:tblGrid>
        <w:gridCol w:w="9360"/>
      </w:tblGrid>
      <w:tr>
        <w:trPr>
          <w:cantSplit/>
        </w:trPr>
        <w:tc>
          <w:tcPr>
            <w:tcW w:type="dxa" w:w="9360"/>
            <w:shd w:fill="F4F3F0" w:color="auto" w:val="clear"/>
            <w:tcMar>
              <w:top w:type="dxa" w:w="160"/>
              <w:left w:type="dxa" w:w="220"/>
              <w:bottom w:type="dxa" w:w="160"/>
              <w:right w:type="dxa" w:w="260"/>
            </w:tcMar>
          </w:tcPr>
          <w:p>
            <w:pPr>
              <w:spacing w:after="60"/>
            </w:pPr>
            <w:r>
              <w:rPr>
                <w:rFonts w:ascii="Calibri" w:cs="Calibri" w:eastAsia="Calibri" w:hAnsi="Calibri"/>
                <w:b/>
                <w:bCs/>
                <w:color w:val="6B2C2C"/>
                <w:spacing w:val="6"/>
                <w:sz w:val="17"/>
                <w:szCs w:val="17"/>
              </w:rPr>
              <w:t xml:space="preserve">IMPORTANT LIMITATION</w:t>
            </w:r>
          </w:p>
          <w:p>
            <w:pPr>
              <w:spacing w:after="0" w:line="276"/>
            </w:pPr>
            <w:r>
              <w:rPr>
                <w:rFonts w:ascii="Cambria" w:cs="Cambria" w:eastAsia="Cambria" w:hAnsi="Cambria"/>
                <w:i w:val="false"/>
                <w:iCs w:val="false"/>
                <w:color w:val="4A4A4A"/>
                <w:sz w:val="20"/>
                <w:szCs w:val="20"/>
              </w:rPr>
              <w:t xml:space="preserve">Milgram's base finding (high compliance under experimenter pressure) has broadly replicated, but the “blind deference to authority” interpretation is now contested — later archival and theoretical work proposes a more specific “engaged followership” mechanism instead.</w:t>
            </w:r>
          </w:p>
        </w:tc>
      </w:tr>
    </w:tbl>
    <w:p>
      <w:pPr>
        <w:pStyle w:val="Heading2"/>
        <w:keepNext/>
        <w:spacing w:after="120" w:before="300"/>
      </w:pPr>
      <w:r>
        <w:rPr>
          <w:rFonts w:ascii="Cambria" w:cs="Cambria" w:eastAsia="Cambria" w:hAnsi="Cambria"/>
          <w:b/>
          <w:bCs/>
          <w:color w:val="1A1A1A"/>
          <w:sz w:val="24"/>
          <w:szCs w:val="24"/>
        </w:rPr>
        <w:t xml:space="preserve">Scarcity</w:t>
      </w:r>
    </w:p>
    <w:p>
      <w:pPr>
        <w:spacing w:after="40" w:before="140" w:line="276"/>
      </w:pPr>
      <w:r>
        <w:rPr>
          <w:rFonts w:ascii="Calibri" w:cs="Calibri" w:eastAsia="Calibri" w:hAnsi="Calibri"/>
          <w:b/>
          <w:bCs/>
          <w:color w:val="6B2C2C"/>
          <w:spacing w:val="6"/>
          <w:sz w:val="17"/>
          <w:szCs w:val="17"/>
        </w:rPr>
        <w:t xml:space="preserve">WHAT IT MEANS  </w:t>
      </w:r>
      <w:r>
        <w:rPr>
          <w:rFonts w:ascii="Cambria" w:cs="Cambria" w:eastAsia="Cambria" w:hAnsi="Cambria"/>
          <w:color w:val="4A4A4A"/>
          <w:sz w:val="21"/>
          <w:szCs w:val="21"/>
        </w:rPr>
        <w:t xml:space="preserve">Opportunities, objects, and information seem more valuable as they become less available, more restricted, or more likely to disappear.</w:t>
      </w:r>
    </w:p>
    <w:p>
      <w:pPr>
        <w:spacing w:after="40" w:before="140" w:line="276"/>
      </w:pPr>
      <w:r>
        <w:rPr>
          <w:rFonts w:ascii="Calibri" w:cs="Calibri" w:eastAsia="Calibri" w:hAnsi="Calibri"/>
          <w:b/>
          <w:bCs/>
          <w:color w:val="6B2C2C"/>
          <w:spacing w:val="6"/>
          <w:sz w:val="17"/>
          <w:szCs w:val="17"/>
        </w:rPr>
        <w:t xml:space="preserve">WHAT THE AUTHOR CLAIMS  </w:t>
      </w:r>
      <w:r>
        <w:rPr>
          <w:rFonts w:ascii="Cambria" w:cs="Cambria" w:eastAsia="Cambria" w:hAnsi="Cambria"/>
          <w:color w:val="4A4A4A"/>
          <w:sz w:val="21"/>
          <w:szCs w:val="21"/>
        </w:rPr>
        <w:t xml:space="preserve">Scarcity works through two channels: a “scarce = valuable” inferential shortcut (things are hard to get because they're good), and psychological reactance — when freedoms are threatened or restricted, people want the restricted option more, precisely because it's restricted. Cialdini cites “limited number” and “limited time” sales tactics and the effect of censorship increasing desire for suppressed material. The effect is amplified by newly-imposed restriction (more reaction than chronic scarcity) and by competition over the scarce resource.</w:t>
      </w:r>
    </w:p>
    <w:p>
      <w:pPr>
        <w:spacing w:after="40" w:before="140" w:line="276"/>
      </w:pPr>
      <w:r>
        <w:rPr>
          <w:rFonts w:ascii="Calibri" w:cs="Calibri" w:eastAsia="Calibri" w:hAnsi="Calibri"/>
          <w:b/>
          <w:bCs/>
          <w:color w:val="6B2C2C"/>
          <w:spacing w:val="6"/>
          <w:sz w:val="17"/>
          <w:szCs w:val="17"/>
        </w:rPr>
        <w:t xml:space="preserve">WHY IT MATTERS  </w:t>
      </w:r>
      <w:r>
        <w:rPr>
          <w:rFonts w:ascii="Cambria" w:cs="Cambria" w:eastAsia="Cambria" w:hAnsi="Cambria"/>
          <w:color w:val="4A4A4A"/>
          <w:sz w:val="21"/>
          <w:szCs w:val="21"/>
        </w:rPr>
        <w:t xml:space="preserve">Presented as the principle most closely tied to loss aversion — Cialdini frames potential loss as a more powerful motivator than potential gain, a claim that parallels prospect theory in behavioral economics.</w:t>
      </w:r>
    </w:p>
    <w:p>
      <w:pPr>
        <w:spacing w:after="40" w:before="140" w:line="276"/>
      </w:pPr>
      <w:r>
        <w:rPr>
          <w:rFonts w:ascii="Calibri" w:cs="Calibri" w:eastAsia="Calibri" w:hAnsi="Calibri"/>
          <w:b/>
          <w:bCs/>
          <w:color w:val="6B2C2C"/>
          <w:spacing w:val="6"/>
          <w:sz w:val="17"/>
          <w:szCs w:val="17"/>
        </w:rPr>
        <w:t xml:space="preserve">PRACTICAL IMPLICATION  </w:t>
      </w:r>
      <w:r>
        <w:rPr>
          <w:rFonts w:ascii="Cambria" w:cs="Cambria" w:eastAsia="Cambria" w:hAnsi="Cambria"/>
          <w:color w:val="4A4A4A"/>
          <w:sz w:val="21"/>
          <w:szCs w:val="21"/>
        </w:rPr>
        <w:t xml:space="preserve">Artificial deadlines and “limited quantity” framing should prompt the question: do I want this for its independent merits, or because I've been told I might not get it?</w:t>
      </w:r>
    </w:p>
    <w:p>
      <w:pPr>
        <w:spacing w:after="40" w:before="140" w:line="276"/>
      </w:pPr>
      <w:r>
        <w:rPr>
          <w:rFonts w:ascii="Calibri" w:cs="Calibri" w:eastAsia="Calibri" w:hAnsi="Calibri"/>
          <w:b/>
          <w:bCs/>
          <w:color w:val="6B2C2C"/>
          <w:spacing w:val="6"/>
          <w:sz w:val="17"/>
          <w:szCs w:val="17"/>
        </w:rPr>
        <w:t xml:space="preserve">IMPORTANT LIMITATION  </w:t>
      </w:r>
      <w:r>
        <w:rPr>
          <w:rFonts w:ascii="Cambria" w:cs="Cambria" w:eastAsia="Cambria" w:hAnsi="Cambria"/>
          <w:color w:val="4A4A4A"/>
          <w:sz w:val="21"/>
          <w:szCs w:val="21"/>
        </w:rPr>
        <w:t xml:space="preserve">The reactance mechanism is a well-established construct in psychology (originating with Jack Brehm), but Cialdini's application to consumer scarcity tactics is largely illustrative rather than quantitatively tested within the book — no controlled comparison of framing effect sizes against non-scarcity conditions is reported.</w:t>
      </w:r>
    </w:p>
    <w:p>
      <w:pPr>
        <w:pStyle w:val="Heading2"/>
        <w:keepNext/>
        <w:spacing w:after="120" w:before="300"/>
      </w:pPr>
      <w:r>
        <w:rPr>
          <w:rFonts w:ascii="Cambria" w:cs="Cambria" w:eastAsia="Cambria" w:hAnsi="Cambria"/>
          <w:b/>
          <w:bCs/>
          <w:color w:val="1A1A1A"/>
          <w:sz w:val="24"/>
          <w:szCs w:val="24"/>
        </w:rPr>
        <w:t xml:space="preserve">Unity</w:t>
      </w:r>
    </w:p>
    <w:p>
      <w:pPr>
        <w:spacing w:after="60"/>
      </w:pPr>
      <w:r>
        <w:rPr>
          <w:rFonts w:ascii="Cambria" w:cs="Cambria" w:eastAsia="Cambria" w:hAnsi="Cambria"/>
          <w:i/>
          <w:iCs/>
          <w:color w:val="757575"/>
          <w:sz w:val="19"/>
          <w:szCs w:val="19"/>
        </w:rPr>
        <w:t xml:space="preserve">Added in the 2021 revised edition</w:t>
      </w:r>
    </w:p>
    <w:p>
      <w:pPr>
        <w:spacing w:after="40" w:before="140" w:line="276"/>
      </w:pPr>
      <w:r>
        <w:rPr>
          <w:rFonts w:ascii="Calibri" w:cs="Calibri" w:eastAsia="Calibri" w:hAnsi="Calibri"/>
          <w:b/>
          <w:bCs/>
          <w:color w:val="6B2C2C"/>
          <w:spacing w:val="6"/>
          <w:sz w:val="17"/>
          <w:szCs w:val="17"/>
        </w:rPr>
        <w:t xml:space="preserve">WHAT IT MEANS  </w:t>
      </w:r>
      <w:r>
        <w:rPr>
          <w:rFonts w:ascii="Cambria" w:cs="Cambria" w:eastAsia="Cambria" w:hAnsi="Cambria"/>
          <w:color w:val="4A4A4A"/>
          <w:sz w:val="21"/>
          <w:szCs w:val="21"/>
        </w:rPr>
        <w:t xml:space="preserve">A category distinct from mere liking: compliance is heightened not just by feeling positively toward someone but by perceiving them as sharing one's fundamental identity — “we-ness” rather than similarity of traits. Cialdini distinguishes categories one is born into (family, ethnicity, nationality — “belonging together”) from categories formed by joint action (working together toward a shared goal — “acting together”).</w:t>
      </w:r>
    </w:p>
    <w:p>
      <w:pPr>
        <w:spacing w:after="40" w:before="140" w:line="276"/>
      </w:pPr>
      <w:r>
        <w:rPr>
          <w:rFonts w:ascii="Calibri" w:cs="Calibri" w:eastAsia="Calibri" w:hAnsi="Calibri"/>
          <w:b/>
          <w:bCs/>
          <w:color w:val="6B2C2C"/>
          <w:spacing w:val="6"/>
          <w:sz w:val="17"/>
          <w:szCs w:val="17"/>
        </w:rPr>
        <w:t xml:space="preserve">WHAT THE AUTHOR CLAIMS  </w:t>
      </w:r>
      <w:r>
        <w:rPr>
          <w:rFonts w:ascii="Cambria" w:cs="Cambria" w:eastAsia="Cambria" w:hAnsi="Cambria"/>
          <w:color w:val="4A4A4A"/>
          <w:sz w:val="21"/>
          <w:szCs w:val="21"/>
        </w:rPr>
        <w:t xml:space="preserve">Unity is a more powerful lever than liking because it engages identity-protection instincts associated with kinship and in-group loyalty, not just interpersonal warmth. Framing a relationship in kinship language (a mentor calling a mentee “like family,” a brand invoking “community”) is claimed to trigger stronger compliance than compliments or similarity alone. Even brief, symbolic joint action is claimed to manufacture a sense of unity that increases compliance.</w:t>
      </w:r>
    </w:p>
    <w:p>
      <w:pPr>
        <w:spacing w:after="40" w:before="140" w:line="276"/>
      </w:pPr>
      <w:r>
        <w:rPr>
          <w:rFonts w:ascii="Calibri" w:cs="Calibri" w:eastAsia="Calibri" w:hAnsi="Calibri"/>
          <w:b/>
          <w:bCs/>
          <w:color w:val="6B2C2C"/>
          <w:spacing w:val="6"/>
          <w:sz w:val="17"/>
          <w:szCs w:val="17"/>
        </w:rPr>
        <w:t xml:space="preserve">WHY IT MATTERS  </w:t>
      </w:r>
      <w:r>
        <w:rPr>
          <w:rFonts w:ascii="Cambria" w:cs="Cambria" w:eastAsia="Cambria" w:hAnsi="Cambria"/>
          <w:color w:val="4A4A4A"/>
          <w:sz w:val="21"/>
          <w:szCs w:val="21"/>
        </w:rPr>
        <w:t xml:space="preserve">The newest, least battle-tested principle in the framework, added nearly four decades after the original edition — filling a gap where compliance is driven by identity rather than exchange, consistency, evidence, affect, deference, or urgency.</w:t>
      </w:r>
    </w:p>
    <w:p>
      <w:pPr>
        <w:spacing w:after="40" w:before="140" w:line="276"/>
      </w:pPr>
      <w:r>
        <w:rPr>
          <w:rFonts w:ascii="Calibri" w:cs="Calibri" w:eastAsia="Calibri" w:hAnsi="Calibri"/>
          <w:b/>
          <w:bCs/>
          <w:color w:val="6B2C2C"/>
          <w:spacing w:val="6"/>
          <w:sz w:val="17"/>
          <w:szCs w:val="17"/>
        </w:rPr>
        <w:t xml:space="preserve">PRACTICAL IMPLICATION  </w:t>
      </w:r>
      <w:r>
        <w:rPr>
          <w:rFonts w:ascii="Cambria" w:cs="Cambria" w:eastAsia="Cambria" w:hAnsi="Cambria"/>
          <w:color w:val="4A4A4A"/>
          <w:sz w:val="21"/>
          <w:szCs w:val="21"/>
        </w:rPr>
        <w:t xml:space="preserve">“Community,” “family,” and “team” language used by an organization or salesperson deserves the same scrutiny as any other trigger: is the shared identity real and substantively meaningful, or a manufactured framing device?</w:t>
      </w:r>
    </w:p>
    <w:tbl>
      <w:tblPr>
        <w:tblW w:type="dxa" w:w="9360"/>
        <w:tblBorders>
          <w:top w:val="single" w:color="C9C7C2" w:sz="4"/>
          <w:left w:val="single" w:color="6B2C2C" w:sz="16"/>
          <w:bottom w:val="single" w:color="C9C7C2" w:sz="4"/>
          <w:right w:val="none" w:color="FFFFFF" w:sz="0"/>
          <w:insideH w:val="none" w:color="FFFFFF" w:sz="0"/>
          <w:insideV w:val="none" w:color="FFFFFF" w:sz="0"/>
        </w:tblBorders>
      </w:tblPr>
      <w:tblGrid>
        <w:gridCol w:w="9360"/>
      </w:tblGrid>
      <w:tr>
        <w:trPr>
          <w:cantSplit/>
        </w:trPr>
        <w:tc>
          <w:tcPr>
            <w:tcW w:type="dxa" w:w="9360"/>
            <w:shd w:fill="F4F3F0" w:color="auto" w:val="clear"/>
            <w:tcMar>
              <w:top w:type="dxa" w:w="160"/>
              <w:left w:type="dxa" w:w="220"/>
              <w:bottom w:type="dxa" w:w="160"/>
              <w:right w:type="dxa" w:w="260"/>
            </w:tcMar>
          </w:tcPr>
          <w:p>
            <w:pPr>
              <w:spacing w:after="60"/>
            </w:pPr>
            <w:r>
              <w:rPr>
                <w:rFonts w:ascii="Calibri" w:cs="Calibri" w:eastAsia="Calibri" w:hAnsi="Calibri"/>
                <w:b/>
                <w:bCs/>
                <w:color w:val="6B2C2C"/>
                <w:spacing w:val="6"/>
                <w:sz w:val="17"/>
                <w:szCs w:val="17"/>
              </w:rPr>
              <w:t xml:space="preserve">IMPORTANT LIMITATION</w:t>
            </w:r>
          </w:p>
          <w:p>
            <w:pPr>
              <w:spacing w:after="0" w:line="276"/>
            </w:pPr>
            <w:r>
              <w:rPr>
                <w:rFonts w:ascii="Cambria" w:cs="Cambria" w:eastAsia="Cambria" w:hAnsi="Cambria"/>
                <w:i w:val="false"/>
                <w:iCs w:val="false"/>
                <w:color w:val="4A4A4A"/>
                <w:sz w:val="20"/>
                <w:szCs w:val="20"/>
              </w:rPr>
              <w:t xml:space="preserve">Because Unity was added decades after the original six, it has a shorter and thinner independent evidentiary track record within the book's own tradition, compared to principles that trace to well-established, decades-old experimental literatures.</w:t>
            </w:r>
          </w:p>
        </w:tc>
      </w:tr>
    </w:tbl>
    <w:p>
      <w:pPr>
        <w:pStyle w:val="Heading1"/>
        <w:keepNext/>
        <w:pBdr>
          <w:bottom w:val="single" w:color="C9C7C2" w:sz="4" w:space="6"/>
        </w:pBdr>
        <w:spacing w:after="200" w:before="480"/>
      </w:pPr>
      <w:r>
        <w:rPr>
          <w:rFonts w:ascii="Cambria" w:cs="Cambria" w:eastAsia="Cambria" w:hAnsi="Cambria"/>
          <w:b/>
          <w:bCs/>
          <w:color w:val="6B2C2C"/>
          <w:sz w:val="30"/>
          <w:szCs w:val="30"/>
        </w:rPr>
        <w:t xml:space="preserve">6  </w:t>
      </w:r>
      <w:r>
        <w:rPr>
          <w:rFonts w:ascii="Cambria" w:cs="Cambria" w:eastAsia="Cambria" w:hAnsi="Cambria"/>
          <w:b/>
          <w:bCs/>
          <w:color w:val="1A1A1A"/>
          <w:sz w:val="30"/>
          <w:szCs w:val="30"/>
        </w:rPr>
        <w:t xml:space="preserve">The Book's Main Arguments</w:t>
      </w:r>
    </w:p>
    <w:p>
      <w:pPr>
        <w:pStyle w:val="Heading3"/>
        <w:keepNext/>
        <w:spacing w:after="90" w:before="240"/>
      </w:pPr>
      <w:r>
        <w:rPr>
          <w:rFonts w:ascii="Cambria" w:cs="Cambria" w:eastAsia="Cambria" w:hAnsi="Cambria"/>
          <w:b/>
          <w:bCs/>
          <w:i w:val="false"/>
          <w:iCs w:val="false"/>
          <w:color w:val="1A1A1A"/>
          <w:sz w:val="21"/>
          <w:szCs w:val="21"/>
        </w:rPr>
        <w:t xml:space="preserve">Argument 1 — The “shortcut” argument for why compliance is exploitable at all</w:t>
      </w:r>
    </w:p>
    <w:p>
      <w:pPr>
        <w:spacing w:after="40" w:before="140" w:line="276"/>
      </w:pPr>
      <w:r>
        <w:rPr>
          <w:rFonts w:ascii="Calibri" w:cs="Calibri" w:eastAsia="Calibri" w:hAnsi="Calibri"/>
          <w:b/>
          <w:bCs/>
          <w:color w:val="6B2C2C"/>
          <w:spacing w:val="6"/>
          <w:sz w:val="17"/>
          <w:szCs w:val="17"/>
        </w:rPr>
        <w:t xml:space="preserve">CLAIM  </w:t>
      </w:r>
      <w:r>
        <w:rPr>
          <w:rFonts w:ascii="Cambria" w:cs="Cambria" w:eastAsia="Cambria" w:hAnsi="Cambria"/>
          <w:color w:val="4A4A4A"/>
          <w:sz w:val="21"/>
          <w:szCs w:val="21"/>
        </w:rPr>
        <w:t xml:space="preserve">Automatic compliance responses to trigger features are not evidence of stupidity or gullibility; they are the predictable cost of an otherwise-efficient cognitive strategy.</w:t>
      </w:r>
    </w:p>
    <w:p>
      <w:pPr>
        <w:spacing w:after="40" w:before="140" w:line="276"/>
      </w:pPr>
      <w:r>
        <w:rPr>
          <w:rFonts w:ascii="Calibri" w:cs="Calibri" w:eastAsia="Calibri" w:hAnsi="Calibri"/>
          <w:b/>
          <w:bCs/>
          <w:color w:val="6B2C2C"/>
          <w:spacing w:val="6"/>
          <w:sz w:val="17"/>
          <w:szCs w:val="17"/>
        </w:rPr>
        <w:t xml:space="preserve">REASONING  </w:t>
      </w:r>
      <w:r>
        <w:rPr>
          <w:rFonts w:ascii="Cambria" w:cs="Cambria" w:eastAsia="Cambria" w:hAnsi="Cambria"/>
          <w:color w:val="4A4A4A"/>
          <w:sz w:val="21"/>
          <w:szCs w:val="21"/>
        </w:rPr>
        <w:t xml:space="preserve">Full deliberation on every social stimulus is computationally infeasible given the volume and complexity of modern decisions; heuristics that are correct most of the time are adaptive on average even though they can be triggered incorrectly in specific manufactured cases.</w:t>
      </w:r>
    </w:p>
    <w:p>
      <w:pPr>
        <w:spacing w:after="40" w:before="140" w:line="276"/>
      </w:pPr>
      <w:r>
        <w:rPr>
          <w:rFonts w:ascii="Calibri" w:cs="Calibri" w:eastAsia="Calibri" w:hAnsi="Calibri"/>
          <w:b/>
          <w:bCs/>
          <w:color w:val="6B2C2C"/>
          <w:spacing w:val="6"/>
          <w:sz w:val="17"/>
          <w:szCs w:val="17"/>
        </w:rPr>
        <w:t xml:space="preserve">CONCLUSION  </w:t>
      </w:r>
      <w:r>
        <w:rPr>
          <w:rFonts w:ascii="Cambria" w:cs="Cambria" w:eastAsia="Cambria" w:hAnsi="Cambria"/>
          <w:color w:val="4A4A4A"/>
          <w:sz w:val="21"/>
          <w:szCs w:val="21"/>
        </w:rPr>
        <w:t xml:space="preserve">Exploitation of these heuristics is a parasitic strategy — it succeeds precisely because it mimics the normally-reliable conditions the heuristic evolved to track, without actually satisfying them.</w:t>
      </w:r>
    </w:p>
    <w:p>
      <w:pPr>
        <w:spacing w:after="40" w:before="140" w:line="276"/>
      </w:pPr>
      <w:r>
        <w:rPr>
          <w:rFonts w:ascii="Calibri" w:cs="Calibri" w:eastAsia="Calibri" w:hAnsi="Calibri"/>
          <w:b/>
          <w:bCs/>
          <w:color w:val="6B2C2C"/>
          <w:spacing w:val="6"/>
          <w:sz w:val="17"/>
          <w:szCs w:val="17"/>
        </w:rPr>
        <w:t xml:space="preserve">WEAKNESS  </w:t>
      </w:r>
      <w:r>
        <w:rPr>
          <w:rFonts w:ascii="Cambria" w:cs="Cambria" w:eastAsia="Cambria" w:hAnsi="Cambria"/>
          <w:color w:val="4A4A4A"/>
          <w:sz w:val="21"/>
          <w:szCs w:val="21"/>
        </w:rPr>
        <w:t xml:space="preserve">Explains why heuristics exist at all, but doesn't establish that Cialdini's specific list of seven is complete or non-overlapping — the taxonomy is presented with more confidence than the evidence for its exhaustiveness warrants.</w:t>
      </w:r>
    </w:p>
    <w:p>
      <w:pPr>
        <w:pStyle w:val="Heading3"/>
        <w:keepNext/>
        <w:spacing w:after="90" w:before="240"/>
      </w:pPr>
      <w:r>
        <w:rPr>
          <w:rFonts w:ascii="Cambria" w:cs="Cambria" w:eastAsia="Cambria" w:hAnsi="Cambria"/>
          <w:b/>
          <w:bCs/>
          <w:i w:val="false"/>
          <w:iCs w:val="false"/>
          <w:color w:val="1A1A1A"/>
          <w:sz w:val="21"/>
          <w:szCs w:val="21"/>
        </w:rPr>
        <w:t xml:space="preserve">Argument 2 — The “discovered technology” argument</w:t>
      </w:r>
    </w:p>
    <w:p>
      <w:pPr>
        <w:spacing w:after="40" w:before="140" w:line="276"/>
      </w:pPr>
      <w:r>
        <w:rPr>
          <w:rFonts w:ascii="Calibri" w:cs="Calibri" w:eastAsia="Calibri" w:hAnsi="Calibri"/>
          <w:b/>
          <w:bCs/>
          <w:color w:val="6B2C2C"/>
          <w:spacing w:val="6"/>
          <w:sz w:val="17"/>
          <w:szCs w:val="17"/>
        </w:rPr>
        <w:t xml:space="preserve">CLAIM  </w:t>
      </w:r>
      <w:r>
        <w:rPr>
          <w:rFonts w:ascii="Cambria" w:cs="Cambria" w:eastAsia="Cambria" w:hAnsi="Cambria"/>
          <w:color w:val="4A4A4A"/>
          <w:sz w:val="21"/>
          <w:szCs w:val="21"/>
        </w:rPr>
        <w:t xml:space="preserve">Compliance professionals arrived at effective persuasion techniques through trial-and-error commercial selection, independent of — and often prior to — academic psychological explanation.</w:t>
      </w:r>
    </w:p>
    <w:p>
      <w:pPr>
        <w:spacing w:after="40" w:before="140" w:line="276"/>
      </w:pPr>
      <w:r>
        <w:rPr>
          <w:rFonts w:ascii="Calibri" w:cs="Calibri" w:eastAsia="Calibri" w:hAnsi="Calibri"/>
          <w:b/>
          <w:bCs/>
          <w:color w:val="6B2C2C"/>
          <w:spacing w:val="6"/>
          <w:sz w:val="17"/>
          <w:szCs w:val="17"/>
        </w:rPr>
        <w:t xml:space="preserve">REASONING  </w:t>
      </w:r>
      <w:r>
        <w:rPr>
          <w:rFonts w:ascii="Cambria" w:cs="Cambria" w:eastAsia="Cambria" w:hAnsi="Cambria"/>
          <w:color w:val="4A4A4A"/>
          <w:sz w:val="21"/>
          <w:szCs w:val="21"/>
        </w:rPr>
        <w:t xml:space="preserve">Cialdini's participant-observation method — training as a salesperson, fundraiser, and recruiter to learn techniques “from the inside” — is used as evidence that these tactics are field-validated by profit and survival pressure in competitive markets, not merely theorized.</w:t>
      </w:r>
    </w:p>
    <w:p>
      <w:pPr>
        <w:spacing w:after="40" w:before="140" w:line="276"/>
      </w:pPr>
      <w:r>
        <w:rPr>
          <w:rFonts w:ascii="Calibri" w:cs="Calibri" w:eastAsia="Calibri" w:hAnsi="Calibri"/>
          <w:b/>
          <w:bCs/>
          <w:color w:val="6B2C2C"/>
          <w:spacing w:val="6"/>
          <w:sz w:val="17"/>
          <w:szCs w:val="17"/>
        </w:rPr>
        <w:t xml:space="preserve">CONCLUSION  </w:t>
      </w:r>
      <w:r>
        <w:rPr>
          <w:rFonts w:ascii="Cambria" w:cs="Cambria" w:eastAsia="Cambria" w:hAnsi="Cambria"/>
          <w:color w:val="4A4A4A"/>
          <w:sz w:val="21"/>
          <w:szCs w:val="21"/>
        </w:rPr>
        <w:t xml:space="preserve">The techniques described are not speculative hypotheses; they are documented, currently deployed, revenue-optimized practices.</w:t>
      </w:r>
    </w:p>
    <w:p>
      <w:pPr>
        <w:spacing w:after="40" w:before="140" w:line="276"/>
      </w:pPr>
      <w:r>
        <w:rPr>
          <w:rFonts w:ascii="Calibri" w:cs="Calibri" w:eastAsia="Calibri" w:hAnsi="Calibri"/>
          <w:b/>
          <w:bCs/>
          <w:color w:val="6B2C2C"/>
          <w:spacing w:val="6"/>
          <w:sz w:val="17"/>
          <w:szCs w:val="17"/>
        </w:rPr>
        <w:t xml:space="preserve">WEAKNESS  </w:t>
      </w:r>
      <w:r>
        <w:rPr>
          <w:rFonts w:ascii="Cambria" w:cs="Cambria" w:eastAsia="Cambria" w:hAnsi="Cambria"/>
          <w:color w:val="4A4A4A"/>
          <w:sz w:val="21"/>
          <w:szCs w:val="21"/>
        </w:rPr>
        <w:t xml:space="preserve">Participant-observation is not a controlled methodology — it is vulnerable to selection bias (Cialdini reported what struck him as notable) and cannot establish effect sizes or which techniques are most profitable versus merely memorable.</w:t>
      </w:r>
    </w:p>
    <w:p>
      <w:pPr>
        <w:pStyle w:val="Heading3"/>
        <w:keepNext/>
        <w:spacing w:after="90" w:before="240"/>
      </w:pPr>
      <w:r>
        <w:rPr>
          <w:rFonts w:ascii="Cambria" w:cs="Cambria" w:eastAsia="Cambria" w:hAnsi="Cambria"/>
          <w:b/>
          <w:bCs/>
          <w:i w:val="false"/>
          <w:iCs w:val="false"/>
          <w:color w:val="1A1A1A"/>
          <w:sz w:val="21"/>
          <w:szCs w:val="21"/>
        </w:rPr>
        <w:t xml:space="preserve">Argument 3 — The “trigger feature isolation” argument for automaticity</w:t>
      </w:r>
    </w:p>
    <w:p>
      <w:pPr>
        <w:spacing w:after="40" w:before="140" w:line="276"/>
      </w:pPr>
      <w:r>
        <w:rPr>
          <w:rFonts w:ascii="Calibri" w:cs="Calibri" w:eastAsia="Calibri" w:hAnsi="Calibri"/>
          <w:b/>
          <w:bCs/>
          <w:color w:val="6B2C2C"/>
          <w:spacing w:val="6"/>
          <w:sz w:val="17"/>
          <w:szCs w:val="17"/>
        </w:rPr>
        <w:t xml:space="preserve">CLAIM  </w:t>
      </w:r>
      <w:r>
        <w:rPr>
          <w:rFonts w:ascii="Cambria" w:cs="Cambria" w:eastAsia="Cambria" w:hAnsi="Cambria"/>
          <w:color w:val="4A4A4A"/>
          <w:sz w:val="21"/>
          <w:szCs w:val="21"/>
        </w:rPr>
        <w:t xml:space="preserve">Because these are automatic responses, the trigger feature alone — not the full underlying condition — is sufficient to produce compliance.</w:t>
      </w:r>
    </w:p>
    <w:p>
      <w:pPr>
        <w:spacing w:after="40" w:before="140" w:line="276"/>
      </w:pPr>
      <w:r>
        <w:rPr>
          <w:rFonts w:ascii="Calibri" w:cs="Calibri" w:eastAsia="Calibri" w:hAnsi="Calibri"/>
          <w:b/>
          <w:bCs/>
          <w:color w:val="6B2C2C"/>
          <w:spacing w:val="6"/>
          <w:sz w:val="17"/>
          <w:szCs w:val="17"/>
        </w:rPr>
        <w:t xml:space="preserve">REASONING  </w:t>
      </w:r>
      <w:r>
        <w:rPr>
          <w:rFonts w:ascii="Cambria" w:cs="Cambria" w:eastAsia="Cambria" w:hAnsi="Cambria"/>
          <w:color w:val="4A4A4A"/>
          <w:sz w:val="21"/>
          <w:szCs w:val="21"/>
        </w:rPr>
        <w:t xml:space="preserve">Cialdini draws on experimental social psychology (e.g., the “because” word-alone experiment on copy-machine queue-jumping, where adding any reason — even a vacuous one — increased compliance) to argue the form of a justification often matters more than its content under low-stakes, low-attention conditions.</w:t>
      </w:r>
    </w:p>
    <w:p>
      <w:pPr>
        <w:spacing w:after="40" w:before="140" w:line="276"/>
      </w:pPr>
      <w:r>
        <w:rPr>
          <w:rFonts w:ascii="Calibri" w:cs="Calibri" w:eastAsia="Calibri" w:hAnsi="Calibri"/>
          <w:b/>
          <w:bCs/>
          <w:color w:val="6B2C2C"/>
          <w:spacing w:val="6"/>
          <w:sz w:val="17"/>
          <w:szCs w:val="17"/>
        </w:rPr>
        <w:t xml:space="preserve">CONCLUSION  </w:t>
      </w:r>
      <w:r>
        <w:rPr>
          <w:rFonts w:ascii="Cambria" w:cs="Cambria" w:eastAsia="Cambria" w:hAnsi="Cambria"/>
          <w:color w:val="4A4A4A"/>
          <w:sz w:val="21"/>
          <w:szCs w:val="21"/>
        </w:rPr>
        <w:t xml:space="preserve">Manufacturing the surface trigger, without the substance, can be sufficient for compliance in many everyday situations.</w:t>
      </w:r>
    </w:p>
    <w:p>
      <w:pPr>
        <w:spacing w:after="40" w:before="140" w:line="276"/>
      </w:pPr>
      <w:r>
        <w:rPr>
          <w:rFonts w:ascii="Calibri" w:cs="Calibri" w:eastAsia="Calibri" w:hAnsi="Calibri"/>
          <w:b/>
          <w:bCs/>
          <w:color w:val="6B2C2C"/>
          <w:spacing w:val="6"/>
          <w:sz w:val="17"/>
          <w:szCs w:val="17"/>
        </w:rPr>
        <w:t xml:space="preserve">WEAKNESS  </w:t>
      </w:r>
      <w:r>
        <w:rPr>
          <w:rFonts w:ascii="Cambria" w:cs="Cambria" w:eastAsia="Cambria" w:hAnsi="Cambria"/>
          <w:color w:val="4A4A4A"/>
          <w:sz w:val="21"/>
          <w:szCs w:val="21"/>
        </w:rPr>
        <w:t xml:space="preserve">Explicitly presented as most reliable under low-stakes, low-scrutiny conditions, not claimed to override deliberation on high-stakes decisions — a boundary condition easy for readers to overlook when generalizing the framework.</w:t>
      </w:r>
    </w:p>
    <w:p>
      <w:pPr>
        <w:pStyle w:val="Heading1"/>
        <w:keepNext/>
        <w:pBdr>
          <w:bottom w:val="single" w:color="C9C7C2" w:sz="4" w:space="6"/>
        </w:pBdr>
        <w:spacing w:after="200" w:before="480"/>
      </w:pPr>
      <w:r>
        <w:rPr>
          <w:rFonts w:ascii="Cambria" w:cs="Cambria" w:eastAsia="Cambria" w:hAnsi="Cambria"/>
          <w:b/>
          <w:bCs/>
          <w:color w:val="6B2C2C"/>
          <w:sz w:val="30"/>
          <w:szCs w:val="30"/>
        </w:rPr>
        <w:t xml:space="preserve">7  </w:t>
      </w:r>
      <w:r>
        <w:rPr>
          <w:rFonts w:ascii="Cambria" w:cs="Cambria" w:eastAsia="Cambria" w:hAnsi="Cambria"/>
          <w:b/>
          <w:bCs/>
          <w:color w:val="1A1A1A"/>
          <w:sz w:val="30"/>
          <w:szCs w:val="30"/>
        </w:rPr>
        <w:t xml:space="preserve">Practical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2620"/>
        <w:gridCol w:w="2620"/>
        <w:gridCol w:w="2620"/>
      </w:tblGrid>
      <w:tr>
        <w:trPr>
          <w:tblHeader/>
        </w:trPr>
        <w:tc>
          <w:tcPr>
            <w:tcW w:type="dxa" w:w="1497"/>
            <w:tcBorders>
              <w:top w:val="single" w:color="1A1A1A" w:sz="8"/>
              <w:left w:val="none" w:color="FFFFFF" w:sz="0"/>
              <w:bottom w:val="single" w:color="C9C7C2" w:sz="4"/>
              <w:right w:val="none" w:color="FFFFFF" w:sz="0"/>
            </w:tcBorders>
            <w:shd w:fill="EDEBE6" w:color="auto" w:val="clear"/>
            <w:tcMar>
              <w:top w:type="dxa" w:w="100"/>
              <w:left w:type="dxa" w:w="140"/>
              <w:bottom w:type="dxa" w:w="100"/>
              <w:right w:type="dxa" w:w="140"/>
            </w:tcMar>
            <w:vAlign w:val="center"/>
          </w:tcPr>
          <w:p>
            <w:r>
              <w:rPr>
                <w:rFonts w:ascii="Calibri" w:cs="Calibri" w:eastAsia="Calibri" w:hAnsi="Calibri"/>
                <w:b/>
                <w:bCs/>
                <w:color w:val="1A1A1A"/>
                <w:spacing w:val="4"/>
                <w:sz w:val="17"/>
                <w:szCs w:val="17"/>
              </w:rPr>
              <w:t xml:space="preserve">PRINCIPLE</w:t>
            </w:r>
          </w:p>
        </w:tc>
        <w:tc>
          <w:tcPr>
            <w:tcW w:type="dxa" w:w="2620"/>
            <w:tcBorders>
              <w:top w:val="single" w:color="1A1A1A" w:sz="8"/>
              <w:left w:val="none" w:color="FFFFFF" w:sz="0"/>
              <w:bottom w:val="single" w:color="C9C7C2" w:sz="4"/>
              <w:right w:val="none" w:color="FFFFFF" w:sz="0"/>
            </w:tcBorders>
            <w:shd w:fill="EDEBE6" w:color="auto" w:val="clear"/>
            <w:tcMar>
              <w:top w:type="dxa" w:w="100"/>
              <w:left w:type="dxa" w:w="140"/>
              <w:bottom w:type="dxa" w:w="100"/>
              <w:right w:type="dxa" w:w="140"/>
            </w:tcMar>
            <w:vAlign w:val="center"/>
          </w:tcPr>
          <w:p>
            <w:r>
              <w:rPr>
                <w:rFonts w:ascii="Calibri" w:cs="Calibri" w:eastAsia="Calibri" w:hAnsi="Calibri"/>
                <w:b/>
                <w:bCs/>
                <w:color w:val="1A1A1A"/>
                <w:spacing w:val="4"/>
                <w:sz w:val="17"/>
                <w:szCs w:val="17"/>
              </w:rPr>
              <w:t xml:space="preserve">METHOD</w:t>
            </w:r>
          </w:p>
        </w:tc>
        <w:tc>
          <w:tcPr>
            <w:tcW w:type="dxa" w:w="2620"/>
            <w:tcBorders>
              <w:top w:val="single" w:color="1A1A1A" w:sz="8"/>
              <w:left w:val="none" w:color="FFFFFF" w:sz="0"/>
              <w:bottom w:val="single" w:color="C9C7C2" w:sz="4"/>
              <w:right w:val="none" w:color="FFFFFF" w:sz="0"/>
            </w:tcBorders>
            <w:shd w:fill="EDEBE6" w:color="auto" w:val="clear"/>
            <w:tcMar>
              <w:top w:type="dxa" w:w="100"/>
              <w:left w:type="dxa" w:w="140"/>
              <w:bottom w:type="dxa" w:w="100"/>
              <w:right w:type="dxa" w:w="140"/>
            </w:tcMar>
            <w:vAlign w:val="center"/>
          </w:tcPr>
          <w:p>
            <w:r>
              <w:rPr>
                <w:rFonts w:ascii="Calibri" w:cs="Calibri" w:eastAsia="Calibri" w:hAnsi="Calibri"/>
                <w:b/>
                <w:bCs/>
                <w:color w:val="1A1A1A"/>
                <w:spacing w:val="4"/>
                <w:sz w:val="17"/>
                <w:szCs w:val="17"/>
              </w:rPr>
              <w:t xml:space="preserve">APPLICATION</w:t>
            </w:r>
          </w:p>
        </w:tc>
        <w:tc>
          <w:tcPr>
            <w:tcW w:type="dxa" w:w="2620"/>
            <w:tcBorders>
              <w:top w:val="single" w:color="1A1A1A" w:sz="8"/>
              <w:left w:val="none" w:color="FFFFFF" w:sz="0"/>
              <w:bottom w:val="single" w:color="C9C7C2" w:sz="4"/>
              <w:right w:val="none" w:color="FFFFFF" w:sz="0"/>
            </w:tcBorders>
            <w:shd w:fill="EDEBE6" w:color="auto" w:val="clear"/>
            <w:tcMar>
              <w:top w:type="dxa" w:w="100"/>
              <w:left w:type="dxa" w:w="140"/>
              <w:bottom w:type="dxa" w:w="100"/>
              <w:right w:type="dxa" w:w="140"/>
            </w:tcMar>
            <w:vAlign w:val="center"/>
          </w:tcPr>
          <w:p>
            <w:r>
              <w:rPr>
                <w:rFonts w:ascii="Calibri" w:cs="Calibri" w:eastAsia="Calibri" w:hAnsi="Calibri"/>
                <w:b/>
                <w:bCs/>
                <w:color w:val="1A1A1A"/>
                <w:spacing w:val="4"/>
                <w:sz w:val="17"/>
                <w:szCs w:val="17"/>
              </w:rPr>
              <w:t xml:space="preserve">EXPECTED EFFECT</w:t>
            </w:r>
          </w:p>
        </w:tc>
      </w:tr>
      <w:tr>
        <w:trPr>
          <w:cantSplit/>
        </w:trPr>
        <w:tc>
          <w:tcPr>
            <w:tcW w:type="dxa" w:w="1497"/>
            <w:tcBorders>
              <w:top w:val="single" w:color="C9C7C2" w:sz="4"/>
              <w:left w:val="none" w:color="FFFFFF" w:sz="0"/>
              <w:bottom w:val="single" w:color="C9C7C2" w:sz="4"/>
              <w:right w:val="none" w:color="FFFFFF" w:sz="0"/>
            </w:tcBorders>
            <w:shd w:fill="FFFFFF"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Reciprocation</w:t>
            </w:r>
          </w:p>
        </w:tc>
        <w:tc>
          <w:tcPr>
            <w:tcW w:type="dxa" w:w="2620"/>
            <w:tcBorders>
              <w:top w:val="single" w:color="C9C7C2" w:sz="4"/>
              <w:left w:val="none" w:color="FFFFFF" w:sz="0"/>
              <w:bottom w:val="single" w:color="C9C7C2" w:sz="4"/>
              <w:right w:val="none" w:color="FFFFFF" w:sz="0"/>
            </w:tcBorders>
            <w:shd w:fill="FFFFFF"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Give first, unprompted, before requesting</w:t>
            </w:r>
          </w:p>
        </w:tc>
        <w:tc>
          <w:tcPr>
            <w:tcW w:type="dxa" w:w="2620"/>
            <w:tcBorders>
              <w:top w:val="single" w:color="C9C7C2" w:sz="4"/>
              <w:left w:val="none" w:color="FFFFFF" w:sz="0"/>
              <w:bottom w:val="single" w:color="C9C7C2" w:sz="4"/>
              <w:right w:val="none" w:color="FFFFFF" w:sz="0"/>
            </w:tcBorders>
            <w:shd w:fill="FFFFFF"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Free samples, small unsolicited gifts, first concessions</w:t>
            </w:r>
          </w:p>
        </w:tc>
        <w:tc>
          <w:tcPr>
            <w:tcW w:type="dxa" w:w="2620"/>
            <w:tcBorders>
              <w:top w:val="single" w:color="C9C7C2" w:sz="4"/>
              <w:left w:val="none" w:color="FFFFFF" w:sz="0"/>
              <w:bottom w:val="single" w:color="C9C7C2" w:sz="4"/>
              <w:right w:val="none" w:color="FFFFFF" w:sz="0"/>
            </w:tcBorders>
            <w:shd w:fill="FFFFFF"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Recipient feels obligated to reciprocate disproportionately</w:t>
            </w:r>
          </w:p>
        </w:tc>
      </w:tr>
      <w:tr>
        <w:trPr>
          <w:cantSplit/>
        </w:trPr>
        <w:tc>
          <w:tcPr>
            <w:tcW w:type="dxa" w:w="1497"/>
            <w:tcBorders>
              <w:top w:val="single" w:color="C9C7C2" w:sz="4"/>
              <w:left w:val="none" w:color="FFFFFF" w:sz="0"/>
              <w:bottom w:val="single" w:color="C9C7C2" w:sz="4"/>
              <w:right w:val="none" w:color="FFFFFF" w:sz="0"/>
            </w:tcBorders>
            <w:shd w:fill="FAFAF8"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Commitment / Consistency</w:t>
            </w:r>
          </w:p>
        </w:tc>
        <w:tc>
          <w:tcPr>
            <w:tcW w:type="dxa" w:w="2620"/>
            <w:tcBorders>
              <w:top w:val="single" w:color="C9C7C2" w:sz="4"/>
              <w:left w:val="none" w:color="FFFFFF" w:sz="0"/>
              <w:bottom w:val="single" w:color="C9C7C2" w:sz="4"/>
              <w:right w:val="none" w:color="FFFFFF" w:sz="0"/>
            </w:tcBorders>
            <w:shd w:fill="FAFAF8"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Secure a small, active, public or written initial commitment</w:t>
            </w:r>
          </w:p>
        </w:tc>
        <w:tc>
          <w:tcPr>
            <w:tcW w:type="dxa" w:w="2620"/>
            <w:tcBorders>
              <w:top w:val="single" w:color="C9C7C2" w:sz="4"/>
              <w:left w:val="none" w:color="FFFFFF" w:sz="0"/>
              <w:bottom w:val="single" w:color="C9C7C2" w:sz="4"/>
              <w:right w:val="none" w:color="FFFFFF" w:sz="0"/>
            </w:tcBorders>
            <w:shd w:fill="FAFAF8"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Foot-in-the-door requests; having a target state a position aloud</w:t>
            </w:r>
          </w:p>
        </w:tc>
        <w:tc>
          <w:tcPr>
            <w:tcW w:type="dxa" w:w="2620"/>
            <w:tcBorders>
              <w:top w:val="single" w:color="C9C7C2" w:sz="4"/>
              <w:left w:val="none" w:color="FFFFFF" w:sz="0"/>
              <w:bottom w:val="single" w:color="C9C7C2" w:sz="4"/>
              <w:right w:val="none" w:color="FFFFFF" w:sz="0"/>
            </w:tcBorders>
            <w:shd w:fill="FAFAF8"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Later, larger, related requests are accepted to preserve self-consistency</w:t>
            </w:r>
          </w:p>
        </w:tc>
      </w:tr>
      <w:tr>
        <w:trPr>
          <w:cantSplit/>
        </w:trPr>
        <w:tc>
          <w:tcPr>
            <w:tcW w:type="dxa" w:w="1497"/>
            <w:tcBorders>
              <w:top w:val="single" w:color="C9C7C2" w:sz="4"/>
              <w:left w:val="none" w:color="FFFFFF" w:sz="0"/>
              <w:bottom w:val="single" w:color="C9C7C2" w:sz="4"/>
              <w:right w:val="none" w:color="FFFFFF" w:sz="0"/>
            </w:tcBorders>
            <w:shd w:fill="FFFFFF"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Social Proof</w:t>
            </w:r>
          </w:p>
        </w:tc>
        <w:tc>
          <w:tcPr>
            <w:tcW w:type="dxa" w:w="2620"/>
            <w:tcBorders>
              <w:top w:val="single" w:color="C9C7C2" w:sz="4"/>
              <w:left w:val="none" w:color="FFFFFF" w:sz="0"/>
              <w:bottom w:val="single" w:color="C9C7C2" w:sz="4"/>
              <w:right w:val="none" w:color="FFFFFF" w:sz="0"/>
            </w:tcBorders>
            <w:shd w:fill="FFFFFF"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Demonstrate that similar others are already complying</w:t>
            </w:r>
          </w:p>
        </w:tc>
        <w:tc>
          <w:tcPr>
            <w:tcW w:type="dxa" w:w="2620"/>
            <w:tcBorders>
              <w:top w:val="single" w:color="C9C7C2" w:sz="4"/>
              <w:left w:val="none" w:color="FFFFFF" w:sz="0"/>
              <w:bottom w:val="single" w:color="C9C7C2" w:sz="4"/>
              <w:right w:val="none" w:color="FFFFFF" w:sz="0"/>
            </w:tcBorders>
            <w:shd w:fill="FFFFFF"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Testimonials, “most popular” labels, visible crowds</w:t>
            </w:r>
          </w:p>
        </w:tc>
        <w:tc>
          <w:tcPr>
            <w:tcW w:type="dxa" w:w="2620"/>
            <w:tcBorders>
              <w:top w:val="single" w:color="C9C7C2" w:sz="4"/>
              <w:left w:val="none" w:color="FFFFFF" w:sz="0"/>
              <w:bottom w:val="single" w:color="C9C7C2" w:sz="4"/>
              <w:right w:val="none" w:color="FFFFFF" w:sz="0"/>
            </w:tcBorders>
            <w:shd w:fill="FFFFFF"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Target infers correct behavior from others rather than independent evaluation</w:t>
            </w:r>
          </w:p>
        </w:tc>
      </w:tr>
      <w:tr>
        <w:trPr>
          <w:cantSplit/>
        </w:trPr>
        <w:tc>
          <w:tcPr>
            <w:tcW w:type="dxa" w:w="1497"/>
            <w:tcBorders>
              <w:top w:val="single" w:color="C9C7C2" w:sz="4"/>
              <w:left w:val="none" w:color="FFFFFF" w:sz="0"/>
              <w:bottom w:val="single" w:color="C9C7C2" w:sz="4"/>
              <w:right w:val="none" w:color="FFFFFF" w:sz="0"/>
            </w:tcBorders>
            <w:shd w:fill="FAFAF8"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Liking</w:t>
            </w:r>
          </w:p>
        </w:tc>
        <w:tc>
          <w:tcPr>
            <w:tcW w:type="dxa" w:w="2620"/>
            <w:tcBorders>
              <w:top w:val="single" w:color="C9C7C2" w:sz="4"/>
              <w:left w:val="none" w:color="FFFFFF" w:sz="0"/>
              <w:bottom w:val="single" w:color="C9C7C2" w:sz="4"/>
              <w:right w:val="none" w:color="FFFFFF" w:sz="0"/>
            </w:tcBorders>
            <w:shd w:fill="FAFAF8"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Increase attractiveness, similarity, familiarity, cooperation before requesting</w:t>
            </w:r>
          </w:p>
        </w:tc>
        <w:tc>
          <w:tcPr>
            <w:tcW w:type="dxa" w:w="2620"/>
            <w:tcBorders>
              <w:top w:val="single" w:color="C9C7C2" w:sz="4"/>
              <w:left w:val="none" w:color="FFFFFF" w:sz="0"/>
              <w:bottom w:val="single" w:color="C9C7C2" w:sz="4"/>
              <w:right w:val="none" w:color="FFFFFF" w:sz="0"/>
            </w:tcBorders>
            <w:shd w:fill="FAFAF8"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Compliments, common ground, positive repeated contact</w:t>
            </w:r>
          </w:p>
        </w:tc>
        <w:tc>
          <w:tcPr>
            <w:tcW w:type="dxa" w:w="2620"/>
            <w:tcBorders>
              <w:top w:val="single" w:color="C9C7C2" w:sz="4"/>
              <w:left w:val="none" w:color="FFFFFF" w:sz="0"/>
              <w:bottom w:val="single" w:color="C9C7C2" w:sz="4"/>
              <w:right w:val="none" w:color="FFFFFF" w:sz="0"/>
            </w:tcBorders>
            <w:shd w:fill="FAFAF8"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Requests from liked sources receive less scrutiny</w:t>
            </w:r>
          </w:p>
        </w:tc>
      </w:tr>
      <w:tr>
        <w:trPr>
          <w:cantSplit/>
        </w:trPr>
        <w:tc>
          <w:tcPr>
            <w:tcW w:type="dxa" w:w="1497"/>
            <w:tcBorders>
              <w:top w:val="single" w:color="C9C7C2" w:sz="4"/>
              <w:left w:val="none" w:color="FFFFFF" w:sz="0"/>
              <w:bottom w:val="single" w:color="C9C7C2" w:sz="4"/>
              <w:right w:val="none" w:color="FFFFFF" w:sz="0"/>
            </w:tcBorders>
            <w:shd w:fill="FFFFFF"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Authority</w:t>
            </w:r>
          </w:p>
        </w:tc>
        <w:tc>
          <w:tcPr>
            <w:tcW w:type="dxa" w:w="2620"/>
            <w:tcBorders>
              <w:top w:val="single" w:color="C9C7C2" w:sz="4"/>
              <w:left w:val="none" w:color="FFFFFF" w:sz="0"/>
              <w:bottom w:val="single" w:color="C9C7C2" w:sz="4"/>
              <w:right w:val="none" w:color="FFFFFF" w:sz="0"/>
            </w:tcBorders>
            <w:shd w:fill="FFFFFF"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Display credible (or apparent) expertise and trustworthiness signals</w:t>
            </w:r>
          </w:p>
        </w:tc>
        <w:tc>
          <w:tcPr>
            <w:tcW w:type="dxa" w:w="2620"/>
            <w:tcBorders>
              <w:top w:val="single" w:color="C9C7C2" w:sz="4"/>
              <w:left w:val="none" w:color="FFFFFF" w:sz="0"/>
              <w:bottom w:val="single" w:color="C9C7C2" w:sz="4"/>
              <w:right w:val="none" w:color="FFFFFF" w:sz="0"/>
            </w:tcBorders>
            <w:shd w:fill="FFFFFF"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Titles, uniforms, credentials, disinterested framing</w:t>
            </w:r>
          </w:p>
        </w:tc>
        <w:tc>
          <w:tcPr>
            <w:tcW w:type="dxa" w:w="2620"/>
            <w:tcBorders>
              <w:top w:val="single" w:color="C9C7C2" w:sz="4"/>
              <w:left w:val="none" w:color="FFFFFF" w:sz="0"/>
              <w:bottom w:val="single" w:color="C9C7C2" w:sz="4"/>
              <w:right w:val="none" w:color="FFFFFF" w:sz="0"/>
            </w:tcBorders>
            <w:shd w:fill="FFFFFF"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Directives followed with reduced independent evaluation</w:t>
            </w:r>
          </w:p>
        </w:tc>
      </w:tr>
      <w:tr>
        <w:trPr>
          <w:cantSplit/>
        </w:trPr>
        <w:tc>
          <w:tcPr>
            <w:tcW w:type="dxa" w:w="1497"/>
            <w:tcBorders>
              <w:top w:val="single" w:color="C9C7C2" w:sz="4"/>
              <w:left w:val="none" w:color="FFFFFF" w:sz="0"/>
              <w:bottom w:val="single" w:color="C9C7C2" w:sz="4"/>
              <w:right w:val="none" w:color="FFFFFF" w:sz="0"/>
            </w:tcBorders>
            <w:shd w:fill="FAFAF8"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Scarcity</w:t>
            </w:r>
          </w:p>
        </w:tc>
        <w:tc>
          <w:tcPr>
            <w:tcW w:type="dxa" w:w="2620"/>
            <w:tcBorders>
              <w:top w:val="single" w:color="C9C7C2" w:sz="4"/>
              <w:left w:val="none" w:color="FFFFFF" w:sz="0"/>
              <w:bottom w:val="single" w:color="C9C7C2" w:sz="4"/>
              <w:right w:val="none" w:color="FFFFFF" w:sz="0"/>
            </w:tcBorders>
            <w:shd w:fill="FAFAF8"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Frame the opportunity as limited in quantity, time, or exclusivity</w:t>
            </w:r>
          </w:p>
        </w:tc>
        <w:tc>
          <w:tcPr>
            <w:tcW w:type="dxa" w:w="2620"/>
            <w:tcBorders>
              <w:top w:val="single" w:color="C9C7C2" w:sz="4"/>
              <w:left w:val="none" w:color="FFFFFF" w:sz="0"/>
              <w:bottom w:val="single" w:color="C9C7C2" w:sz="4"/>
              <w:right w:val="none" w:color="FFFFFF" w:sz="0"/>
            </w:tcBorders>
            <w:shd w:fill="FAFAF8"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“Only X left,” deadlines, exclusive access</w:t>
            </w:r>
          </w:p>
        </w:tc>
        <w:tc>
          <w:tcPr>
            <w:tcW w:type="dxa" w:w="2620"/>
            <w:tcBorders>
              <w:top w:val="single" w:color="C9C7C2" w:sz="4"/>
              <w:left w:val="none" w:color="FFFFFF" w:sz="0"/>
              <w:bottom w:val="single" w:color="C9C7C2" w:sz="4"/>
              <w:right w:val="none" w:color="FFFFFF" w:sz="0"/>
            </w:tcBorders>
            <w:shd w:fill="FAFAF8"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Perceived value rises; reactance increases urgency</w:t>
            </w:r>
          </w:p>
        </w:tc>
      </w:tr>
      <w:tr>
        <w:trPr>
          <w:cantSplit/>
        </w:trPr>
        <w:tc>
          <w:tcPr>
            <w:tcW w:type="dxa" w:w="1497"/>
            <w:tcBorders>
              <w:top w:val="single" w:color="C9C7C2" w:sz="4"/>
              <w:left w:val="none" w:color="FFFFFF" w:sz="0"/>
              <w:bottom w:val="single" w:color="C9C7C2" w:sz="4"/>
              <w:right w:val="none" w:color="FFFFFF" w:sz="0"/>
            </w:tcBorders>
            <w:shd w:fill="FFFFFF"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Unity</w:t>
            </w:r>
          </w:p>
        </w:tc>
        <w:tc>
          <w:tcPr>
            <w:tcW w:type="dxa" w:w="2620"/>
            <w:tcBorders>
              <w:top w:val="single" w:color="C9C7C2" w:sz="4"/>
              <w:left w:val="none" w:color="FFFFFF" w:sz="0"/>
              <w:bottom w:val="single" w:color="C9C7C2" w:sz="4"/>
              <w:right w:val="none" w:color="FFFFFF" w:sz="0"/>
            </w:tcBorders>
            <w:shd w:fill="FFFFFF"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Frame the relationship as shared identity, not just shared interest</w:t>
            </w:r>
          </w:p>
        </w:tc>
        <w:tc>
          <w:tcPr>
            <w:tcW w:type="dxa" w:w="2620"/>
            <w:tcBorders>
              <w:top w:val="single" w:color="C9C7C2" w:sz="4"/>
              <w:left w:val="none" w:color="FFFFFF" w:sz="0"/>
              <w:bottom w:val="single" w:color="C9C7C2" w:sz="4"/>
              <w:right w:val="none" w:color="FFFFFF" w:sz="0"/>
            </w:tcBorders>
            <w:shd w:fill="FFFFFF"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“Family,” “community,” joint-action framing</w:t>
            </w:r>
          </w:p>
        </w:tc>
        <w:tc>
          <w:tcPr>
            <w:tcW w:type="dxa" w:w="2620"/>
            <w:tcBorders>
              <w:top w:val="single" w:color="C9C7C2" w:sz="4"/>
              <w:left w:val="none" w:color="FFFFFF" w:sz="0"/>
              <w:bottom w:val="single" w:color="C9C7C2" w:sz="4"/>
              <w:right w:val="none" w:color="FFFFFF" w:sz="0"/>
            </w:tcBorders>
            <w:shd w:fill="FFFFFF"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Compliance protected as an identity-consistent act, not a mere transaction</w:t>
            </w:r>
          </w:p>
        </w:tc>
      </w:tr>
    </w:tbl>
    <w:p>
      <w:pPr>
        <w:spacing w:after="0" w:before="0"/>
      </w:pPr>
      <w:r>
        <w:rPr>
          <w:sz w:val="2"/>
          <w:szCs w:val="2"/>
        </w:rPr>
        <w:t xml:space="preserve"/>
      </w:r>
    </w:p>
    <w:p>
      <w:pPr>
        <w:pStyle w:val="Heading3"/>
        <w:keepNext/>
        <w:spacing w:after="90" w:before="240"/>
      </w:pPr>
      <w:r>
        <w:rPr>
          <w:rFonts w:ascii="Cambria" w:cs="Cambria" w:eastAsia="Cambria" w:hAnsi="Cambria"/>
          <w:b/>
          <w:bCs/>
          <w:i w:val="false"/>
          <w:iCs w:val="false"/>
          <w:color w:val="1A1A1A"/>
          <w:sz w:val="21"/>
          <w:szCs w:val="21"/>
        </w:rPr>
        <w:t xml:space="preserve">Cialdini's stated defense method — the “jujitsu” approach</w:t>
      </w:r>
    </w:p>
    <w:p>
      <w:pPr>
        <w:spacing w:after="160" w:before="0" w:line="288"/>
        <w:jc w:val="left"/>
      </w:pPr>
      <w:r>
        <w:rPr>
          <w:rFonts w:ascii="Cambria" w:cs="Cambria" w:eastAsia="Cambria" w:hAnsi="Cambria"/>
          <w:color w:val="4A4A4A"/>
          <w:sz w:val="21"/>
          <w:szCs w:val="21"/>
        </w:rPr>
        <w:t xml:space="preserve">Rather than trying to resist temptation through willpower against every persuasive attempt, notice the specific signal that a trigger is being pulled — a feeling of sudden or disproportionate pressure to comply — and use that feeling itself as the cue to pause and ask whether the underlying condition (a real gift, real scarcity, real expertise, real shared identity) is actually present, or whether only the surface trigger has been manufactured.</w:t>
      </w:r>
    </w:p>
    <w:p>
      <w:pPr>
        <w:pStyle w:val="Heading1"/>
        <w:keepNext/>
        <w:pBdr>
          <w:bottom w:val="single" w:color="C9C7C2" w:sz="4" w:space="6"/>
        </w:pBdr>
        <w:spacing w:after="200" w:before="480"/>
      </w:pPr>
      <w:r>
        <w:rPr>
          <w:rFonts w:ascii="Cambria" w:cs="Cambria" w:eastAsia="Cambria" w:hAnsi="Cambria"/>
          <w:b/>
          <w:bCs/>
          <w:color w:val="6B2C2C"/>
          <w:sz w:val="30"/>
          <w:szCs w:val="30"/>
        </w:rPr>
        <w:t xml:space="preserve">8  </w:t>
      </w:r>
      <w:r>
        <w:rPr>
          <w:rFonts w:ascii="Cambria" w:cs="Cambria" w:eastAsia="Cambria" w:hAnsi="Cambria"/>
          <w:b/>
          <w:bCs/>
          <w:color w:val="1A1A1A"/>
          <w:sz w:val="30"/>
          <w:szCs w:val="30"/>
        </w:rPr>
        <w:t xml:space="preserve">What the Book Gets Right</w:t>
      </w:r>
    </w:p>
    <w:p>
      <w:pPr>
        <w:pStyle w:val="Heading3"/>
        <w:keepNext/>
        <w:spacing w:after="90" w:before="240"/>
      </w:pPr>
      <w:r>
        <w:rPr>
          <w:rFonts w:ascii="Cambria" w:cs="Cambria" w:eastAsia="Cambria" w:hAnsi="Cambria"/>
          <w:b/>
          <w:bCs/>
          <w:i w:val="false"/>
          <w:iCs w:val="false"/>
          <w:color w:val="1A1A1A"/>
          <w:sz w:val="21"/>
          <w:szCs w:val="21"/>
        </w:rPr>
        <w:t xml:space="preserve">Historically insightful</w:t>
      </w:r>
    </w:p>
    <w:p>
      <w:pPr>
        <w:spacing w:after="160" w:before="0" w:line="288"/>
        <w:jc w:val="left"/>
      </w:pPr>
      <w:r>
        <w:rPr>
          <w:rFonts w:ascii="Cambria" w:cs="Cambria" w:eastAsia="Cambria" w:hAnsi="Cambria"/>
          <w:color w:val="4A4A4A"/>
          <w:sz w:val="21"/>
          <w:szCs w:val="21"/>
        </w:rPr>
        <w:t xml:space="preserve">The book's central reframing — that compliance is often triggered by form rather than content — was, for a mainstream trade-psychology book in 1984, an unusually rigorous synthesis of academic social psychology into a coherent operational framework, predating the mainstream popularization of behavioral economics and “nudge” theory by decades.</w:t>
      </w:r>
    </w:p>
    <w:p>
      <w:pPr>
        <w:pStyle w:val="Heading3"/>
        <w:keepNext/>
        <w:spacing w:after="90" w:before="240"/>
      </w:pPr>
      <w:r>
        <w:rPr>
          <w:rFonts w:ascii="Cambria" w:cs="Cambria" w:eastAsia="Cambria" w:hAnsi="Cambria"/>
          <w:b/>
          <w:bCs/>
          <w:i w:val="false"/>
          <w:iCs w:val="false"/>
          <w:color w:val="1A1A1A"/>
          <w:sz w:val="21"/>
          <w:szCs w:val="21"/>
        </w:rPr>
        <w:t xml:space="preserve">Psychologically useful</w:t>
      </w:r>
    </w:p>
    <w:p>
      <w:pPr>
        <w:spacing w:after="160" w:before="0" w:line="288"/>
        <w:jc w:val="left"/>
      </w:pPr>
      <w:r>
        <w:rPr>
          <w:rFonts w:ascii="Cambria" w:cs="Cambria" w:eastAsia="Cambria" w:hAnsi="Cambria"/>
          <w:color w:val="4A4A4A"/>
          <w:sz w:val="21"/>
          <w:szCs w:val="21"/>
        </w:rPr>
        <w:t xml:space="preserve">The dual-process framing (automatic vs. controlled response) anticipated the “System 1 / System 2” vocabulary that would later become central to behavioral economics. The specific defense mechanism Cialdini proposes — using the feeling of pressure as the trigger to pause, rather than relying on general vigilance — is a genuinely actionable and psychologically realistic countermeasure, since sustained vigilance against manipulation is cognitively unsustainable.</w:t>
      </w:r>
    </w:p>
    <w:p>
      <w:pPr>
        <w:pStyle w:val="Heading3"/>
        <w:keepNext/>
        <w:spacing w:after="90" w:before="240"/>
      </w:pPr>
      <w:r>
        <w:rPr>
          <w:rFonts w:ascii="Cambria" w:cs="Cambria" w:eastAsia="Cambria" w:hAnsi="Cambria"/>
          <w:b/>
          <w:bCs/>
          <w:i w:val="false"/>
          <w:iCs w:val="false"/>
          <w:color w:val="1A1A1A"/>
          <w:sz w:val="21"/>
          <w:szCs w:val="21"/>
        </w:rPr>
        <w:t xml:space="preserve">Practically useful</w:t>
      </w:r>
    </w:p>
    <w:p>
      <w:pPr>
        <w:spacing w:after="160" w:before="0" w:line="288"/>
        <w:jc w:val="left"/>
      </w:pPr>
      <w:r>
        <w:rPr>
          <w:rFonts w:ascii="Cambria" w:cs="Cambria" w:eastAsia="Cambria" w:hAnsi="Cambria"/>
          <w:color w:val="4A4A4A"/>
          <w:sz w:val="21"/>
          <w:szCs w:val="21"/>
        </w:rPr>
        <w:t xml:space="preserve">The seven principles remain the standard vocabulary in marketing, UX design, fundraising, and negotiation training essentially unchanged since publication — a durability that is itself a form of validation, whatever the limits of the underlying experimental base.</w:t>
      </w:r>
    </w:p>
    <w:p>
      <w:pPr>
        <w:pStyle w:val="Heading3"/>
        <w:keepNext/>
        <w:spacing w:after="90" w:before="240"/>
      </w:pPr>
      <w:r>
        <w:rPr>
          <w:rFonts w:ascii="Cambria" w:cs="Cambria" w:eastAsia="Cambria" w:hAnsi="Cambria"/>
          <w:b/>
          <w:bCs/>
          <w:i w:val="false"/>
          <w:iCs w:val="false"/>
          <w:color w:val="1A1A1A"/>
          <w:sz w:val="21"/>
          <w:szCs w:val="21"/>
        </w:rPr>
        <w:t xml:space="preserve">Supported by later research</w:t>
      </w:r>
    </w:p>
    <w:p>
      <w:pPr>
        <w:spacing w:after="160" w:before="0" w:line="288"/>
        <w:jc w:val="left"/>
      </w:pPr>
      <w:r>
        <w:rPr>
          <w:rFonts w:ascii="Cambria" w:cs="Cambria" w:eastAsia="Cambria" w:hAnsi="Cambria"/>
          <w:color w:val="4A4A4A"/>
          <w:sz w:val="21"/>
          <w:szCs w:val="21"/>
        </w:rPr>
        <w:t xml:space="preserve">Reciprocity as a cross-cultural norm is well-supported in anthropology and behavioral economics; scarcity's reactance/loss-aversion mechanism has a strong independent base in prospect theory (Kahneman and Tversky), developed largely in parallel to Cialdini's synthesis; social proof has substantial support in the applied “nudge” literature (Thaler and Sunstein), including Cialdini's own later hotel towel-reuse field experiments using descriptive social norms, independently replicated and widely cited.</w:t>
      </w:r>
    </w:p>
    <w:p>
      <w:pPr>
        <w:pStyle w:val="Heading1"/>
        <w:keepNext/>
        <w:pBdr>
          <w:bottom w:val="single" w:color="C9C7C2" w:sz="4" w:space="6"/>
        </w:pBdr>
        <w:spacing w:after="200" w:before="480"/>
      </w:pPr>
      <w:r>
        <w:rPr>
          <w:rFonts w:ascii="Cambria" w:cs="Cambria" w:eastAsia="Cambria" w:hAnsi="Cambria"/>
          <w:b/>
          <w:bCs/>
          <w:color w:val="6B2C2C"/>
          <w:sz w:val="30"/>
          <w:szCs w:val="30"/>
        </w:rPr>
        <w:t xml:space="preserve">9  </w:t>
      </w:r>
      <w:r>
        <w:rPr>
          <w:rFonts w:ascii="Cambria" w:cs="Cambria" w:eastAsia="Cambria" w:hAnsi="Cambria"/>
          <w:b/>
          <w:bCs/>
          <w:color w:val="1A1A1A"/>
          <w:sz w:val="30"/>
          <w:szCs w:val="30"/>
        </w:rPr>
        <w:t xml:space="preserve">What the Book Gets Wrong</w:t>
      </w:r>
    </w:p>
    <w:p>
      <w:pPr>
        <w:spacing w:after="160" w:before="0" w:line="288"/>
        <w:jc w:val="left"/>
      </w:pPr>
      <w:r>
        <w:rPr>
          <w:rFonts w:ascii="Cambria" w:cs="Cambria" w:eastAsia="Cambria" w:hAnsi="Cambria"/>
          <w:color w:val="4A4A4A"/>
          <w:sz w:val="21"/>
          <w:szCs w:val="21"/>
        </w:rPr>
        <w:t xml:space="preserve">This section is deliberately mandatory in scope: unsupported claims, oversimplifications, and outdated assumptions, stated with calibrated language rather than blanket dismissal.</w:t>
      </w:r>
    </w:p>
    <w:p>
      <w:pPr>
        <w:spacing w:after="30" w:before="0" w:line="288"/>
        <w:jc w:val="left"/>
      </w:pPr>
      <w:r>
        <w:rPr>
          <w:rFonts w:ascii="Cambria" w:cs="Cambria" w:eastAsia="Cambria" w:hAnsi="Cambria"/>
          <w:b/>
          <w:bCs/>
          <w:i w:val="false"/>
          <w:iCs w:val="false"/>
          <w:color w:val="1A1A1A"/>
          <w:sz w:val="21"/>
          <w:szCs w:val="21"/>
        </w:rPr>
        <w:t xml:space="preserve">Kitty Genovese anecdote: </w:t>
      </w:r>
      <w:r>
        <w:rPr>
          <w:rFonts w:ascii="Cambria" w:cs="Cambria" w:eastAsia="Cambria" w:hAnsi="Cambria"/>
          <w:b w:val="false"/>
          <w:bCs w:val="false"/>
          <w:i/>
          <w:iCs/>
          <w:color w:val="6B2C2C"/>
          <w:sz w:val="21"/>
          <w:szCs w:val="21"/>
        </w:rPr>
        <w:t xml:space="preserve">Contradicted by later evidence.</w:t>
      </w:r>
    </w:p>
    <w:p>
      <w:pPr>
        <w:spacing w:after="180" w:before="0" w:line="288"/>
        <w:jc w:val="left"/>
      </w:pPr>
      <w:r>
        <w:rPr>
          <w:rFonts w:ascii="Cambria" w:cs="Cambria" w:eastAsia="Cambria" w:hAnsi="Cambria"/>
          <w:color w:val="4A4A4A"/>
          <w:sz w:val="21"/>
          <w:szCs w:val="21"/>
        </w:rPr>
        <w:t xml:space="preserve">The specific factual narrative Cialdini uses to introduce social proof and diffusion of responsibility has been substantially challenged by later journalistic investigation. The bystander effect as an experimental phenomenon remains separately supported, but the anchoring anecdote is weaker than presented.</w:t>
      </w:r>
    </w:p>
    <w:p>
      <w:pPr>
        <w:spacing w:after="30" w:before="0" w:line="288"/>
        <w:jc w:val="left"/>
      </w:pPr>
      <w:r>
        <w:rPr>
          <w:rFonts w:ascii="Cambria" w:cs="Cambria" w:eastAsia="Cambria" w:hAnsi="Cambria"/>
          <w:b/>
          <w:bCs/>
          <w:i w:val="false"/>
          <w:iCs w:val="false"/>
          <w:color w:val="1A1A1A"/>
          <w:sz w:val="21"/>
          <w:szCs w:val="21"/>
        </w:rPr>
        <w:t xml:space="preserve">Milgram's “blind obedience” framing: </w:t>
      </w:r>
      <w:r>
        <w:rPr>
          <w:rFonts w:ascii="Cambria" w:cs="Cambria" w:eastAsia="Cambria" w:hAnsi="Cambria"/>
          <w:b w:val="false"/>
          <w:bCs w:val="false"/>
          <w:i/>
          <w:iCs/>
          <w:color w:val="6B2C2C"/>
          <w:sz w:val="21"/>
          <w:szCs w:val="21"/>
        </w:rPr>
        <w:t xml:space="preserve">Partially supported / contested.</w:t>
      </w:r>
    </w:p>
    <w:p>
      <w:pPr>
        <w:spacing w:after="180" w:before="0" w:line="288"/>
        <w:jc w:val="left"/>
      </w:pPr>
      <w:r>
        <w:rPr>
          <w:rFonts w:ascii="Cambria" w:cs="Cambria" w:eastAsia="Cambria" w:hAnsi="Cambria"/>
          <w:color w:val="4A4A4A"/>
          <w:sz w:val="21"/>
          <w:szCs w:val="21"/>
        </w:rPr>
        <w:t xml:space="preserve">The base finding (high compliance to an authority figure's instructions) has broadly held up, but the interpretation Cialdini uses — pure deference to symbols of authority — is contested by later archival and theoretical work (Perry; Haslam and Reicher), which propose a more specific “engaged followership” mechanism instead.</w:t>
      </w:r>
    </w:p>
    <w:p>
      <w:pPr>
        <w:spacing w:after="30" w:before="0" w:line="288"/>
        <w:jc w:val="left"/>
      </w:pPr>
      <w:r>
        <w:rPr>
          <w:rFonts w:ascii="Cambria" w:cs="Cambria" w:eastAsia="Cambria" w:hAnsi="Cambria"/>
          <w:b/>
          <w:bCs/>
          <w:i w:val="false"/>
          <w:iCs w:val="false"/>
          <w:color w:val="1A1A1A"/>
          <w:sz w:val="21"/>
          <w:szCs w:val="21"/>
        </w:rPr>
        <w:t xml:space="preserve">Generalization from extreme cases to everyday tactics: </w:t>
      </w:r>
      <w:r>
        <w:rPr>
          <w:rFonts w:ascii="Cambria" w:cs="Cambria" w:eastAsia="Cambria" w:hAnsi="Cambria"/>
          <w:b w:val="false"/>
          <w:bCs w:val="false"/>
          <w:i/>
          <w:iCs/>
          <w:color w:val="6B2C2C"/>
          <w:sz w:val="21"/>
          <w:szCs w:val="21"/>
        </w:rPr>
        <w:t xml:space="preserve">Weakly supported.</w:t>
      </w:r>
    </w:p>
    <w:p>
      <w:pPr>
        <w:spacing w:after="180" w:before="0" w:line="288"/>
        <w:jc w:val="left"/>
      </w:pPr>
      <w:r>
        <w:rPr>
          <w:rFonts w:ascii="Cambria" w:cs="Cambria" w:eastAsia="Cambria" w:hAnsi="Cambria"/>
          <w:color w:val="4A4A4A"/>
          <w:sz w:val="21"/>
          <w:szCs w:val="21"/>
        </w:rPr>
        <w:t xml:space="preserve">The Korean War POW commitment/consistency case study is vivid and real, but generalizing a mechanism observed under captivity, isolation, and total information control to ordinary consumer low-balling elides significant differences in stakes, coercion, and exit options — a leap the book does not clearly mark.</w:t>
      </w:r>
    </w:p>
    <w:p>
      <w:pPr>
        <w:spacing w:after="30" w:before="0" w:line="288"/>
        <w:jc w:val="left"/>
      </w:pPr>
      <w:r>
        <w:rPr>
          <w:rFonts w:ascii="Cambria" w:cs="Cambria" w:eastAsia="Cambria" w:hAnsi="Cambria"/>
          <w:b/>
          <w:bCs/>
          <w:i w:val="false"/>
          <w:iCs w:val="false"/>
          <w:color w:val="1A1A1A"/>
          <w:sz w:val="21"/>
          <w:szCs w:val="21"/>
        </w:rPr>
        <w:t xml:space="preserve">Exhaustiveness of the seven-principle taxonomy: </w:t>
      </w:r>
      <w:r>
        <w:rPr>
          <w:rFonts w:ascii="Cambria" w:cs="Cambria" w:eastAsia="Cambria" w:hAnsi="Cambria"/>
          <w:b w:val="false"/>
          <w:bCs w:val="false"/>
          <w:i/>
          <w:iCs/>
          <w:color w:val="6B2C2C"/>
          <w:sz w:val="21"/>
          <w:szCs w:val="21"/>
        </w:rPr>
        <w:t xml:space="preserve">Unsupported, as a strong claim.</w:t>
      </w:r>
    </w:p>
    <w:p>
      <w:pPr>
        <w:spacing w:after="180" w:before="0" w:line="288"/>
        <w:jc w:val="left"/>
      </w:pPr>
      <w:r>
        <w:rPr>
          <w:rFonts w:ascii="Cambria" w:cs="Cambria" w:eastAsia="Cambria" w:hAnsi="Cambria"/>
          <w:color w:val="4A4A4A"/>
          <w:sz w:val="21"/>
          <w:szCs w:val="21"/>
        </w:rPr>
        <w:t xml:space="preserve">Cialdini presents the list as reasonably complete, but no rigorous test establishes there are exactly seven non-overlapping fundamental compliance principles rather than, say, five broader categories or ten narrower ones. The taxonomy is a useful organizing device, not a proven exhaustive partition of a natural kind.</w:t>
      </w:r>
    </w:p>
    <w:p>
      <w:pPr>
        <w:spacing w:after="30" w:before="0" w:line="288"/>
        <w:jc w:val="left"/>
      </w:pPr>
      <w:r>
        <w:rPr>
          <w:rFonts w:ascii="Cambria" w:cs="Cambria" w:eastAsia="Cambria" w:hAnsi="Cambria"/>
          <w:b/>
          <w:bCs/>
          <w:i w:val="false"/>
          <w:iCs w:val="false"/>
          <w:color w:val="1A1A1A"/>
          <w:sz w:val="21"/>
          <w:szCs w:val="21"/>
        </w:rPr>
        <w:t xml:space="preserve">Methodology (participant observation): </w:t>
      </w:r>
      <w:r>
        <w:rPr>
          <w:rFonts w:ascii="Cambria" w:cs="Cambria" w:eastAsia="Cambria" w:hAnsi="Cambria"/>
          <w:b w:val="false"/>
          <w:bCs w:val="false"/>
          <w:i/>
          <w:iCs/>
          <w:color w:val="6B2C2C"/>
          <w:sz w:val="21"/>
          <w:szCs w:val="21"/>
        </w:rPr>
        <w:t xml:space="preserve">Acknowledged limitation.</w:t>
      </w:r>
    </w:p>
    <w:p>
      <w:pPr>
        <w:spacing w:after="180" w:before="0" w:line="288"/>
        <w:jc w:val="left"/>
      </w:pPr>
      <w:r>
        <w:rPr>
          <w:rFonts w:ascii="Cambria" w:cs="Cambria" w:eastAsia="Cambria" w:hAnsi="Cambria"/>
          <w:color w:val="4A4A4A"/>
          <w:sz w:val="21"/>
          <w:szCs w:val="21"/>
        </w:rPr>
        <w:t xml:space="preserve">Evidentiary strength varies by section — the Authority and Consistency chapters lean on well-known controlled academic experiments, while several “in the field” examples rest on Cialdini's own uncontrolled, non-randomized observation, which cannot establish effect sizes or rule out confounds.</w:t>
      </w:r>
    </w:p>
    <w:p>
      <w:pPr>
        <w:spacing w:after="30" w:before="0" w:line="288"/>
        <w:jc w:val="left"/>
      </w:pPr>
      <w:r>
        <w:rPr>
          <w:rFonts w:ascii="Cambria" w:cs="Cambria" w:eastAsia="Cambria" w:hAnsi="Cambria"/>
          <w:b/>
          <w:bCs/>
          <w:i w:val="false"/>
          <w:iCs w:val="false"/>
          <w:color w:val="1A1A1A"/>
          <w:sz w:val="21"/>
          <w:szCs w:val="21"/>
        </w:rPr>
        <w:t xml:space="preserve">Replication-era caveat: </w:t>
      </w:r>
      <w:r>
        <w:rPr>
          <w:rFonts w:ascii="Cambria" w:cs="Cambria" w:eastAsia="Cambria" w:hAnsi="Cambria"/>
          <w:b w:val="false"/>
          <w:bCs w:val="false"/>
          <w:i/>
          <w:iCs/>
          <w:color w:val="6B2C2C"/>
          <w:sz w:val="21"/>
          <w:szCs w:val="21"/>
        </w:rPr>
        <w:t xml:space="preserve">General, not specific.</w:t>
      </w:r>
    </w:p>
    <w:p>
      <w:pPr>
        <w:spacing w:after="180" w:before="0" w:line="288"/>
        <w:jc w:val="left"/>
      </w:pPr>
      <w:r>
        <w:rPr>
          <w:rFonts w:ascii="Cambria" w:cs="Cambria" w:eastAsia="Cambria" w:hAnsi="Cambria"/>
          <w:color w:val="4A4A4A"/>
          <w:sz w:val="21"/>
          <w:szCs w:val="21"/>
        </w:rPr>
        <w:t xml:space="preserve">Much of the foundational experimental social psychology this book draws on (1960s–1980s) predates the 2010s replication crisis and its methodological reforms. No specific Cialdini-cited study is confirmed here to have failed replication, but the evidentiary bar these studies met at publication is lower than what comparable claims would need today — a caveat the book itself never flags.</w:t>
      </w:r>
    </w:p>
    <w:p>
      <w:pPr>
        <w:pStyle w:val="Heading1"/>
        <w:keepNext/>
        <w:pBdr>
          <w:bottom w:val="single" w:color="C9C7C2" w:sz="4" w:space="6"/>
        </w:pBdr>
        <w:spacing w:after="200" w:before="480"/>
      </w:pPr>
      <w:r>
        <w:rPr>
          <w:rFonts w:ascii="Cambria" w:cs="Cambria" w:eastAsia="Cambria" w:hAnsi="Cambria"/>
          <w:b/>
          <w:bCs/>
          <w:color w:val="6B2C2C"/>
          <w:sz w:val="30"/>
          <w:szCs w:val="30"/>
        </w:rPr>
        <w:t xml:space="preserve">10  </w:t>
      </w:r>
      <w:r>
        <w:rPr>
          <w:rFonts w:ascii="Cambria" w:cs="Cambria" w:eastAsia="Cambria" w:hAnsi="Cambria"/>
          <w:b/>
          <w:bCs/>
          <w:color w:val="1A1A1A"/>
          <w:sz w:val="30"/>
          <w:szCs w:val="30"/>
        </w:rPr>
        <w:t xml:space="preserve">Modern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78"/>
        <w:gridCol w:w="3744"/>
        <w:gridCol w:w="3837"/>
      </w:tblGrid>
      <w:tr>
        <w:trPr>
          <w:tblHeader/>
        </w:trPr>
        <w:tc>
          <w:tcPr>
            <w:tcW w:type="dxa" w:w="1778"/>
            <w:tcBorders>
              <w:top w:val="single" w:color="1A1A1A" w:sz="8"/>
              <w:left w:val="none" w:color="FFFFFF" w:sz="0"/>
              <w:bottom w:val="single" w:color="C9C7C2" w:sz="4"/>
              <w:right w:val="none" w:color="FFFFFF" w:sz="0"/>
            </w:tcBorders>
            <w:shd w:fill="EDEBE6" w:color="auto" w:val="clear"/>
            <w:tcMar>
              <w:top w:type="dxa" w:w="100"/>
              <w:left w:type="dxa" w:w="140"/>
              <w:bottom w:type="dxa" w:w="100"/>
              <w:right w:type="dxa" w:w="140"/>
            </w:tcMar>
            <w:vAlign w:val="center"/>
          </w:tcPr>
          <w:p>
            <w:r>
              <w:rPr>
                <w:rFonts w:ascii="Calibri" w:cs="Calibri" w:eastAsia="Calibri" w:hAnsi="Calibri"/>
                <w:b/>
                <w:bCs/>
                <w:color w:val="1A1A1A"/>
                <w:spacing w:val="4"/>
                <w:sz w:val="17"/>
                <w:szCs w:val="17"/>
              </w:rPr>
              <w:t xml:space="preserve">DOMAIN</w:t>
            </w:r>
          </w:p>
        </w:tc>
        <w:tc>
          <w:tcPr>
            <w:tcW w:type="dxa" w:w="3744"/>
            <w:tcBorders>
              <w:top w:val="single" w:color="1A1A1A" w:sz="8"/>
              <w:left w:val="none" w:color="FFFFFF" w:sz="0"/>
              <w:bottom w:val="single" w:color="C9C7C2" w:sz="4"/>
              <w:right w:val="none" w:color="FFFFFF" w:sz="0"/>
            </w:tcBorders>
            <w:shd w:fill="EDEBE6" w:color="auto" w:val="clear"/>
            <w:tcMar>
              <w:top w:type="dxa" w:w="100"/>
              <w:left w:type="dxa" w:w="140"/>
              <w:bottom w:type="dxa" w:w="100"/>
              <w:right w:type="dxa" w:w="140"/>
            </w:tcMar>
            <w:vAlign w:val="center"/>
          </w:tcPr>
          <w:p>
            <w:r>
              <w:rPr>
                <w:rFonts w:ascii="Calibri" w:cs="Calibri" w:eastAsia="Calibri" w:hAnsi="Calibri"/>
                <w:b/>
                <w:bCs/>
                <w:color w:val="1A1A1A"/>
                <w:spacing w:val="4"/>
                <w:sz w:val="17"/>
                <w:szCs w:val="17"/>
              </w:rPr>
              <w:t xml:space="preserve">AUTHOR'S ORIGINAL IDEA</w:t>
            </w:r>
          </w:p>
        </w:tc>
        <w:tc>
          <w:tcPr>
            <w:tcW w:type="dxa" w:w="3837"/>
            <w:tcBorders>
              <w:top w:val="single" w:color="1A1A1A" w:sz="8"/>
              <w:left w:val="none" w:color="FFFFFF" w:sz="0"/>
              <w:bottom w:val="single" w:color="C9C7C2" w:sz="4"/>
              <w:right w:val="none" w:color="FFFFFF" w:sz="0"/>
            </w:tcBorders>
            <w:shd w:fill="EDEBE6" w:color="auto" w:val="clear"/>
            <w:tcMar>
              <w:top w:type="dxa" w:w="100"/>
              <w:left w:type="dxa" w:w="140"/>
              <w:bottom w:type="dxa" w:w="100"/>
              <w:right w:type="dxa" w:w="140"/>
            </w:tcMar>
            <w:vAlign w:val="center"/>
          </w:tcPr>
          <w:p>
            <w:r>
              <w:rPr>
                <w:rFonts w:ascii="Calibri" w:cs="Calibri" w:eastAsia="Calibri" w:hAnsi="Calibri"/>
                <w:b/>
                <w:bCs/>
                <w:color w:val="1A1A1A"/>
                <w:spacing w:val="4"/>
                <w:sz w:val="17"/>
                <w:szCs w:val="17"/>
              </w:rPr>
              <w:t xml:space="preserve">LATER RESEARCH / MODERN INTERPRETATION</w:t>
            </w:r>
          </w:p>
        </w:tc>
      </w:tr>
      <w:tr>
        <w:trPr>
          <w:cantSplit/>
        </w:trPr>
        <w:tc>
          <w:tcPr>
            <w:tcW w:type="dxa" w:w="1778"/>
            <w:tcBorders>
              <w:top w:val="single" w:color="C9C7C2" w:sz="4"/>
              <w:left w:val="none" w:color="FFFFFF" w:sz="0"/>
              <w:bottom w:val="single" w:color="C9C7C2" w:sz="4"/>
              <w:right w:val="none" w:color="FFFFFF" w:sz="0"/>
            </w:tcBorders>
            <w:shd w:fill="FFFFFF"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Behavioral economics</w:t>
            </w:r>
          </w:p>
        </w:tc>
        <w:tc>
          <w:tcPr>
            <w:tcW w:type="dxa" w:w="3744"/>
            <w:tcBorders>
              <w:top w:val="single" w:color="C9C7C2" w:sz="4"/>
              <w:left w:val="none" w:color="FFFFFF" w:sz="0"/>
              <w:bottom w:val="single" w:color="C9C7C2" w:sz="4"/>
              <w:right w:val="none" w:color="FFFFFF" w:sz="0"/>
            </w:tcBorders>
            <w:shd w:fill="FFFFFF"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Scarcity and reactance drive value perception</w:t>
            </w:r>
          </w:p>
        </w:tc>
        <w:tc>
          <w:tcPr>
            <w:tcW w:type="dxa" w:w="3837"/>
            <w:tcBorders>
              <w:top w:val="single" w:color="C9C7C2" w:sz="4"/>
              <w:left w:val="none" w:color="FFFFFF" w:sz="0"/>
              <w:bottom w:val="single" w:color="C9C7C2" w:sz="4"/>
              <w:right w:val="none" w:color="FFFFFF" w:sz="0"/>
            </w:tcBorders>
            <w:shd w:fill="FFFFFF"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Prospect theory (Kahneman &amp; Tversky) formalizes loss aversion independently; “nudge” theory (Thaler &amp; Sunstein) systematizes default/framing effects into public-policy tools</w:t>
            </w:r>
          </w:p>
        </w:tc>
      </w:tr>
      <w:tr>
        <w:trPr>
          <w:cantSplit/>
        </w:trPr>
        <w:tc>
          <w:tcPr>
            <w:tcW w:type="dxa" w:w="1778"/>
            <w:tcBorders>
              <w:top w:val="single" w:color="C9C7C2" w:sz="4"/>
              <w:left w:val="none" w:color="FFFFFF" w:sz="0"/>
              <w:bottom w:val="single" w:color="C9C7C2" w:sz="4"/>
              <w:right w:val="none" w:color="FFFFFF" w:sz="0"/>
            </w:tcBorders>
            <w:shd w:fill="FAFAF8"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Cognitive psychology</w:t>
            </w:r>
          </w:p>
        </w:tc>
        <w:tc>
          <w:tcPr>
            <w:tcW w:type="dxa" w:w="3744"/>
            <w:tcBorders>
              <w:top w:val="single" w:color="C9C7C2" w:sz="4"/>
              <w:left w:val="none" w:color="FFFFFF" w:sz="0"/>
              <w:bottom w:val="single" w:color="C9C7C2" w:sz="4"/>
              <w:right w:val="none" w:color="FFFFFF" w:sz="0"/>
            </w:tcBorders>
            <w:shd w:fill="FAFAF8"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Implicit automatic vs. controlled processing distinction</w:t>
            </w:r>
          </w:p>
        </w:tc>
        <w:tc>
          <w:tcPr>
            <w:tcW w:type="dxa" w:w="3837"/>
            <w:tcBorders>
              <w:top w:val="single" w:color="C9C7C2" w:sz="4"/>
              <w:left w:val="none" w:color="FFFFFF" w:sz="0"/>
              <w:bottom w:val="single" w:color="C9C7C2" w:sz="4"/>
              <w:right w:val="none" w:color="FFFFFF" w:sz="0"/>
            </w:tcBorders>
            <w:shd w:fill="FAFAF8"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Formalized later as dual-process theory (“System 1 / System 2”); Cialdini's framing anticipates but does not originate this formal vocabulary</w:t>
            </w:r>
          </w:p>
        </w:tc>
      </w:tr>
      <w:tr>
        <w:trPr>
          <w:cantSplit/>
        </w:trPr>
        <w:tc>
          <w:tcPr>
            <w:tcW w:type="dxa" w:w="1778"/>
            <w:tcBorders>
              <w:top w:val="single" w:color="C9C7C2" w:sz="4"/>
              <w:left w:val="none" w:color="FFFFFF" w:sz="0"/>
              <w:bottom w:val="single" w:color="C9C7C2" w:sz="4"/>
              <w:right w:val="none" w:color="FFFFFF" w:sz="0"/>
            </w:tcBorders>
            <w:shd w:fill="FFFFFF"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Social psychology (authority)</w:t>
            </w:r>
          </w:p>
        </w:tc>
        <w:tc>
          <w:tcPr>
            <w:tcW w:type="dxa" w:w="3744"/>
            <w:tcBorders>
              <w:top w:val="single" w:color="C9C7C2" w:sz="4"/>
              <w:left w:val="none" w:color="FFFFFF" w:sz="0"/>
              <w:bottom w:val="single" w:color="C9C7C2" w:sz="4"/>
              <w:right w:val="none" w:color="FFFFFF" w:sz="0"/>
            </w:tcBorders>
            <w:shd w:fill="FFFFFF"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Milgram-based “blind obedience to authority”</w:t>
            </w:r>
          </w:p>
        </w:tc>
        <w:tc>
          <w:tcPr>
            <w:tcW w:type="dxa" w:w="3837"/>
            <w:tcBorders>
              <w:top w:val="single" w:color="C9C7C2" w:sz="4"/>
              <w:left w:val="none" w:color="FFFFFF" w:sz="0"/>
              <w:bottom w:val="single" w:color="C9C7C2" w:sz="4"/>
              <w:right w:val="none" w:color="FFFFFF" w:sz="0"/>
            </w:tcBorders>
            <w:shd w:fill="FFFFFF"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“Engaged followership” reinterpretation (Haslam &amp; Reicher) proposes active identification with legitimate goals, not mere deference to a title</w:t>
            </w:r>
          </w:p>
        </w:tc>
      </w:tr>
      <w:tr>
        <w:trPr>
          <w:cantSplit/>
        </w:trPr>
        <w:tc>
          <w:tcPr>
            <w:tcW w:type="dxa" w:w="1778"/>
            <w:tcBorders>
              <w:top w:val="single" w:color="C9C7C2" w:sz="4"/>
              <w:left w:val="none" w:color="FFFFFF" w:sz="0"/>
              <w:bottom w:val="single" w:color="C9C7C2" w:sz="4"/>
              <w:right w:val="none" w:color="FFFFFF" w:sz="0"/>
            </w:tcBorders>
            <w:shd w:fill="FAFAF8"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Social psychology (bystanders)</w:t>
            </w:r>
          </w:p>
        </w:tc>
        <w:tc>
          <w:tcPr>
            <w:tcW w:type="dxa" w:w="3744"/>
            <w:tcBorders>
              <w:top w:val="single" w:color="C9C7C2" w:sz="4"/>
              <w:left w:val="none" w:color="FFFFFF" w:sz="0"/>
              <w:bottom w:val="single" w:color="C9C7C2" w:sz="4"/>
              <w:right w:val="none" w:color="FFFFFF" w:sz="0"/>
            </w:tcBorders>
            <w:shd w:fill="FAFAF8"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Kitty Genovese anecdote anchors pluralistic ignorance</w:t>
            </w:r>
          </w:p>
        </w:tc>
        <w:tc>
          <w:tcPr>
            <w:tcW w:type="dxa" w:w="3837"/>
            <w:tcBorders>
              <w:top w:val="single" w:color="C9C7C2" w:sz="4"/>
              <w:left w:val="none" w:color="FFFFFF" w:sz="0"/>
              <w:bottom w:val="single" w:color="C9C7C2" w:sz="4"/>
              <w:right w:val="none" w:color="FFFFFF" w:sz="0"/>
            </w:tcBorders>
            <w:shd w:fill="FAFAF8"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The anecdote is substantially disputed by later journalism; the bystander-effect phenomenon has independent experimental support (Latané &amp; Darley) not dependent on that case</w:t>
            </w:r>
          </w:p>
        </w:tc>
      </w:tr>
      <w:tr>
        <w:trPr>
          <w:cantSplit/>
        </w:trPr>
        <w:tc>
          <w:tcPr>
            <w:tcW w:type="dxa" w:w="1778"/>
            <w:tcBorders>
              <w:top w:val="single" w:color="C9C7C2" w:sz="4"/>
              <w:left w:val="none" w:color="FFFFFF" w:sz="0"/>
              <w:bottom w:val="single" w:color="C9C7C2" w:sz="4"/>
              <w:right w:val="none" w:color="FFFFFF" w:sz="0"/>
            </w:tcBorders>
            <w:shd w:fill="FFFFFF"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Applied marketing / UX</w:t>
            </w:r>
          </w:p>
        </w:tc>
        <w:tc>
          <w:tcPr>
            <w:tcW w:type="dxa" w:w="3744"/>
            <w:tcBorders>
              <w:top w:val="single" w:color="C9C7C2" w:sz="4"/>
              <w:left w:val="none" w:color="FFFFFF" w:sz="0"/>
              <w:bottom w:val="single" w:color="C9C7C2" w:sz="4"/>
              <w:right w:val="none" w:color="FFFFFF" w:sz="0"/>
            </w:tcBorders>
            <w:shd w:fill="FFFFFF"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Seven weapons of influence as manipulation techniques</w:t>
            </w:r>
          </w:p>
        </w:tc>
        <w:tc>
          <w:tcPr>
            <w:tcW w:type="dxa" w:w="3837"/>
            <w:tcBorders>
              <w:top w:val="single" w:color="C9C7C2" w:sz="4"/>
              <w:left w:val="none" w:color="FFFFFF" w:sz="0"/>
              <w:bottom w:val="single" w:color="C9C7C2" w:sz="4"/>
              <w:right w:val="none" w:color="FFFFFF" w:sz="0"/>
            </w:tcBorders>
            <w:shd w:fill="FFFFFF"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Now standard vocabulary across marketing and growth/UX; “dark patterns” literature explicitly borrows and critiques Cialdini's framework</w:t>
            </w:r>
          </w:p>
        </w:tc>
      </w:tr>
      <w:tr>
        <w:trPr>
          <w:cantSplit/>
        </w:trPr>
        <w:tc>
          <w:tcPr>
            <w:tcW w:type="dxa" w:w="1778"/>
            <w:tcBorders>
              <w:top w:val="single" w:color="C9C7C2" w:sz="4"/>
              <w:left w:val="none" w:color="FFFFFF" w:sz="0"/>
              <w:bottom w:val="single" w:color="C9C7C2" w:sz="4"/>
              <w:right w:val="none" w:color="FFFFFF" w:sz="0"/>
            </w:tcBorders>
            <w:shd w:fill="FAFAF8"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Ethics / consumer protection</w:t>
            </w:r>
          </w:p>
        </w:tc>
        <w:tc>
          <w:tcPr>
            <w:tcW w:type="dxa" w:w="3744"/>
            <w:tcBorders>
              <w:top w:val="single" w:color="C9C7C2" w:sz="4"/>
              <w:left w:val="none" w:color="FFFFFF" w:sz="0"/>
              <w:bottom w:val="single" w:color="C9C7C2" w:sz="4"/>
              <w:right w:val="none" w:color="FFFFFF" w:sz="0"/>
            </w:tcBorders>
            <w:shd w:fill="FAFAF8"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Largely descriptive, with a defensive framing for the reader</w:t>
            </w:r>
          </w:p>
        </w:tc>
        <w:tc>
          <w:tcPr>
            <w:tcW w:type="dxa" w:w="3837"/>
            <w:tcBorders>
              <w:top w:val="single" w:color="C9C7C2" w:sz="4"/>
              <w:left w:val="none" w:color="FFFFFF" w:sz="0"/>
              <w:bottom w:val="single" w:color="C9C7C2" w:sz="4"/>
              <w:right w:val="none" w:color="FFFFFF" w:sz="0"/>
            </w:tcBorders>
            <w:shd w:fill="FAFAF8"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Dark-patterns research in HCI/UX ethics explicitly extends Cialdini's principles into a normative critique of manipulative design — a step the original book does not fully take</w:t>
            </w:r>
          </w:p>
        </w:tc>
      </w:tr>
    </w:tbl>
    <w:p>
      <w:pPr>
        <w:spacing w:after="0" w:before="0"/>
      </w:pPr>
      <w:r>
        <w:rPr>
          <w:sz w:val="2"/>
          <w:szCs w:val="2"/>
        </w:rPr>
        <w:t xml:space="preserve"/>
      </w:r>
    </w:p>
    <w:tbl>
      <w:tblPr>
        <w:tblW w:type="dxa" w:w="9360"/>
        <w:tblBorders>
          <w:top w:val="single" w:color="C9C7C2" w:sz="4"/>
          <w:left w:val="single" w:color="6B2C2C" w:sz="16"/>
          <w:bottom w:val="single" w:color="C9C7C2" w:sz="4"/>
          <w:right w:val="none" w:color="FFFFFF" w:sz="0"/>
          <w:insideH w:val="none" w:color="FFFFFF" w:sz="0"/>
          <w:insideV w:val="none" w:color="FFFFFF" w:sz="0"/>
        </w:tblBorders>
      </w:tblPr>
      <w:tblGrid>
        <w:gridCol w:w="9360"/>
      </w:tblGrid>
      <w:tr>
        <w:trPr>
          <w:cantSplit/>
        </w:trPr>
        <w:tc>
          <w:tcPr>
            <w:tcW w:type="dxa" w:w="9360"/>
            <w:shd w:fill="F4F3F0" w:color="auto" w:val="clear"/>
            <w:tcMar>
              <w:top w:type="dxa" w:w="160"/>
              <w:left w:type="dxa" w:w="220"/>
              <w:bottom w:type="dxa" w:w="160"/>
              <w:right w:type="dxa" w:w="260"/>
            </w:tcMar>
          </w:tcPr>
          <w:p>
            <w:pPr>
              <w:spacing w:after="60"/>
            </w:pPr>
            <w:r>
              <w:rPr>
                <w:rFonts w:ascii="Calibri" w:cs="Calibri" w:eastAsia="Calibri" w:hAnsi="Calibri"/>
                <w:b/>
                <w:bCs/>
                <w:color w:val="6B2C2C"/>
                <w:spacing w:val="6"/>
                <w:sz w:val="17"/>
                <w:szCs w:val="17"/>
              </w:rPr>
              <w:t xml:space="preserve">DISTINCTION TO HOLD ONTO</w:t>
            </w:r>
          </w:p>
          <w:p>
            <w:pPr>
              <w:spacing w:after="0" w:line="276"/>
            </w:pPr>
            <w:r>
              <w:rPr>
                <w:rFonts w:ascii="Cambria" w:cs="Cambria" w:eastAsia="Cambria" w:hAnsi="Cambria"/>
                <w:i w:val="false"/>
                <w:iCs w:val="false"/>
                <w:color w:val="4A4A4A"/>
                <w:sz w:val="20"/>
                <w:szCs w:val="20"/>
              </w:rPr>
              <w:t xml:space="preserve">Cialdini did not predict or originate behavioral economics. Several parallel or overlapping ideas — loss aversion, default effects, heuristics-and-biases — were developed largely independently within a similar timeframe or subsequently. The books share a family resemblance (heuristics that produce predictable, exploitable patterns) rather than a direct lineage in most cases.</w:t>
            </w:r>
          </w:p>
        </w:tc>
      </w:tr>
    </w:tbl>
    <w:p>
      <w:pPr>
        <w:pStyle w:val="Heading1"/>
        <w:keepNext/>
        <w:pBdr>
          <w:bottom w:val="single" w:color="C9C7C2" w:sz="4" w:space="6"/>
        </w:pBdr>
        <w:spacing w:after="200" w:before="480"/>
      </w:pPr>
      <w:r>
        <w:rPr>
          <w:rFonts w:ascii="Cambria" w:cs="Cambria" w:eastAsia="Cambria" w:hAnsi="Cambria"/>
          <w:b/>
          <w:bCs/>
          <w:color w:val="6B2C2C"/>
          <w:sz w:val="30"/>
          <w:szCs w:val="30"/>
        </w:rPr>
        <w:t xml:space="preserve">11  </w:t>
      </w:r>
      <w:r>
        <w:rPr>
          <w:rFonts w:ascii="Cambria" w:cs="Cambria" w:eastAsia="Cambria" w:hAnsi="Cambria"/>
          <w:b/>
          <w:bCs/>
          <w:color w:val="1A1A1A"/>
          <w:sz w:val="30"/>
          <w:szCs w:val="30"/>
        </w:rPr>
        <w:t xml:space="preserve">What Should Be Taken Literally vs. Metaphorically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9"/>
        <w:gridCol w:w="1216"/>
        <w:gridCol w:w="4773"/>
      </w:tblGrid>
      <w:tr>
        <w:trPr>
          <w:tblHeader/>
        </w:trPr>
        <w:tc>
          <w:tcPr>
            <w:tcW w:type="dxa" w:w="3369"/>
            <w:tcBorders>
              <w:top w:val="single" w:color="1A1A1A" w:sz="8"/>
              <w:left w:val="none" w:color="FFFFFF" w:sz="0"/>
              <w:bottom w:val="single" w:color="C9C7C2" w:sz="4"/>
              <w:right w:val="none" w:color="FFFFFF" w:sz="0"/>
            </w:tcBorders>
            <w:shd w:fill="EDEBE6" w:color="auto" w:val="clear"/>
            <w:tcMar>
              <w:top w:type="dxa" w:w="100"/>
              <w:left w:type="dxa" w:w="140"/>
              <w:bottom w:type="dxa" w:w="100"/>
              <w:right w:type="dxa" w:w="140"/>
            </w:tcMar>
            <w:vAlign w:val="center"/>
          </w:tcPr>
          <w:p>
            <w:r>
              <w:rPr>
                <w:rFonts w:ascii="Calibri" w:cs="Calibri" w:eastAsia="Calibri" w:hAnsi="Calibri"/>
                <w:b/>
                <w:bCs/>
                <w:color w:val="1A1A1A"/>
                <w:spacing w:val="4"/>
                <w:sz w:val="17"/>
                <w:szCs w:val="17"/>
              </w:rPr>
              <w:t xml:space="preserve">IDEA</w:t>
            </w:r>
          </w:p>
        </w:tc>
        <w:tc>
          <w:tcPr>
            <w:tcW w:type="dxa" w:w="1216"/>
            <w:tcBorders>
              <w:top w:val="single" w:color="1A1A1A" w:sz="8"/>
              <w:left w:val="none" w:color="FFFFFF" w:sz="0"/>
              <w:bottom w:val="single" w:color="C9C7C2" w:sz="4"/>
              <w:right w:val="none" w:color="FFFFFF" w:sz="0"/>
            </w:tcBorders>
            <w:shd w:fill="EDEBE6" w:color="auto" w:val="clear"/>
            <w:tcMar>
              <w:top w:type="dxa" w:w="100"/>
              <w:left w:type="dxa" w:w="140"/>
              <w:bottom w:type="dxa" w:w="100"/>
              <w:right w:type="dxa" w:w="140"/>
            </w:tcMar>
            <w:vAlign w:val="center"/>
          </w:tcPr>
          <w:p>
            <w:r>
              <w:rPr>
                <w:rFonts w:ascii="Calibri" w:cs="Calibri" w:eastAsia="Calibri" w:hAnsi="Calibri"/>
                <w:b/>
                <w:bCs/>
                <w:color w:val="1A1A1A"/>
                <w:spacing w:val="4"/>
                <w:sz w:val="17"/>
                <w:szCs w:val="17"/>
              </w:rPr>
              <w:t xml:space="preserve">LITERAL?</w:t>
            </w:r>
          </w:p>
        </w:tc>
        <w:tc>
          <w:tcPr>
            <w:tcW w:type="dxa" w:w="4773"/>
            <w:tcBorders>
              <w:top w:val="single" w:color="1A1A1A" w:sz="8"/>
              <w:left w:val="none" w:color="FFFFFF" w:sz="0"/>
              <w:bottom w:val="single" w:color="C9C7C2" w:sz="4"/>
              <w:right w:val="none" w:color="FFFFFF" w:sz="0"/>
            </w:tcBorders>
            <w:shd w:fill="EDEBE6" w:color="auto" w:val="clear"/>
            <w:tcMar>
              <w:top w:type="dxa" w:w="100"/>
              <w:left w:type="dxa" w:w="140"/>
              <w:bottom w:type="dxa" w:w="100"/>
              <w:right w:type="dxa" w:w="140"/>
            </w:tcMar>
            <w:vAlign w:val="center"/>
          </w:tcPr>
          <w:p>
            <w:r>
              <w:rPr>
                <w:rFonts w:ascii="Calibri" w:cs="Calibri" w:eastAsia="Calibri" w:hAnsi="Calibri"/>
                <w:b/>
                <w:bCs/>
                <w:color w:val="1A1A1A"/>
                <w:spacing w:val="4"/>
                <w:sz w:val="17"/>
                <w:szCs w:val="17"/>
              </w:rPr>
              <w:t xml:space="preserve">WHY</w:t>
            </w:r>
          </w:p>
        </w:tc>
      </w:tr>
      <w:tr>
        <w:trPr>
          <w:cantSplit/>
        </w:trPr>
        <w:tc>
          <w:tcPr>
            <w:tcW w:type="dxa" w:w="3369"/>
            <w:tcBorders>
              <w:top w:val="single" w:color="C9C7C2" w:sz="4"/>
              <w:left w:val="none" w:color="FFFFFF" w:sz="0"/>
              <w:bottom w:val="single" w:color="C9C7C2" w:sz="4"/>
              <w:right w:val="none" w:color="FFFFFF" w:sz="0"/>
            </w:tcBorders>
            <w:shd w:fill="FFFFFF"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“Click, whirr” fixed-action pattern</w:t>
            </w:r>
          </w:p>
        </w:tc>
        <w:tc>
          <w:tcPr>
            <w:tcW w:type="dxa" w:w="1216"/>
            <w:tcBorders>
              <w:top w:val="single" w:color="C9C7C2" w:sz="4"/>
              <w:left w:val="none" w:color="FFFFFF" w:sz="0"/>
              <w:bottom w:val="single" w:color="C9C7C2" w:sz="4"/>
              <w:right w:val="none" w:color="FFFFFF" w:sz="0"/>
            </w:tcBorders>
            <w:shd w:fill="FFFFFF"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Partially</w:t>
            </w:r>
          </w:p>
        </w:tc>
        <w:tc>
          <w:tcPr>
            <w:tcW w:type="dxa" w:w="4773"/>
            <w:tcBorders>
              <w:top w:val="single" w:color="C9C7C2" w:sz="4"/>
              <w:left w:val="none" w:color="FFFFFF" w:sz="0"/>
              <w:bottom w:val="single" w:color="C9C7C2" w:sz="4"/>
              <w:right w:val="none" w:color="FFFFFF" w:sz="0"/>
            </w:tcBorders>
            <w:shd w:fill="FFFFFF"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A useful, biologically grounded analogy for automaticity, but human social cognition is more flexible and context-sensitive than a rigid animal instinct — it illustrates a tendency, not a hard-wired reflex</w:t>
            </w:r>
          </w:p>
        </w:tc>
      </w:tr>
      <w:tr>
        <w:trPr>
          <w:cantSplit/>
        </w:trPr>
        <w:tc>
          <w:tcPr>
            <w:tcW w:type="dxa" w:w="3369"/>
            <w:tcBorders>
              <w:top w:val="single" w:color="C9C7C2" w:sz="4"/>
              <w:left w:val="none" w:color="FFFFFF" w:sz="0"/>
              <w:bottom w:val="single" w:color="C9C7C2" w:sz="4"/>
              <w:right w:val="none" w:color="FFFFFF" w:sz="0"/>
            </w:tcBorders>
            <w:shd w:fill="FAFAF8"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Seven principles as a complete, closed taxonomy</w:t>
            </w:r>
          </w:p>
        </w:tc>
        <w:tc>
          <w:tcPr>
            <w:tcW w:type="dxa" w:w="1216"/>
            <w:tcBorders>
              <w:top w:val="single" w:color="C9C7C2" w:sz="4"/>
              <w:left w:val="none" w:color="FFFFFF" w:sz="0"/>
              <w:bottom w:val="single" w:color="C9C7C2" w:sz="4"/>
              <w:right w:val="none" w:color="FFFFFF" w:sz="0"/>
            </w:tcBorders>
            <w:shd w:fill="FAFAF8"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No</w:t>
            </w:r>
          </w:p>
        </w:tc>
        <w:tc>
          <w:tcPr>
            <w:tcW w:type="dxa" w:w="4773"/>
            <w:tcBorders>
              <w:top w:val="single" w:color="C9C7C2" w:sz="4"/>
              <w:left w:val="none" w:color="FFFFFF" w:sz="0"/>
              <w:bottom w:val="single" w:color="C9C7C2" w:sz="4"/>
              <w:right w:val="none" w:color="FFFFFF" w:sz="0"/>
            </w:tcBorders>
            <w:shd w:fill="FAFAF8"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Treat as a useful organizing framework, not a proven exhaustive or non-overlapping partition of all compliance mechanisms</w:t>
            </w:r>
          </w:p>
        </w:tc>
      </w:tr>
      <w:tr>
        <w:trPr>
          <w:cantSplit/>
        </w:trPr>
        <w:tc>
          <w:tcPr>
            <w:tcW w:type="dxa" w:w="3369"/>
            <w:tcBorders>
              <w:top w:val="single" w:color="C9C7C2" w:sz="4"/>
              <w:left w:val="none" w:color="FFFFFF" w:sz="0"/>
              <w:bottom w:val="single" w:color="C9C7C2" w:sz="4"/>
              <w:right w:val="none" w:color="FFFFFF" w:sz="0"/>
            </w:tcBorders>
            <w:shd w:fill="FFFFFF"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Milgram/authority as proof people will “obey anything”</w:t>
            </w:r>
          </w:p>
        </w:tc>
        <w:tc>
          <w:tcPr>
            <w:tcW w:type="dxa" w:w="1216"/>
            <w:tcBorders>
              <w:top w:val="single" w:color="C9C7C2" w:sz="4"/>
              <w:left w:val="none" w:color="FFFFFF" w:sz="0"/>
              <w:bottom w:val="single" w:color="C9C7C2" w:sz="4"/>
              <w:right w:val="none" w:color="FFFFFF" w:sz="0"/>
            </w:tcBorders>
            <w:shd w:fill="FFFFFF"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No</w:t>
            </w:r>
          </w:p>
        </w:tc>
        <w:tc>
          <w:tcPr>
            <w:tcW w:type="dxa" w:w="4773"/>
            <w:tcBorders>
              <w:top w:val="single" w:color="C9C7C2" w:sz="4"/>
              <w:left w:val="none" w:color="FFFFFF" w:sz="0"/>
              <w:bottom w:val="single" w:color="C9C7C2" w:sz="4"/>
              <w:right w:val="none" w:color="FFFFFF" w:sz="0"/>
            </w:tcBorders>
            <w:shd w:fill="FFFFFF"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The base finding holds in that setting; the sweeping interpretation is contested — treat as one mechanism among several, not a universal law of obedience</w:t>
            </w:r>
          </w:p>
        </w:tc>
      </w:tr>
      <w:tr>
        <w:trPr>
          <w:cantSplit/>
        </w:trPr>
        <w:tc>
          <w:tcPr>
            <w:tcW w:type="dxa" w:w="3369"/>
            <w:tcBorders>
              <w:top w:val="single" w:color="C9C7C2" w:sz="4"/>
              <w:left w:val="none" w:color="FFFFFF" w:sz="0"/>
              <w:bottom w:val="single" w:color="C9C7C2" w:sz="4"/>
              <w:right w:val="none" w:color="FFFFFF" w:sz="0"/>
            </w:tcBorders>
            <w:shd w:fill="FAFAF8"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Kitty Genovese as documented fact of “38 witnesses”</w:t>
            </w:r>
          </w:p>
        </w:tc>
        <w:tc>
          <w:tcPr>
            <w:tcW w:type="dxa" w:w="1216"/>
            <w:tcBorders>
              <w:top w:val="single" w:color="C9C7C2" w:sz="4"/>
              <w:left w:val="none" w:color="FFFFFF" w:sz="0"/>
              <w:bottom w:val="single" w:color="C9C7C2" w:sz="4"/>
              <w:right w:val="none" w:color="FFFFFF" w:sz="0"/>
            </w:tcBorders>
            <w:shd w:fill="FAFAF8"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No</w:t>
            </w:r>
          </w:p>
        </w:tc>
        <w:tc>
          <w:tcPr>
            <w:tcW w:type="dxa" w:w="4773"/>
            <w:tcBorders>
              <w:top w:val="single" w:color="C9C7C2" w:sz="4"/>
              <w:left w:val="none" w:color="FFFFFF" w:sz="0"/>
              <w:bottom w:val="single" w:color="C9C7C2" w:sz="4"/>
              <w:right w:val="none" w:color="FFFFFF" w:sz="0"/>
            </w:tcBorders>
            <w:shd w:fill="FAFAF8"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Later investigation substantially disputes the specific facts of this anecdote; use only as historical illustration of a hypothesis, not as evidence</w:t>
            </w:r>
          </w:p>
        </w:tc>
      </w:tr>
      <w:tr>
        <w:trPr>
          <w:cantSplit/>
        </w:trPr>
        <w:tc>
          <w:tcPr>
            <w:tcW w:type="dxa" w:w="3369"/>
            <w:tcBorders>
              <w:top w:val="single" w:color="C9C7C2" w:sz="4"/>
              <w:left w:val="none" w:color="FFFFFF" w:sz="0"/>
              <w:bottom w:val="single" w:color="C9C7C2" w:sz="4"/>
              <w:right w:val="none" w:color="FFFFFF" w:sz="0"/>
            </w:tcBorders>
            <w:shd w:fill="FFFFFF"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Reciprocation as a near-universal human norm</w:t>
            </w:r>
          </w:p>
        </w:tc>
        <w:tc>
          <w:tcPr>
            <w:tcW w:type="dxa" w:w="1216"/>
            <w:tcBorders>
              <w:top w:val="single" w:color="C9C7C2" w:sz="4"/>
              <w:left w:val="none" w:color="FFFFFF" w:sz="0"/>
              <w:bottom w:val="single" w:color="C9C7C2" w:sz="4"/>
              <w:right w:val="none" w:color="FFFFFF" w:sz="0"/>
            </w:tcBorders>
            <w:shd w:fill="FFFFFF"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Yes</w:t>
            </w:r>
          </w:p>
        </w:tc>
        <w:tc>
          <w:tcPr>
            <w:tcW w:type="dxa" w:w="4773"/>
            <w:tcBorders>
              <w:top w:val="single" w:color="C9C7C2" w:sz="4"/>
              <w:left w:val="none" w:color="FFFFFF" w:sz="0"/>
              <w:bottom w:val="single" w:color="C9C7C2" w:sz="4"/>
              <w:right w:val="none" w:color="FFFFFF" w:sz="0"/>
            </w:tcBorders>
            <w:shd w:fill="FFFFFF"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Well-supported cross-culturally in anthropology and behavioral economics independent of this book</w:t>
            </w:r>
          </w:p>
        </w:tc>
      </w:tr>
      <w:tr>
        <w:trPr>
          <w:cantSplit/>
        </w:trPr>
        <w:tc>
          <w:tcPr>
            <w:tcW w:type="dxa" w:w="3369"/>
            <w:tcBorders>
              <w:top w:val="single" w:color="C9C7C2" w:sz="4"/>
              <w:left w:val="none" w:color="FFFFFF" w:sz="0"/>
              <w:bottom w:val="single" w:color="C9C7C2" w:sz="4"/>
              <w:right w:val="none" w:color="FFFFFF" w:sz="0"/>
            </w:tcBorders>
            <w:shd w:fill="FAFAF8"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Scarcity/reactance increasing perceived value</w:t>
            </w:r>
          </w:p>
        </w:tc>
        <w:tc>
          <w:tcPr>
            <w:tcW w:type="dxa" w:w="1216"/>
            <w:tcBorders>
              <w:top w:val="single" w:color="C9C7C2" w:sz="4"/>
              <w:left w:val="none" w:color="FFFFFF" w:sz="0"/>
              <w:bottom w:val="single" w:color="C9C7C2" w:sz="4"/>
              <w:right w:val="none" w:color="FFFFFF" w:sz="0"/>
            </w:tcBorders>
            <w:shd w:fill="FAFAF8"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Yes</w:t>
            </w:r>
          </w:p>
        </w:tc>
        <w:tc>
          <w:tcPr>
            <w:tcW w:type="dxa" w:w="4773"/>
            <w:tcBorders>
              <w:top w:val="single" w:color="C9C7C2" w:sz="4"/>
              <w:left w:val="none" w:color="FFFFFF" w:sz="0"/>
              <w:bottom w:val="single" w:color="C9C7C2" w:sz="4"/>
              <w:right w:val="none" w:color="FFFFFF" w:sz="0"/>
            </w:tcBorders>
            <w:shd w:fill="FAFAF8"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Independently supported by reactance theory and loss-aversion research</w:t>
            </w:r>
          </w:p>
        </w:tc>
      </w:tr>
      <w:tr>
        <w:trPr>
          <w:cantSplit/>
        </w:trPr>
        <w:tc>
          <w:tcPr>
            <w:tcW w:type="dxa" w:w="3369"/>
            <w:tcBorders>
              <w:top w:val="single" w:color="C9C7C2" w:sz="4"/>
              <w:left w:val="none" w:color="FFFFFF" w:sz="0"/>
              <w:bottom w:val="single" w:color="C9C7C2" w:sz="4"/>
              <w:right w:val="none" w:color="FFFFFF" w:sz="0"/>
            </w:tcBorders>
            <w:shd w:fill="FFFFFF"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Specific effect sizes implied by vivid anecdotes</w:t>
            </w:r>
          </w:p>
        </w:tc>
        <w:tc>
          <w:tcPr>
            <w:tcW w:type="dxa" w:w="1216"/>
            <w:tcBorders>
              <w:top w:val="single" w:color="C9C7C2" w:sz="4"/>
              <w:left w:val="none" w:color="FFFFFF" w:sz="0"/>
              <w:bottom w:val="single" w:color="C9C7C2" w:sz="4"/>
              <w:right w:val="none" w:color="FFFFFF" w:sz="0"/>
            </w:tcBorders>
            <w:shd w:fill="FFFFFF"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No</w:t>
            </w:r>
          </w:p>
        </w:tc>
        <w:tc>
          <w:tcPr>
            <w:tcW w:type="dxa" w:w="4773"/>
            <w:tcBorders>
              <w:top w:val="single" w:color="C9C7C2" w:sz="4"/>
              <w:left w:val="none" w:color="FFFFFF" w:sz="0"/>
              <w:bottom w:val="single" w:color="C9C7C2" w:sz="4"/>
              <w:right w:val="none" w:color="FFFFFF" w:sz="0"/>
            </w:tcBorders>
            <w:shd w:fill="FFFFFF"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These illustrate direction of effect, not reliable magnitude — treat as qualitative demonstrations, not quantitative benchmarks</w:t>
            </w:r>
          </w:p>
        </w:tc>
      </w:tr>
      <w:tr>
        <w:trPr>
          <w:cantSplit/>
        </w:trPr>
        <w:tc>
          <w:tcPr>
            <w:tcW w:type="dxa" w:w="3369"/>
            <w:tcBorders>
              <w:top w:val="single" w:color="C9C7C2" w:sz="4"/>
              <w:left w:val="none" w:color="FFFFFF" w:sz="0"/>
              <w:bottom w:val="single" w:color="C9C7C2" w:sz="4"/>
              <w:right w:val="none" w:color="FFFFFF" w:sz="0"/>
            </w:tcBorders>
            <w:shd w:fill="FAFAF8"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Unity as equally well-established as the original six</w:t>
            </w:r>
          </w:p>
        </w:tc>
        <w:tc>
          <w:tcPr>
            <w:tcW w:type="dxa" w:w="1216"/>
            <w:tcBorders>
              <w:top w:val="single" w:color="C9C7C2" w:sz="4"/>
              <w:left w:val="none" w:color="FFFFFF" w:sz="0"/>
              <w:bottom w:val="single" w:color="C9C7C2" w:sz="4"/>
              <w:right w:val="none" w:color="FFFFFF" w:sz="0"/>
            </w:tcBorders>
            <w:shd w:fill="FAFAF8"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No</w:t>
            </w:r>
          </w:p>
        </w:tc>
        <w:tc>
          <w:tcPr>
            <w:tcW w:type="dxa" w:w="4773"/>
            <w:tcBorders>
              <w:top w:val="single" w:color="C9C7C2" w:sz="4"/>
              <w:left w:val="none" w:color="FFFFFF" w:sz="0"/>
              <w:bottom w:val="single" w:color="C9C7C2" w:sz="4"/>
              <w:right w:val="none" w:color="FFFFFF" w:sz="0"/>
            </w:tcBorders>
            <w:shd w:fill="FAFAF8"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A later (2021) addition with a shorter independent evidentiary history; a promising extension, not a fully mature, equally-tested principle</w:t>
            </w:r>
          </w:p>
        </w:tc>
      </w:tr>
    </w:tbl>
    <w:p>
      <w:pPr>
        <w:pStyle w:val="Heading1"/>
        <w:keepNext/>
        <w:pBdr>
          <w:bottom w:val="single" w:color="C9C7C2" w:sz="4" w:space="6"/>
        </w:pBdr>
        <w:spacing w:after="200" w:before="480"/>
      </w:pPr>
      <w:r>
        <w:rPr>
          <w:rFonts w:ascii="Cambria" w:cs="Cambria" w:eastAsia="Cambria" w:hAnsi="Cambria"/>
          <w:b/>
          <w:bCs/>
          <w:color w:val="6B2C2C"/>
          <w:sz w:val="30"/>
          <w:szCs w:val="30"/>
        </w:rPr>
        <w:t xml:space="preserve">12  </w:t>
      </w:r>
      <w:r>
        <w:rPr>
          <w:rFonts w:ascii="Cambria" w:cs="Cambria" w:eastAsia="Cambria" w:hAnsi="Cambria"/>
          <w:b/>
          <w:bCs/>
          <w:color w:val="1A1A1A"/>
          <w:sz w:val="30"/>
          <w:szCs w:val="30"/>
        </w:rPr>
        <w:t xml:space="preserve">High-Value Lessons</w:t>
      </w:r>
    </w:p>
    <w:p>
      <w:pPr>
        <w:spacing w:after="40" w:before="0" w:line="288"/>
        <w:jc w:val="left"/>
      </w:pPr>
      <w:r>
        <w:rPr>
          <w:rFonts w:ascii="Cambria" w:cs="Cambria" w:eastAsia="Cambria" w:hAnsi="Cambria"/>
          <w:b/>
          <w:bCs/>
          <w:i w:val="false"/>
          <w:iCs w:val="false"/>
          <w:color w:val="6B2C2C"/>
          <w:sz w:val="21"/>
          <w:szCs w:val="21"/>
        </w:rPr>
        <w:t xml:space="preserve">1. </w:t>
      </w:r>
      <w:r>
        <w:rPr>
          <w:rFonts w:ascii="Cambria" w:cs="Cambria" w:eastAsia="Cambria" w:hAnsi="Cambria"/>
          <w:b/>
          <w:bCs/>
          <w:i w:val="false"/>
          <w:iCs w:val="false"/>
          <w:color w:val="1A1A1A"/>
          <w:sz w:val="21"/>
          <w:szCs w:val="21"/>
        </w:rPr>
        <w:t xml:space="preserve">Automatic compliance is triggered by form, not content.</w:t>
      </w:r>
    </w:p>
    <w:p>
      <w:pPr>
        <w:spacing w:after="180" w:before="0" w:line="288"/>
        <w:jc w:val="left"/>
      </w:pPr>
      <w:r>
        <w:rPr>
          <w:rFonts w:ascii="Cambria" w:cs="Cambria" w:eastAsia="Cambria" w:hAnsi="Cambria"/>
          <w:b/>
          <w:bCs/>
          <w:i w:val="false"/>
          <w:iCs w:val="false"/>
          <w:color w:val="757575"/>
          <w:sz w:val="21"/>
          <w:szCs w:val="21"/>
        </w:rPr>
        <w:t xml:space="preserve">Explanation.  </w:t>
      </w:r>
      <w:r>
        <w:rPr>
          <w:rFonts w:ascii="Cambria" w:cs="Cambria" w:eastAsia="Cambria" w:hAnsi="Cambria"/>
          <w:b w:val="false"/>
          <w:bCs w:val="false"/>
          <w:i w:val="false"/>
          <w:iCs w:val="false"/>
          <w:color w:val="4A4A4A"/>
          <w:sz w:val="21"/>
          <w:szCs w:val="21"/>
        </w:rPr>
        <w:t xml:space="preserve">A request can be structured to trigger a “yes” via a surface feature alone.  </w:t>
      </w:r>
      <w:r>
        <w:rPr>
          <w:rFonts w:ascii="Cambria" w:cs="Cambria" w:eastAsia="Cambria" w:hAnsi="Cambria"/>
          <w:b/>
          <w:bCs/>
          <w:i w:val="false"/>
          <w:iCs w:val="false"/>
          <w:color w:val="757575"/>
          <w:sz w:val="21"/>
          <w:szCs w:val="21"/>
        </w:rPr>
        <w:t xml:space="preserve">Practical meaning.  </w:t>
      </w:r>
      <w:r>
        <w:rPr>
          <w:rFonts w:ascii="Cambria" w:cs="Cambria" w:eastAsia="Cambria" w:hAnsi="Cambria"/>
          <w:b w:val="false"/>
          <w:bCs w:val="false"/>
          <w:i w:val="false"/>
          <w:iCs w:val="false"/>
          <w:color w:val="4A4A4A"/>
          <w:sz w:val="21"/>
          <w:szCs w:val="21"/>
        </w:rPr>
        <w:t xml:space="preserve">When a decision feels unusually easy or automatic, that ease itself is worth interrogating.</w:t>
      </w:r>
    </w:p>
    <w:p>
      <w:pPr>
        <w:spacing w:after="40" w:before="0" w:line="288"/>
        <w:jc w:val="left"/>
      </w:pPr>
      <w:r>
        <w:rPr>
          <w:rFonts w:ascii="Cambria" w:cs="Cambria" w:eastAsia="Cambria" w:hAnsi="Cambria"/>
          <w:b/>
          <w:bCs/>
          <w:i w:val="false"/>
          <w:iCs w:val="false"/>
          <w:color w:val="6B2C2C"/>
          <w:sz w:val="21"/>
          <w:szCs w:val="21"/>
        </w:rPr>
        <w:t xml:space="preserve">2. </w:t>
      </w:r>
      <w:r>
        <w:rPr>
          <w:rFonts w:ascii="Cambria" w:cs="Cambria" w:eastAsia="Cambria" w:hAnsi="Cambria"/>
          <w:b/>
          <w:bCs/>
          <w:i w:val="false"/>
          <w:iCs w:val="false"/>
          <w:color w:val="1A1A1A"/>
          <w:sz w:val="21"/>
          <w:szCs w:val="21"/>
        </w:rPr>
        <w:t xml:space="preserve">Unsolicited gifts create disproportionate obligation.</w:t>
      </w:r>
    </w:p>
    <w:p>
      <w:pPr>
        <w:spacing w:after="180" w:before="0" w:line="288"/>
        <w:jc w:val="left"/>
      </w:pPr>
      <w:r>
        <w:rPr>
          <w:rFonts w:ascii="Cambria" w:cs="Cambria" w:eastAsia="Cambria" w:hAnsi="Cambria"/>
          <w:b/>
          <w:bCs/>
          <w:i w:val="false"/>
          <w:iCs w:val="false"/>
          <w:color w:val="757575"/>
          <w:sz w:val="21"/>
          <w:szCs w:val="21"/>
        </w:rPr>
        <w:t xml:space="preserve">Explanation.  </w:t>
      </w:r>
      <w:r>
        <w:rPr>
          <w:rFonts w:ascii="Cambria" w:cs="Cambria" w:eastAsia="Cambria" w:hAnsi="Cambria"/>
          <w:b w:val="false"/>
          <w:bCs w:val="false"/>
          <w:i w:val="false"/>
          <w:iCs w:val="false"/>
          <w:color w:val="4A4A4A"/>
          <w:sz w:val="21"/>
          <w:szCs w:val="21"/>
        </w:rPr>
        <w:t xml:space="preserve">Reciprocation scales poorly with the size of the initial favor.  </w:t>
      </w:r>
      <w:r>
        <w:rPr>
          <w:rFonts w:ascii="Cambria" w:cs="Cambria" w:eastAsia="Cambria" w:hAnsi="Cambria"/>
          <w:b/>
          <w:bCs/>
          <w:i w:val="false"/>
          <w:iCs w:val="false"/>
          <w:color w:val="757575"/>
          <w:sz w:val="21"/>
          <w:szCs w:val="21"/>
        </w:rPr>
        <w:t xml:space="preserve">Practical meaning.  </w:t>
      </w:r>
      <w:r>
        <w:rPr>
          <w:rFonts w:ascii="Cambria" w:cs="Cambria" w:eastAsia="Cambria" w:hAnsi="Cambria"/>
          <w:b w:val="false"/>
          <w:bCs w:val="false"/>
          <w:i w:val="false"/>
          <w:iCs w:val="false"/>
          <w:color w:val="4A4A4A"/>
          <w:sz w:val="21"/>
          <w:szCs w:val="21"/>
        </w:rPr>
        <w:t xml:space="preserve">Treat an unrequested favor as a possible opening move, not a neutral act.</w:t>
      </w:r>
    </w:p>
    <w:p>
      <w:pPr>
        <w:spacing w:after="40" w:before="0" w:line="288"/>
        <w:jc w:val="left"/>
      </w:pPr>
      <w:r>
        <w:rPr>
          <w:rFonts w:ascii="Cambria" w:cs="Cambria" w:eastAsia="Cambria" w:hAnsi="Cambria"/>
          <w:b/>
          <w:bCs/>
          <w:i w:val="false"/>
          <w:iCs w:val="false"/>
          <w:color w:val="6B2C2C"/>
          <w:sz w:val="21"/>
          <w:szCs w:val="21"/>
        </w:rPr>
        <w:t xml:space="preserve">3. </w:t>
      </w:r>
      <w:r>
        <w:rPr>
          <w:rFonts w:ascii="Cambria" w:cs="Cambria" w:eastAsia="Cambria" w:hAnsi="Cambria"/>
          <w:b/>
          <w:bCs/>
          <w:i w:val="false"/>
          <w:iCs w:val="false"/>
          <w:color w:val="1A1A1A"/>
          <w:sz w:val="21"/>
          <w:szCs w:val="21"/>
        </w:rPr>
        <w:t xml:space="preserve">Small commitments predict large ones.</w:t>
      </w:r>
    </w:p>
    <w:p>
      <w:pPr>
        <w:spacing w:after="180" w:before="0" w:line="288"/>
        <w:jc w:val="left"/>
      </w:pPr>
      <w:r>
        <w:rPr>
          <w:rFonts w:ascii="Cambria" w:cs="Cambria" w:eastAsia="Cambria" w:hAnsi="Cambria"/>
          <w:b/>
          <w:bCs/>
          <w:i w:val="false"/>
          <w:iCs w:val="false"/>
          <w:color w:val="757575"/>
          <w:sz w:val="21"/>
          <w:szCs w:val="21"/>
        </w:rPr>
        <w:t xml:space="preserve">Explanation.  </w:t>
      </w:r>
      <w:r>
        <w:rPr>
          <w:rFonts w:ascii="Cambria" w:cs="Cambria" w:eastAsia="Cambria" w:hAnsi="Cambria"/>
          <w:b w:val="false"/>
          <w:bCs w:val="false"/>
          <w:i w:val="false"/>
          <w:iCs w:val="false"/>
          <w:color w:val="4A4A4A"/>
          <w:sz w:val="21"/>
          <w:szCs w:val="21"/>
        </w:rPr>
        <w:t xml:space="preserve">Self-consistency pressure, not the requester's persuasion, drives escalation.  </w:t>
      </w:r>
      <w:r>
        <w:rPr>
          <w:rFonts w:ascii="Cambria" w:cs="Cambria" w:eastAsia="Cambria" w:hAnsi="Cambria"/>
          <w:b/>
          <w:bCs/>
          <w:i w:val="false"/>
          <w:iCs w:val="false"/>
          <w:color w:val="757575"/>
          <w:sz w:val="21"/>
          <w:szCs w:val="21"/>
        </w:rPr>
        <w:t xml:space="preserve">Practical meaning.  </w:t>
      </w:r>
      <w:r>
        <w:rPr>
          <w:rFonts w:ascii="Cambria" w:cs="Cambria" w:eastAsia="Cambria" w:hAnsi="Cambria"/>
          <w:b w:val="false"/>
          <w:bCs w:val="false"/>
          <w:i w:val="false"/>
          <w:iCs w:val="false"/>
          <w:color w:val="4A4A4A"/>
          <w:sz w:val="21"/>
          <w:szCs w:val="21"/>
        </w:rPr>
        <w:t xml:space="preserve">Be as careful with small, low-stakes agreements as with large ones if they're part of a sequence.</w:t>
      </w:r>
    </w:p>
    <w:p>
      <w:pPr>
        <w:spacing w:after="40" w:before="0" w:line="288"/>
        <w:jc w:val="left"/>
      </w:pPr>
      <w:r>
        <w:rPr>
          <w:rFonts w:ascii="Cambria" w:cs="Cambria" w:eastAsia="Cambria" w:hAnsi="Cambria"/>
          <w:b/>
          <w:bCs/>
          <w:i w:val="false"/>
          <w:iCs w:val="false"/>
          <w:color w:val="6B2C2C"/>
          <w:sz w:val="21"/>
          <w:szCs w:val="21"/>
        </w:rPr>
        <w:t xml:space="preserve">4. </w:t>
      </w:r>
      <w:r>
        <w:rPr>
          <w:rFonts w:ascii="Cambria" w:cs="Cambria" w:eastAsia="Cambria" w:hAnsi="Cambria"/>
          <w:b/>
          <w:bCs/>
          <w:i w:val="false"/>
          <w:iCs w:val="false"/>
          <w:color w:val="1A1A1A"/>
          <w:sz w:val="21"/>
          <w:szCs w:val="21"/>
        </w:rPr>
        <w:t xml:space="preserve">Written and public commitments bind harder than private, verbal ones.</w:t>
      </w:r>
    </w:p>
    <w:p>
      <w:pPr>
        <w:spacing w:after="180" w:before="0" w:line="288"/>
        <w:jc w:val="left"/>
      </w:pPr>
      <w:r>
        <w:rPr>
          <w:rFonts w:ascii="Cambria" w:cs="Cambria" w:eastAsia="Cambria" w:hAnsi="Cambria"/>
          <w:b/>
          <w:bCs/>
          <w:i w:val="false"/>
          <w:iCs w:val="false"/>
          <w:color w:val="757575"/>
          <w:sz w:val="21"/>
          <w:szCs w:val="21"/>
        </w:rPr>
        <w:t xml:space="preserve">Explanation.  </w:t>
      </w:r>
      <w:r>
        <w:rPr>
          <w:rFonts w:ascii="Cambria" w:cs="Cambria" w:eastAsia="Cambria" w:hAnsi="Cambria"/>
          <w:b w:val="false"/>
          <w:bCs w:val="false"/>
          <w:i w:val="false"/>
          <w:iCs w:val="false"/>
          <w:color w:val="4A4A4A"/>
          <w:sz w:val="21"/>
          <w:szCs w:val="21"/>
        </w:rPr>
        <w:t xml:space="preserve">Consistency pressure is amplified by self-image and social visibility.  </w:t>
      </w:r>
      <w:r>
        <w:rPr>
          <w:rFonts w:ascii="Cambria" w:cs="Cambria" w:eastAsia="Cambria" w:hAnsi="Cambria"/>
          <w:b/>
          <w:bCs/>
          <w:i w:val="false"/>
          <w:iCs w:val="false"/>
          <w:color w:val="757575"/>
          <w:sz w:val="21"/>
          <w:szCs w:val="21"/>
        </w:rPr>
        <w:t xml:space="preserve">Practical meaning.  </w:t>
      </w:r>
      <w:r>
        <w:rPr>
          <w:rFonts w:ascii="Cambria" w:cs="Cambria" w:eastAsia="Cambria" w:hAnsi="Cambria"/>
          <w:b w:val="false"/>
          <w:bCs w:val="false"/>
          <w:i w:val="false"/>
          <w:iCs w:val="false"/>
          <w:color w:val="4A4A4A"/>
          <w:sz w:val="21"/>
          <w:szCs w:val="21"/>
        </w:rPr>
        <w:t xml:space="preserve">Notice when you're asked to put something in writing or say it aloud in front of others before a bigger ask follows.</w:t>
      </w:r>
    </w:p>
    <w:p>
      <w:pPr>
        <w:spacing w:after="40" w:before="0" w:line="288"/>
        <w:jc w:val="left"/>
      </w:pPr>
      <w:r>
        <w:rPr>
          <w:rFonts w:ascii="Cambria" w:cs="Cambria" w:eastAsia="Cambria" w:hAnsi="Cambria"/>
          <w:b/>
          <w:bCs/>
          <w:i w:val="false"/>
          <w:iCs w:val="false"/>
          <w:color w:val="6B2C2C"/>
          <w:sz w:val="21"/>
          <w:szCs w:val="21"/>
        </w:rPr>
        <w:t xml:space="preserve">5. </w:t>
      </w:r>
      <w:r>
        <w:rPr>
          <w:rFonts w:ascii="Cambria" w:cs="Cambria" w:eastAsia="Cambria" w:hAnsi="Cambria"/>
          <w:b/>
          <w:bCs/>
          <w:i w:val="false"/>
          <w:iCs w:val="false"/>
          <w:color w:val="1A1A1A"/>
          <w:sz w:val="21"/>
          <w:szCs w:val="21"/>
        </w:rPr>
        <w:t xml:space="preserve">Ambiguity amplifies social proof.</w:t>
      </w:r>
    </w:p>
    <w:p>
      <w:pPr>
        <w:spacing w:after="180" w:before="0" w:line="288"/>
        <w:jc w:val="left"/>
      </w:pPr>
      <w:r>
        <w:rPr>
          <w:rFonts w:ascii="Cambria" w:cs="Cambria" w:eastAsia="Cambria" w:hAnsi="Cambria"/>
          <w:b/>
          <w:bCs/>
          <w:i w:val="false"/>
          <w:iCs w:val="false"/>
          <w:color w:val="757575"/>
          <w:sz w:val="21"/>
          <w:szCs w:val="21"/>
        </w:rPr>
        <w:t xml:space="preserve">Explanation.  </w:t>
      </w:r>
      <w:r>
        <w:rPr>
          <w:rFonts w:ascii="Cambria" w:cs="Cambria" w:eastAsia="Cambria" w:hAnsi="Cambria"/>
          <w:b w:val="false"/>
          <w:bCs w:val="false"/>
          <w:i w:val="false"/>
          <w:iCs w:val="false"/>
          <w:color w:val="4A4A4A"/>
          <w:sz w:val="21"/>
          <w:szCs w:val="21"/>
        </w:rPr>
        <w:t xml:space="preserve">People look to others most when they're uncertain what's correct.  </w:t>
      </w:r>
      <w:r>
        <w:rPr>
          <w:rFonts w:ascii="Cambria" w:cs="Cambria" w:eastAsia="Cambria" w:hAnsi="Cambria"/>
          <w:b/>
          <w:bCs/>
          <w:i w:val="false"/>
          <w:iCs w:val="false"/>
          <w:color w:val="757575"/>
          <w:sz w:val="21"/>
          <w:szCs w:val="21"/>
        </w:rPr>
        <w:t xml:space="preserve">Practical meaning.  </w:t>
      </w:r>
      <w:r>
        <w:rPr>
          <w:rFonts w:ascii="Cambria" w:cs="Cambria" w:eastAsia="Cambria" w:hAnsi="Cambria"/>
          <w:b w:val="false"/>
          <w:bCs w:val="false"/>
          <w:i w:val="false"/>
          <w:iCs w:val="false"/>
          <w:color w:val="4A4A4A"/>
          <w:sz w:val="21"/>
          <w:szCs w:val="21"/>
        </w:rPr>
        <w:t xml:space="preserve">In unfamiliar or high-ambiguity situations, be extra skeptical of “everyone is doing this” cues.</w:t>
      </w:r>
    </w:p>
    <w:p>
      <w:pPr>
        <w:spacing w:after="40" w:before="0" w:line="288"/>
        <w:jc w:val="left"/>
      </w:pPr>
      <w:r>
        <w:rPr>
          <w:rFonts w:ascii="Cambria" w:cs="Cambria" w:eastAsia="Cambria" w:hAnsi="Cambria"/>
          <w:b/>
          <w:bCs/>
          <w:i w:val="false"/>
          <w:iCs w:val="false"/>
          <w:color w:val="6B2C2C"/>
          <w:sz w:val="21"/>
          <w:szCs w:val="21"/>
        </w:rPr>
        <w:t xml:space="preserve">6. </w:t>
      </w:r>
      <w:r>
        <w:rPr>
          <w:rFonts w:ascii="Cambria" w:cs="Cambria" w:eastAsia="Cambria" w:hAnsi="Cambria"/>
          <w:b/>
          <w:bCs/>
          <w:i w:val="false"/>
          <w:iCs w:val="false"/>
          <w:color w:val="1A1A1A"/>
          <w:sz w:val="21"/>
          <w:szCs w:val="21"/>
        </w:rPr>
        <w:t xml:space="preserve">Similarity increases the power of social proof.</w:t>
      </w:r>
    </w:p>
    <w:p>
      <w:pPr>
        <w:spacing w:after="180" w:before="0" w:line="288"/>
        <w:jc w:val="left"/>
      </w:pPr>
      <w:r>
        <w:rPr>
          <w:rFonts w:ascii="Cambria" w:cs="Cambria" w:eastAsia="Cambria" w:hAnsi="Cambria"/>
          <w:b/>
          <w:bCs/>
          <w:i w:val="false"/>
          <w:iCs w:val="false"/>
          <w:color w:val="757575"/>
          <w:sz w:val="21"/>
          <w:szCs w:val="21"/>
        </w:rPr>
        <w:t xml:space="preserve">Explanation.  </w:t>
      </w:r>
      <w:r>
        <w:rPr>
          <w:rFonts w:ascii="Cambria" w:cs="Cambria" w:eastAsia="Cambria" w:hAnsi="Cambria"/>
          <w:b w:val="false"/>
          <w:bCs w:val="false"/>
          <w:i w:val="false"/>
          <w:iCs w:val="false"/>
          <w:color w:val="4A4A4A"/>
          <w:sz w:val="21"/>
          <w:szCs w:val="21"/>
        </w:rPr>
        <w:t xml:space="preserve">Observing someone perceived as like oneself is more persuasive than observing a dissimilar model.  </w:t>
      </w:r>
      <w:r>
        <w:rPr>
          <w:rFonts w:ascii="Cambria" w:cs="Cambria" w:eastAsia="Cambria" w:hAnsi="Cambria"/>
          <w:b/>
          <w:bCs/>
          <w:i w:val="false"/>
          <w:iCs w:val="false"/>
          <w:color w:val="757575"/>
          <w:sz w:val="21"/>
          <w:szCs w:val="21"/>
        </w:rPr>
        <w:t xml:space="preserve">Practical meaning.  </w:t>
      </w:r>
      <w:r>
        <w:rPr>
          <w:rFonts w:ascii="Cambria" w:cs="Cambria" w:eastAsia="Cambria" w:hAnsi="Cambria"/>
          <w:b w:val="false"/>
          <w:bCs w:val="false"/>
          <w:i w:val="false"/>
          <w:iCs w:val="false"/>
          <w:color w:val="4A4A4A"/>
          <w:sz w:val="21"/>
          <w:szCs w:val="21"/>
        </w:rPr>
        <w:t xml:space="preserve">Marketing emphasizing “people like you” is targeting this specific lever, not offering new evidence about the product.</w:t>
      </w:r>
    </w:p>
    <w:p>
      <w:pPr>
        <w:spacing w:after="40" w:before="0" w:line="288"/>
        <w:jc w:val="left"/>
      </w:pPr>
      <w:r>
        <w:rPr>
          <w:rFonts w:ascii="Cambria" w:cs="Cambria" w:eastAsia="Cambria" w:hAnsi="Cambria"/>
          <w:b/>
          <w:bCs/>
          <w:i w:val="false"/>
          <w:iCs w:val="false"/>
          <w:color w:val="6B2C2C"/>
          <w:sz w:val="21"/>
          <w:szCs w:val="21"/>
        </w:rPr>
        <w:t xml:space="preserve">7. </w:t>
      </w:r>
      <w:r>
        <w:rPr>
          <w:rFonts w:ascii="Cambria" w:cs="Cambria" w:eastAsia="Cambria" w:hAnsi="Cambria"/>
          <w:b/>
          <w:bCs/>
          <w:i w:val="false"/>
          <w:iCs w:val="false"/>
          <w:color w:val="1A1A1A"/>
          <w:sz w:val="21"/>
          <w:szCs w:val="21"/>
        </w:rPr>
        <w:t xml:space="preserve">Liking is manufacturable via attractiveness, similarity, compliments, and contact.</w:t>
      </w:r>
    </w:p>
    <w:p>
      <w:pPr>
        <w:spacing w:after="180" w:before="0" w:line="288"/>
        <w:jc w:val="left"/>
      </w:pPr>
      <w:r>
        <w:rPr>
          <w:rFonts w:ascii="Cambria" w:cs="Cambria" w:eastAsia="Cambria" w:hAnsi="Cambria"/>
          <w:b/>
          <w:bCs/>
          <w:i w:val="false"/>
          <w:iCs w:val="false"/>
          <w:color w:val="757575"/>
          <w:sz w:val="21"/>
          <w:szCs w:val="21"/>
        </w:rPr>
        <w:t xml:space="preserve">Explanation.  </w:t>
      </w:r>
      <w:r>
        <w:rPr>
          <w:rFonts w:ascii="Cambria" w:cs="Cambria" w:eastAsia="Cambria" w:hAnsi="Cambria"/>
          <w:b w:val="false"/>
          <w:bCs w:val="false"/>
          <w:i w:val="false"/>
          <w:iCs w:val="false"/>
          <w:color w:val="4A4A4A"/>
          <w:sz w:val="21"/>
          <w:szCs w:val="21"/>
        </w:rPr>
        <w:t xml:space="preserve">None of these factors relate to a request's merit, yet all measurably increase compliance.  </w:t>
      </w:r>
      <w:r>
        <w:rPr>
          <w:rFonts w:ascii="Cambria" w:cs="Cambria" w:eastAsia="Cambria" w:hAnsi="Cambria"/>
          <w:b/>
          <w:bCs/>
          <w:i w:val="false"/>
          <w:iCs w:val="false"/>
          <w:color w:val="757575"/>
          <w:sz w:val="21"/>
          <w:szCs w:val="21"/>
        </w:rPr>
        <w:t xml:space="preserve">Practical meaning.  </w:t>
      </w:r>
      <w:r>
        <w:rPr>
          <w:rFonts w:ascii="Cambria" w:cs="Cambria" w:eastAsia="Cambria" w:hAnsi="Cambria"/>
          <w:b w:val="false"/>
          <w:bCs w:val="false"/>
          <w:i w:val="false"/>
          <w:iCs w:val="false"/>
          <w:color w:val="4A4A4A"/>
          <w:sz w:val="21"/>
          <w:szCs w:val="21"/>
        </w:rPr>
        <w:t xml:space="preserve">Separate how much you like the messenger from how good the offer actually is.</w:t>
      </w:r>
    </w:p>
    <w:p>
      <w:pPr>
        <w:spacing w:after="40" w:before="0" w:line="288"/>
        <w:jc w:val="left"/>
      </w:pPr>
      <w:r>
        <w:rPr>
          <w:rFonts w:ascii="Cambria" w:cs="Cambria" w:eastAsia="Cambria" w:hAnsi="Cambria"/>
          <w:b/>
          <w:bCs/>
          <w:i w:val="false"/>
          <w:iCs w:val="false"/>
          <w:color w:val="6B2C2C"/>
          <w:sz w:val="21"/>
          <w:szCs w:val="21"/>
        </w:rPr>
        <w:t xml:space="preserve">8. </w:t>
      </w:r>
      <w:r>
        <w:rPr>
          <w:rFonts w:ascii="Cambria" w:cs="Cambria" w:eastAsia="Cambria" w:hAnsi="Cambria"/>
          <w:b/>
          <w:bCs/>
          <w:i w:val="false"/>
          <w:iCs w:val="false"/>
          <w:color w:val="1A1A1A"/>
          <w:sz w:val="21"/>
          <w:szCs w:val="21"/>
        </w:rPr>
        <w:t xml:space="preserve">Authority's power comes from its symbols as much as its substance.</w:t>
      </w:r>
    </w:p>
    <w:p>
      <w:pPr>
        <w:spacing w:after="180" w:before="0" w:line="288"/>
        <w:jc w:val="left"/>
      </w:pPr>
      <w:r>
        <w:rPr>
          <w:rFonts w:ascii="Cambria" w:cs="Cambria" w:eastAsia="Cambria" w:hAnsi="Cambria"/>
          <w:b/>
          <w:bCs/>
          <w:i w:val="false"/>
          <w:iCs w:val="false"/>
          <w:color w:val="757575"/>
          <w:sz w:val="21"/>
          <w:szCs w:val="21"/>
        </w:rPr>
        <w:t xml:space="preserve">Explanation.  </w:t>
      </w:r>
      <w:r>
        <w:rPr>
          <w:rFonts w:ascii="Cambria" w:cs="Cambria" w:eastAsia="Cambria" w:hAnsi="Cambria"/>
          <w:b w:val="false"/>
          <w:bCs w:val="false"/>
          <w:i w:val="false"/>
          <w:iCs w:val="false"/>
          <w:color w:val="4A4A4A"/>
          <w:sz w:val="21"/>
          <w:szCs w:val="21"/>
        </w:rPr>
        <w:t xml:space="preserve">Titles, uniforms, and trappings can trigger deference independent of verified expertise.  </w:t>
      </w:r>
      <w:r>
        <w:rPr>
          <w:rFonts w:ascii="Cambria" w:cs="Cambria" w:eastAsia="Cambria" w:hAnsi="Cambria"/>
          <w:b/>
          <w:bCs/>
          <w:i w:val="false"/>
          <w:iCs w:val="false"/>
          <w:color w:val="757575"/>
          <w:sz w:val="21"/>
          <w:szCs w:val="21"/>
        </w:rPr>
        <w:t xml:space="preserve">Practical meaning.  </w:t>
      </w:r>
      <w:r>
        <w:rPr>
          <w:rFonts w:ascii="Cambria" w:cs="Cambria" w:eastAsia="Cambria" w:hAnsi="Cambria"/>
          <w:b w:val="false"/>
          <w:bCs w:val="false"/>
          <w:i w:val="false"/>
          <w:iCs w:val="false"/>
          <w:color w:val="4A4A4A"/>
          <w:sz w:val="21"/>
          <w:szCs w:val="21"/>
        </w:rPr>
        <w:t xml:space="preserve">Ask explicitly whether an authority figure is a genuine, disinterested expert on this specific matter.</w:t>
      </w:r>
    </w:p>
    <w:p>
      <w:pPr>
        <w:spacing w:after="40" w:before="0" w:line="288"/>
        <w:jc w:val="left"/>
      </w:pPr>
      <w:r>
        <w:rPr>
          <w:rFonts w:ascii="Cambria" w:cs="Cambria" w:eastAsia="Cambria" w:hAnsi="Cambria"/>
          <w:b/>
          <w:bCs/>
          <w:i w:val="false"/>
          <w:iCs w:val="false"/>
          <w:color w:val="6B2C2C"/>
          <w:sz w:val="21"/>
          <w:szCs w:val="21"/>
        </w:rPr>
        <w:t xml:space="preserve">9. </w:t>
      </w:r>
      <w:r>
        <w:rPr>
          <w:rFonts w:ascii="Cambria" w:cs="Cambria" w:eastAsia="Cambria" w:hAnsi="Cambria"/>
          <w:b/>
          <w:bCs/>
          <w:i w:val="false"/>
          <w:iCs w:val="false"/>
          <w:color w:val="1A1A1A"/>
          <w:sz w:val="21"/>
          <w:szCs w:val="21"/>
        </w:rPr>
        <w:t xml:space="preserve">Restriction increases desire independent of merit, sharpest when newly imposed.</w:t>
      </w:r>
    </w:p>
    <w:p>
      <w:pPr>
        <w:spacing w:after="180" w:before="0" w:line="288"/>
        <w:jc w:val="left"/>
      </w:pPr>
      <w:r>
        <w:rPr>
          <w:rFonts w:ascii="Cambria" w:cs="Cambria" w:eastAsia="Cambria" w:hAnsi="Cambria"/>
          <w:b/>
          <w:bCs/>
          <w:i w:val="false"/>
          <w:iCs w:val="false"/>
          <w:color w:val="757575"/>
          <w:sz w:val="21"/>
          <w:szCs w:val="21"/>
        </w:rPr>
        <w:t xml:space="preserve">Explanation.  </w:t>
      </w:r>
      <w:r>
        <w:rPr>
          <w:rFonts w:ascii="Cambria" w:cs="Cambria" w:eastAsia="Cambria" w:hAnsi="Cambria"/>
          <w:b w:val="false"/>
          <w:bCs w:val="false"/>
          <w:i w:val="false"/>
          <w:iCs w:val="false"/>
          <w:color w:val="4A4A4A"/>
          <w:sz w:val="21"/>
          <w:szCs w:val="21"/>
        </w:rPr>
        <w:t xml:space="preserve">Scarcity works via inference (rare = valuable) and reactance (a freshly threatened freedom = more wanted than a chronic, stable rarity).  </w:t>
      </w:r>
      <w:r>
        <w:rPr>
          <w:rFonts w:ascii="Cambria" w:cs="Cambria" w:eastAsia="Cambria" w:hAnsi="Cambria"/>
          <w:b/>
          <w:bCs/>
          <w:i w:val="false"/>
          <w:iCs w:val="false"/>
          <w:color w:val="757575"/>
          <w:sz w:val="21"/>
          <w:szCs w:val="21"/>
        </w:rPr>
        <w:t xml:space="preserve">Practical meaning.  </w:t>
      </w:r>
      <w:r>
        <w:rPr>
          <w:rFonts w:ascii="Cambria" w:cs="Cambria" w:eastAsia="Cambria" w:hAnsi="Cambria"/>
          <w:b w:val="false"/>
          <w:bCs w:val="false"/>
          <w:i w:val="false"/>
          <w:iCs w:val="false"/>
          <w:color w:val="4A4A4A"/>
          <w:sz w:val="21"/>
          <w:szCs w:val="21"/>
        </w:rPr>
        <w:t xml:space="preserve">Separate “I want this because it's good” from “I want this because I might lose access” — and treat a sudden deadline with more suspicion than a long-standing limit.</w:t>
      </w:r>
    </w:p>
    <w:p>
      <w:pPr>
        <w:spacing w:after="40" w:before="0" w:line="288"/>
        <w:jc w:val="left"/>
      </w:pPr>
      <w:r>
        <w:rPr>
          <w:rFonts w:ascii="Cambria" w:cs="Cambria" w:eastAsia="Cambria" w:hAnsi="Cambria"/>
          <w:b/>
          <w:bCs/>
          <w:i w:val="false"/>
          <w:iCs w:val="false"/>
          <w:color w:val="6B2C2C"/>
          <w:sz w:val="21"/>
          <w:szCs w:val="21"/>
        </w:rPr>
        <w:t xml:space="preserve">10. </w:t>
      </w:r>
      <w:r>
        <w:rPr>
          <w:rFonts w:ascii="Cambria" w:cs="Cambria" w:eastAsia="Cambria" w:hAnsi="Cambria"/>
          <w:b/>
          <w:bCs/>
          <w:i w:val="false"/>
          <w:iCs w:val="false"/>
          <w:color w:val="1A1A1A"/>
          <w:sz w:val="21"/>
          <w:szCs w:val="21"/>
        </w:rPr>
        <w:t xml:space="preserve">Shared identity (“we”) is a stronger lever than mere liking, and can be manufactured through joint action alone.</w:t>
      </w:r>
    </w:p>
    <w:p>
      <w:pPr>
        <w:spacing w:after="180" w:before="0" w:line="288"/>
        <w:jc w:val="left"/>
      </w:pPr>
      <w:r>
        <w:rPr>
          <w:rFonts w:ascii="Cambria" w:cs="Cambria" w:eastAsia="Cambria" w:hAnsi="Cambria"/>
          <w:b/>
          <w:bCs/>
          <w:i w:val="false"/>
          <w:iCs w:val="false"/>
          <w:color w:val="757575"/>
          <w:sz w:val="21"/>
          <w:szCs w:val="21"/>
        </w:rPr>
        <w:t xml:space="preserve">Explanation.  </w:t>
      </w:r>
      <w:r>
        <w:rPr>
          <w:rFonts w:ascii="Cambria" w:cs="Cambria" w:eastAsia="Cambria" w:hAnsi="Cambria"/>
          <w:b w:val="false"/>
          <w:bCs w:val="false"/>
          <w:i w:val="false"/>
          <w:iCs w:val="false"/>
          <w:color w:val="4A4A4A"/>
          <w:sz w:val="21"/>
          <w:szCs w:val="21"/>
        </w:rPr>
        <w:t xml:space="preserve">Unity engages in-group/kinship instincts rather than just interpersonal warmth; Cialdini distinguishes inherited “belonging together” from constructed “acting together,” both of which raise compliance.  </w:t>
      </w:r>
      <w:r>
        <w:rPr>
          <w:rFonts w:ascii="Cambria" w:cs="Cambria" w:eastAsia="Cambria" w:hAnsi="Cambria"/>
          <w:b/>
          <w:bCs/>
          <w:i w:val="false"/>
          <w:iCs w:val="false"/>
          <w:color w:val="757575"/>
          <w:sz w:val="21"/>
          <w:szCs w:val="21"/>
        </w:rPr>
        <w:t xml:space="preserve">Practical meaning.  </w:t>
      </w:r>
      <w:r>
        <w:rPr>
          <w:rFonts w:ascii="Cambria" w:cs="Cambria" w:eastAsia="Cambria" w:hAnsi="Cambria"/>
          <w:b w:val="false"/>
          <w:bCs w:val="false"/>
          <w:i w:val="false"/>
          <w:iCs w:val="false"/>
          <w:color w:val="4A4A4A"/>
          <w:sz w:val="21"/>
          <w:szCs w:val="21"/>
        </w:rPr>
        <w:t xml:space="preserve">“Community,” “family,” and brief collaborative exercises from an organization deserve the same scrutiny as any other trigger.</w:t>
      </w:r>
    </w:p>
    <w:p>
      <w:pPr>
        <w:spacing w:after="40" w:before="0" w:line="288"/>
        <w:jc w:val="left"/>
      </w:pPr>
      <w:r>
        <w:rPr>
          <w:rFonts w:ascii="Cambria" w:cs="Cambria" w:eastAsia="Cambria" w:hAnsi="Cambria"/>
          <w:b/>
          <w:bCs/>
          <w:i w:val="false"/>
          <w:iCs w:val="false"/>
          <w:color w:val="6B2C2C"/>
          <w:sz w:val="21"/>
          <w:szCs w:val="21"/>
        </w:rPr>
        <w:t xml:space="preserve">11. </w:t>
      </w:r>
      <w:r>
        <w:rPr>
          <w:rFonts w:ascii="Cambria" w:cs="Cambria" w:eastAsia="Cambria" w:hAnsi="Cambria"/>
          <w:b/>
          <w:bCs/>
          <w:i w:val="false"/>
          <w:iCs w:val="false"/>
          <w:color w:val="1A1A1A"/>
          <w:sz w:val="21"/>
          <w:szCs w:val="21"/>
        </w:rPr>
        <w:t xml:space="preserve">The best defense is noticing the feeling of pressure, not maintaining constant vigilance.</w:t>
      </w:r>
    </w:p>
    <w:p>
      <w:pPr>
        <w:spacing w:after="180" w:before="0" w:line="288"/>
        <w:jc w:val="left"/>
      </w:pPr>
      <w:r>
        <w:rPr>
          <w:rFonts w:ascii="Cambria" w:cs="Cambria" w:eastAsia="Cambria" w:hAnsi="Cambria"/>
          <w:b/>
          <w:bCs/>
          <w:i w:val="false"/>
          <w:iCs w:val="false"/>
          <w:color w:val="757575"/>
          <w:sz w:val="21"/>
          <w:szCs w:val="21"/>
        </w:rPr>
        <w:t xml:space="preserve">Explanation.  </w:t>
      </w:r>
      <w:r>
        <w:rPr>
          <w:rFonts w:ascii="Cambria" w:cs="Cambria" w:eastAsia="Cambria" w:hAnsi="Cambria"/>
          <w:b w:val="false"/>
          <w:bCs w:val="false"/>
          <w:i w:val="false"/>
          <w:iCs w:val="false"/>
          <w:color w:val="4A4A4A"/>
          <w:sz w:val="21"/>
          <w:szCs w:val="21"/>
        </w:rPr>
        <w:t xml:space="preserve">Sustained analytical scrutiny of every interaction is unsustainable; a disproportionate urge to comply is a more efficient internal signal.  </w:t>
      </w:r>
      <w:r>
        <w:rPr>
          <w:rFonts w:ascii="Cambria" w:cs="Cambria" w:eastAsia="Cambria" w:hAnsi="Cambria"/>
          <w:b/>
          <w:bCs/>
          <w:i w:val="false"/>
          <w:iCs w:val="false"/>
          <w:color w:val="757575"/>
          <w:sz w:val="21"/>
          <w:szCs w:val="21"/>
        </w:rPr>
        <w:t xml:space="preserve">Practical meaning.  </w:t>
      </w:r>
      <w:r>
        <w:rPr>
          <w:rFonts w:ascii="Cambria" w:cs="Cambria" w:eastAsia="Cambria" w:hAnsi="Cambria"/>
          <w:b w:val="false"/>
          <w:bCs w:val="false"/>
          <w:i w:val="false"/>
          <w:iCs w:val="false"/>
          <w:color w:val="4A4A4A"/>
          <w:sz w:val="21"/>
          <w:szCs w:val="21"/>
        </w:rPr>
        <w:t xml:space="preserve">Use the sensation of being rushed or unusually persuaded as the cue to pause and re-evaluate.</w:t>
      </w:r>
    </w:p>
    <w:p>
      <w:pPr>
        <w:spacing w:after="40" w:before="0" w:line="288"/>
        <w:jc w:val="left"/>
      </w:pPr>
      <w:r>
        <w:rPr>
          <w:rFonts w:ascii="Cambria" w:cs="Cambria" w:eastAsia="Cambria" w:hAnsi="Cambria"/>
          <w:b/>
          <w:bCs/>
          <w:i w:val="false"/>
          <w:iCs w:val="false"/>
          <w:color w:val="6B2C2C"/>
          <w:sz w:val="21"/>
          <w:szCs w:val="21"/>
        </w:rPr>
        <w:t xml:space="preserve">12. </w:t>
      </w:r>
      <w:r>
        <w:rPr>
          <w:rFonts w:ascii="Cambria" w:cs="Cambria" w:eastAsia="Cambria" w:hAnsi="Cambria"/>
          <w:b/>
          <w:bCs/>
          <w:i w:val="false"/>
          <w:iCs w:val="false"/>
          <w:color w:val="1A1A1A"/>
          <w:sz w:val="21"/>
          <w:szCs w:val="21"/>
        </w:rPr>
        <w:t xml:space="preserve">The principles are ethically neutral; only manufactured or dishonest triggers are exploitative.</w:t>
      </w:r>
    </w:p>
    <w:p>
      <w:pPr>
        <w:spacing w:after="180" w:before="0" w:line="288"/>
        <w:jc w:val="left"/>
      </w:pPr>
      <w:r>
        <w:rPr>
          <w:rFonts w:ascii="Cambria" w:cs="Cambria" w:eastAsia="Cambria" w:hAnsi="Cambria"/>
          <w:b/>
          <w:bCs/>
          <w:i w:val="false"/>
          <w:iCs w:val="false"/>
          <w:color w:val="757575"/>
          <w:sz w:val="21"/>
          <w:szCs w:val="21"/>
        </w:rPr>
        <w:t xml:space="preserve">Explanation.  </w:t>
      </w:r>
      <w:r>
        <w:rPr>
          <w:rFonts w:ascii="Cambria" w:cs="Cambria" w:eastAsia="Cambria" w:hAnsi="Cambria"/>
          <w:b w:val="false"/>
          <w:bCs w:val="false"/>
          <w:i w:val="false"/>
          <w:iCs w:val="false"/>
          <w:color w:val="4A4A4A"/>
          <w:sz w:val="21"/>
          <w:szCs w:val="21"/>
        </w:rPr>
        <w:t xml:space="preserve">Reciprocity, consistency, and the rest are prosocial norms when the underlying condition is genuine.  </w:t>
      </w:r>
      <w:r>
        <w:rPr>
          <w:rFonts w:ascii="Cambria" w:cs="Cambria" w:eastAsia="Cambria" w:hAnsi="Cambria"/>
          <w:b/>
          <w:bCs/>
          <w:i w:val="false"/>
          <w:iCs w:val="false"/>
          <w:color w:val="757575"/>
          <w:sz w:val="21"/>
          <w:szCs w:val="21"/>
        </w:rPr>
        <w:t xml:space="preserve">Practical meaning.  </w:t>
      </w:r>
      <w:r>
        <w:rPr>
          <w:rFonts w:ascii="Cambria" w:cs="Cambria" w:eastAsia="Cambria" w:hAnsi="Cambria"/>
          <w:b w:val="false"/>
          <w:bCs w:val="false"/>
          <w:i w:val="false"/>
          <w:iCs w:val="false"/>
          <w:color w:val="4A4A4A"/>
          <w:sz w:val="21"/>
          <w:szCs w:val="21"/>
        </w:rPr>
        <w:t xml:space="preserve">The question is not “was a principle used on me” but “was the underlying condition real.”</w:t>
      </w:r>
    </w:p>
    <w:p>
      <w:pPr>
        <w:spacing w:after="40" w:before="0" w:line="288"/>
        <w:jc w:val="left"/>
      </w:pPr>
      <w:r>
        <w:rPr>
          <w:rFonts w:ascii="Cambria" w:cs="Cambria" w:eastAsia="Cambria" w:hAnsi="Cambria"/>
          <w:b/>
          <w:bCs/>
          <w:i w:val="false"/>
          <w:iCs w:val="false"/>
          <w:color w:val="6B2C2C"/>
          <w:sz w:val="21"/>
          <w:szCs w:val="21"/>
        </w:rPr>
        <w:t xml:space="preserve">13. </w:t>
      </w:r>
      <w:r>
        <w:rPr>
          <w:rFonts w:ascii="Cambria" w:cs="Cambria" w:eastAsia="Cambria" w:hAnsi="Cambria"/>
          <w:b/>
          <w:bCs/>
          <w:i w:val="false"/>
          <w:iCs w:val="false"/>
          <w:color w:val="1A1A1A"/>
          <w:sz w:val="21"/>
          <w:szCs w:val="21"/>
        </w:rPr>
        <w:t xml:space="preserve">Vivid case studies are not the same as statistically representative evidence.</w:t>
      </w:r>
    </w:p>
    <w:p>
      <w:pPr>
        <w:spacing w:after="180" w:before="0" w:line="288"/>
        <w:jc w:val="left"/>
      </w:pPr>
      <w:r>
        <w:rPr>
          <w:rFonts w:ascii="Cambria" w:cs="Cambria" w:eastAsia="Cambria" w:hAnsi="Cambria"/>
          <w:b/>
          <w:bCs/>
          <w:i w:val="false"/>
          <w:iCs w:val="false"/>
          <w:color w:val="757575"/>
          <w:sz w:val="21"/>
          <w:szCs w:val="21"/>
        </w:rPr>
        <w:t xml:space="preserve">Explanation.  </w:t>
      </w:r>
      <w:r>
        <w:rPr>
          <w:rFonts w:ascii="Cambria" w:cs="Cambria" w:eastAsia="Cambria" w:hAnsi="Cambria"/>
          <w:b w:val="false"/>
          <w:bCs w:val="false"/>
          <w:i w:val="false"/>
          <w:iCs w:val="false"/>
          <w:color w:val="4A4A4A"/>
          <w:sz w:val="21"/>
          <w:szCs w:val="21"/>
        </w:rPr>
        <w:t xml:space="preserve">Participant-observation surfaces compelling examples but cannot establish base rates or effect sizes.  </w:t>
      </w:r>
      <w:r>
        <w:rPr>
          <w:rFonts w:ascii="Cambria" w:cs="Cambria" w:eastAsia="Cambria" w:hAnsi="Cambria"/>
          <w:b/>
          <w:bCs/>
          <w:i w:val="false"/>
          <w:iCs w:val="false"/>
          <w:color w:val="757575"/>
          <w:sz w:val="21"/>
          <w:szCs w:val="21"/>
        </w:rPr>
        <w:t xml:space="preserve">Practical meaning.  </w:t>
      </w:r>
      <w:r>
        <w:rPr>
          <w:rFonts w:ascii="Cambria" w:cs="Cambria" w:eastAsia="Cambria" w:hAnsi="Cambria"/>
          <w:b w:val="false"/>
          <w:bCs w:val="false"/>
          <w:i w:val="false"/>
          <w:iCs w:val="false"/>
          <w:color w:val="4A4A4A"/>
          <w:sz w:val="21"/>
          <w:szCs w:val="21"/>
        </w:rPr>
        <w:t xml:space="preserve">Treat the book's examples as illustrations of mechanism, not proof of how often or strongly each principle operates in practice.</w:t>
      </w:r>
    </w:p>
    <w:p>
      <w:pPr>
        <w:pStyle w:val="Heading1"/>
        <w:keepNext/>
        <w:pBdr>
          <w:bottom w:val="single" w:color="C9C7C2" w:sz="4" w:space="6"/>
        </w:pBdr>
        <w:spacing w:after="200" w:before="480"/>
      </w:pPr>
      <w:r>
        <w:rPr>
          <w:rFonts w:ascii="Cambria" w:cs="Cambria" w:eastAsia="Cambria" w:hAnsi="Cambria"/>
          <w:b/>
          <w:bCs/>
          <w:color w:val="6B2C2C"/>
          <w:sz w:val="30"/>
          <w:szCs w:val="30"/>
        </w:rPr>
        <w:t xml:space="preserve">13  </w:t>
      </w:r>
      <w:r>
        <w:rPr>
          <w:rFonts w:ascii="Cambria" w:cs="Cambria" w:eastAsia="Cambria" w:hAnsi="Cambria"/>
          <w:b/>
          <w:bCs/>
          <w:color w:val="1A1A1A"/>
          <w:sz w:val="30"/>
          <w:szCs w:val="30"/>
        </w:rPr>
        <w:t xml:space="preserve">The Book in One Mental Model</w:t>
      </w:r>
    </w:p>
    <w:p>
      <w:pPr>
        <w:spacing w:after="160" w:before="0" w:line="288"/>
        <w:jc w:val="left"/>
      </w:pPr>
      <w:r>
        <w:rPr>
          <w:rFonts w:ascii="Cambria" w:cs="Cambria" w:eastAsia="Cambria" w:hAnsi="Cambria"/>
          <w:color w:val="4A4A4A"/>
          <w:sz w:val="21"/>
          <w:szCs w:val="21"/>
        </w:rPr>
        <w:t xml:space="preserve">A single conceptual chain, meant to be mentally retrievable in thirty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6739"/>
      </w:tblGrid>
      <w:tr>
        <w:trPr>
          <w:cantSplit/>
        </w:trPr>
        <w:tc>
          <w:tcPr>
            <w:tcW w:type="dxa" w:w="2620"/>
            <w:tcBorders>
              <w:top w:val="single" w:color="C9C7C2" w:sz="4"/>
              <w:left w:val="none" w:color="FFFFFF" w:sz="0"/>
              <w:bottom w:val="single" w:color="C9C7C2" w:sz="4"/>
              <w:right w:val="single" w:color="C9C7C2" w:sz="4"/>
            </w:tcBorders>
            <w:shd w:fill="FFFFFF" w:color="auto" w:val="clear"/>
            <w:tcMar>
              <w:top w:type="dxa" w:w="110"/>
              <w:left w:type="dxa" w:w="160"/>
              <w:bottom w:type="dxa" w:w="110"/>
              <w:right w:type="dxa" w:w="140"/>
            </w:tcMar>
            <w:vAlign w:val="center"/>
          </w:tcPr>
          <w:p>
            <w:r>
              <w:rPr>
                <w:rFonts w:ascii="Calibri" w:cs="Calibri" w:eastAsia="Calibri" w:hAnsi="Calibri"/>
                <w:b/>
                <w:bCs/>
                <w:color w:val="6B2C2C"/>
                <w:sz w:val="19"/>
                <w:szCs w:val="19"/>
              </w:rPr>
              <w:t xml:space="preserve">Problem</w:t>
            </w:r>
          </w:p>
        </w:tc>
        <w:tc>
          <w:tcPr>
            <w:tcW w:type="dxa" w:w="6739"/>
            <w:tcBorders>
              <w:top w:val="single" w:color="C9C7C2" w:sz="4"/>
              <w:left w:val="none" w:color="FFFFFF" w:sz="0"/>
              <w:bottom w:val="single" w:color="C9C7C2" w:sz="4"/>
              <w:right w:val="none" w:color="FFFFFF" w:sz="0"/>
            </w:tcBorders>
            <w:shd w:fill="FFFFFF" w:color="auto" w:val="clear"/>
            <w:tcMar>
              <w:top w:type="dxa" w:w="110"/>
              <w:left w:type="dxa" w:w="160"/>
              <w:bottom w:type="dxa" w:w="110"/>
              <w:right w:type="dxa" w:w="140"/>
            </w:tcMar>
            <w:vAlign w:val="center"/>
          </w:tcPr>
          <w:p>
            <w:r>
              <w:rPr>
                <w:rFonts w:ascii="Cambria" w:cs="Cambria" w:eastAsia="Cambria" w:hAnsi="Cambria"/>
                <w:color w:val="4A4A4A"/>
                <w:sz w:val="20"/>
                <w:szCs w:val="20"/>
              </w:rPr>
              <w:t xml:space="preserve">Modern decision-load exceeds capacity for full deliberation</w:t>
            </w:r>
          </w:p>
        </w:tc>
      </w:tr>
      <w:tr>
        <w:trPr>
          <w:cantSplit/>
        </w:trPr>
        <w:tc>
          <w:tcPr>
            <w:tcW w:type="dxa" w:w="2620"/>
            <w:tcBorders>
              <w:top w:val="single" w:color="C9C7C2" w:sz="4"/>
              <w:left w:val="none" w:color="FFFFFF" w:sz="0"/>
              <w:bottom w:val="single" w:color="C9C7C2" w:sz="4"/>
              <w:right w:val="single" w:color="C9C7C2" w:sz="4"/>
            </w:tcBorders>
            <w:shd w:fill="F4F3F0" w:color="auto" w:val="clear"/>
            <w:tcMar>
              <w:top w:type="dxa" w:w="110"/>
              <w:left w:type="dxa" w:w="160"/>
              <w:bottom w:type="dxa" w:w="110"/>
              <w:right w:type="dxa" w:w="140"/>
            </w:tcMar>
            <w:vAlign w:val="center"/>
          </w:tcPr>
          <w:p>
            <w:r>
              <w:rPr>
                <w:rFonts w:ascii="Calibri" w:cs="Calibri" w:eastAsia="Calibri" w:hAnsi="Calibri"/>
                <w:b/>
                <w:bCs/>
                <w:color w:val="6B2C2C"/>
                <w:sz w:val="19"/>
                <w:szCs w:val="19"/>
              </w:rPr>
              <w:t xml:space="preserve">Underlying mechanism</w:t>
            </w:r>
          </w:p>
        </w:tc>
        <w:tc>
          <w:tcPr>
            <w:tcW w:type="dxa" w:w="6739"/>
            <w:tcBorders>
              <w:top w:val="single" w:color="C9C7C2" w:sz="4"/>
              <w:left w:val="none" w:color="FFFFFF" w:sz="0"/>
              <w:bottom w:val="single" w:color="C9C7C2" w:sz="4"/>
              <w:right w:val="none" w:color="FFFFFF" w:sz="0"/>
            </w:tcBorders>
            <w:shd w:fill="F4F3F0" w:color="auto" w:val="clear"/>
            <w:tcMar>
              <w:top w:type="dxa" w:w="110"/>
              <w:left w:type="dxa" w:w="160"/>
              <w:bottom w:type="dxa" w:w="110"/>
              <w:right w:type="dxa" w:w="140"/>
            </w:tcMar>
            <w:vAlign w:val="center"/>
          </w:tcPr>
          <w:p>
            <w:r>
              <w:rPr>
                <w:rFonts w:ascii="Cambria" w:cs="Cambria" w:eastAsia="Cambria" w:hAnsi="Cambria"/>
                <w:color w:val="4A4A4A"/>
                <w:sz w:val="20"/>
                <w:szCs w:val="20"/>
              </w:rPr>
              <w:t xml:space="preserve">Heuristic shortcuts (fixed-action patterns) evolved to handle high-volume, low-stakes decisions efficiently</w:t>
            </w:r>
          </w:p>
        </w:tc>
      </w:tr>
      <w:tr>
        <w:trPr>
          <w:cantSplit/>
        </w:trPr>
        <w:tc>
          <w:tcPr>
            <w:tcW w:type="dxa" w:w="2620"/>
            <w:tcBorders>
              <w:top w:val="single" w:color="C9C7C2" w:sz="4"/>
              <w:left w:val="none" w:color="FFFFFF" w:sz="0"/>
              <w:bottom w:val="single" w:color="C9C7C2" w:sz="4"/>
              <w:right w:val="single" w:color="C9C7C2" w:sz="4"/>
            </w:tcBorders>
            <w:shd w:fill="FFFFFF" w:color="auto" w:val="clear"/>
            <w:tcMar>
              <w:top w:type="dxa" w:w="110"/>
              <w:left w:type="dxa" w:w="160"/>
              <w:bottom w:type="dxa" w:w="110"/>
              <w:right w:type="dxa" w:w="140"/>
            </w:tcMar>
            <w:vAlign w:val="center"/>
          </w:tcPr>
          <w:p>
            <w:r>
              <w:rPr>
                <w:rFonts w:ascii="Calibri" w:cs="Calibri" w:eastAsia="Calibri" w:hAnsi="Calibri"/>
                <w:b/>
                <w:bCs/>
                <w:color w:val="6B2C2C"/>
                <w:sz w:val="19"/>
                <w:szCs w:val="19"/>
              </w:rPr>
              <w:t xml:space="preserve">Exploitation</w:t>
            </w:r>
          </w:p>
        </w:tc>
        <w:tc>
          <w:tcPr>
            <w:tcW w:type="dxa" w:w="6739"/>
            <w:tcBorders>
              <w:top w:val="single" w:color="C9C7C2" w:sz="4"/>
              <w:left w:val="none" w:color="FFFFFF" w:sz="0"/>
              <w:bottom w:val="single" w:color="C9C7C2" w:sz="4"/>
              <w:right w:val="none" w:color="FFFFFF" w:sz="0"/>
            </w:tcBorders>
            <w:shd w:fill="FFFFFF" w:color="auto" w:val="clear"/>
            <w:tcMar>
              <w:top w:type="dxa" w:w="110"/>
              <w:left w:type="dxa" w:w="160"/>
              <w:bottom w:type="dxa" w:w="110"/>
              <w:right w:type="dxa" w:w="140"/>
            </w:tcMar>
            <w:vAlign w:val="center"/>
          </w:tcPr>
          <w:p>
            <w:r>
              <w:rPr>
                <w:rFonts w:ascii="Cambria" w:cs="Cambria" w:eastAsia="Cambria" w:hAnsi="Cambria"/>
                <w:color w:val="4A4A4A"/>
                <w:sz w:val="20"/>
                <w:szCs w:val="20"/>
              </w:rPr>
              <w:t xml:space="preserve">Compliance professionals isolate the trigger feature of each heuristic and manufacture it without the substance behind it</w:t>
            </w:r>
          </w:p>
        </w:tc>
      </w:tr>
      <w:tr>
        <w:trPr>
          <w:cantSplit/>
        </w:trPr>
        <w:tc>
          <w:tcPr>
            <w:tcW w:type="dxa" w:w="2620"/>
            <w:tcBorders>
              <w:top w:val="single" w:color="C9C7C2" w:sz="4"/>
              <w:left w:val="none" w:color="FFFFFF" w:sz="0"/>
              <w:bottom w:val="single" w:color="C9C7C2" w:sz="4"/>
              <w:right w:val="single" w:color="C9C7C2" w:sz="4"/>
            </w:tcBorders>
            <w:shd w:fill="F4F3F0" w:color="auto" w:val="clear"/>
            <w:tcMar>
              <w:top w:type="dxa" w:w="110"/>
              <w:left w:type="dxa" w:w="160"/>
              <w:bottom w:type="dxa" w:w="110"/>
              <w:right w:type="dxa" w:w="140"/>
            </w:tcMar>
            <w:vAlign w:val="center"/>
          </w:tcPr>
          <w:p>
            <w:r>
              <w:rPr>
                <w:rFonts w:ascii="Calibri" w:cs="Calibri" w:eastAsia="Calibri" w:hAnsi="Calibri"/>
                <w:b/>
                <w:bCs/>
                <w:color w:val="6B2C2C"/>
                <w:sz w:val="19"/>
                <w:szCs w:val="19"/>
              </w:rPr>
              <w:t xml:space="preserve">Behavioral consequence</w:t>
            </w:r>
          </w:p>
        </w:tc>
        <w:tc>
          <w:tcPr>
            <w:tcW w:type="dxa" w:w="6739"/>
            <w:tcBorders>
              <w:top w:val="single" w:color="C9C7C2" w:sz="4"/>
              <w:left w:val="none" w:color="FFFFFF" w:sz="0"/>
              <w:bottom w:val="single" w:color="C9C7C2" w:sz="4"/>
              <w:right w:val="none" w:color="FFFFFF" w:sz="0"/>
            </w:tcBorders>
            <w:shd w:fill="F4F3F0" w:color="auto" w:val="clear"/>
            <w:tcMar>
              <w:top w:type="dxa" w:w="110"/>
              <w:left w:type="dxa" w:w="160"/>
              <w:bottom w:type="dxa" w:w="110"/>
              <w:right w:type="dxa" w:w="140"/>
            </w:tcMar>
            <w:vAlign w:val="center"/>
          </w:tcPr>
          <w:p>
            <w:r>
              <w:rPr>
                <w:rFonts w:ascii="Cambria" w:cs="Cambria" w:eastAsia="Cambria" w:hAnsi="Cambria"/>
                <w:color w:val="4A4A4A"/>
                <w:sz w:val="20"/>
                <w:szCs w:val="20"/>
              </w:rPr>
              <w:t xml:space="preserve">Automatic compliance, bypassing evaluation of the request's actual merits</w:t>
            </w:r>
          </w:p>
        </w:tc>
      </w:tr>
      <w:tr>
        <w:trPr>
          <w:cantSplit/>
        </w:trPr>
        <w:tc>
          <w:tcPr>
            <w:tcW w:type="dxa" w:w="2620"/>
            <w:tcBorders>
              <w:top w:val="single" w:color="C9C7C2" w:sz="4"/>
              <w:left w:val="none" w:color="FFFFFF" w:sz="0"/>
              <w:bottom w:val="single" w:color="C9C7C2" w:sz="4"/>
              <w:right w:val="single" w:color="C9C7C2" w:sz="4"/>
            </w:tcBorders>
            <w:shd w:fill="FFFFFF" w:color="auto" w:val="clear"/>
            <w:tcMar>
              <w:top w:type="dxa" w:w="110"/>
              <w:left w:type="dxa" w:w="160"/>
              <w:bottom w:type="dxa" w:w="110"/>
              <w:right w:type="dxa" w:w="140"/>
            </w:tcMar>
            <w:vAlign w:val="center"/>
          </w:tcPr>
          <w:p>
            <w:r>
              <w:rPr>
                <w:rFonts w:ascii="Calibri" w:cs="Calibri" w:eastAsia="Calibri" w:hAnsi="Calibri"/>
                <w:b/>
                <w:bCs/>
                <w:color w:val="6B2C2C"/>
                <w:sz w:val="19"/>
                <w:szCs w:val="19"/>
              </w:rPr>
              <w:t xml:space="preserve">Cialdini's intervention</w:t>
            </w:r>
          </w:p>
        </w:tc>
        <w:tc>
          <w:tcPr>
            <w:tcW w:type="dxa" w:w="6739"/>
            <w:tcBorders>
              <w:top w:val="single" w:color="C9C7C2" w:sz="4"/>
              <w:left w:val="none" w:color="FFFFFF" w:sz="0"/>
              <w:bottom w:val="single" w:color="C9C7C2" w:sz="4"/>
              <w:right w:val="none" w:color="FFFFFF" w:sz="0"/>
            </w:tcBorders>
            <w:shd w:fill="FFFFFF" w:color="auto" w:val="clear"/>
            <w:tcMar>
              <w:top w:type="dxa" w:w="110"/>
              <w:left w:type="dxa" w:w="160"/>
              <w:bottom w:type="dxa" w:w="110"/>
              <w:right w:type="dxa" w:w="140"/>
            </w:tcMar>
            <w:vAlign w:val="center"/>
          </w:tcPr>
          <w:p>
            <w:r>
              <w:rPr>
                <w:rFonts w:ascii="Cambria" w:cs="Cambria" w:eastAsia="Cambria" w:hAnsi="Cambria"/>
                <w:color w:val="4A4A4A"/>
                <w:sz w:val="20"/>
                <w:szCs w:val="20"/>
              </w:rPr>
              <w:t xml:space="preserve">Recognize the felt sensation of a trigger firing → deliberately shift from automatic to controlled processing</w:t>
            </w:r>
          </w:p>
        </w:tc>
      </w:tr>
      <w:tr>
        <w:trPr>
          <w:cantSplit/>
        </w:trPr>
        <w:tc>
          <w:tcPr>
            <w:tcW w:type="dxa" w:w="2620"/>
            <w:tcBorders>
              <w:top w:val="single" w:color="C9C7C2" w:sz="4"/>
              <w:left w:val="none" w:color="FFFFFF" w:sz="0"/>
              <w:bottom w:val="single" w:color="C9C7C2" w:sz="4"/>
              <w:right w:val="single" w:color="C9C7C2" w:sz="4"/>
            </w:tcBorders>
            <w:shd w:fill="F4F3F0" w:color="auto" w:val="clear"/>
            <w:tcMar>
              <w:top w:type="dxa" w:w="110"/>
              <w:left w:type="dxa" w:w="160"/>
              <w:bottom w:type="dxa" w:w="110"/>
              <w:right w:type="dxa" w:w="140"/>
            </w:tcMar>
            <w:vAlign w:val="center"/>
          </w:tcPr>
          <w:p>
            <w:r>
              <w:rPr>
                <w:rFonts w:ascii="Calibri" w:cs="Calibri" w:eastAsia="Calibri" w:hAnsi="Calibri"/>
                <w:b/>
                <w:bCs/>
                <w:color w:val="6B2C2C"/>
                <w:sz w:val="19"/>
                <w:szCs w:val="19"/>
              </w:rPr>
              <w:t xml:space="preserve">Long-term outcome (if adopted)</w:t>
            </w:r>
          </w:p>
        </w:tc>
        <w:tc>
          <w:tcPr>
            <w:tcW w:type="dxa" w:w="6739"/>
            <w:tcBorders>
              <w:top w:val="single" w:color="C9C7C2" w:sz="4"/>
              <w:left w:val="none" w:color="FFFFFF" w:sz="0"/>
              <w:bottom w:val="single" w:color="C9C7C2" w:sz="4"/>
              <w:right w:val="none" w:color="FFFFFF" w:sz="0"/>
            </w:tcBorders>
            <w:shd w:fill="F4F3F0" w:color="auto" w:val="clear"/>
            <w:tcMar>
              <w:top w:type="dxa" w:w="110"/>
              <w:left w:type="dxa" w:w="160"/>
              <w:bottom w:type="dxa" w:w="110"/>
              <w:right w:type="dxa" w:w="140"/>
            </w:tcMar>
            <w:vAlign w:val="center"/>
          </w:tcPr>
          <w:p>
            <w:r>
              <w:rPr>
                <w:rFonts w:ascii="Cambria" w:cs="Cambria" w:eastAsia="Cambria" w:hAnsi="Cambria"/>
                <w:color w:val="4A4A4A"/>
                <w:sz w:val="20"/>
                <w:szCs w:val="20"/>
              </w:rPr>
              <w:t xml:space="preserve">Compliance decisions are re-anchored to the genuine presence or absence of the underlying condition, not to the manufactured surface signal</w:t>
            </w:r>
          </w:p>
        </w:tc>
      </w:tr>
    </w:tbl>
    <w:p>
      <w:pPr>
        <w:spacing w:after="0" w:before="0"/>
      </w:pPr>
      <w:r>
        <w:rPr>
          <w:sz w:val="2"/>
          <w:szCs w:val="2"/>
        </w:rPr>
        <w:t xml:space="preserve"/>
      </w:r>
    </w:p>
    <w:p>
      <w:pPr>
        <w:pStyle w:val="Heading1"/>
        <w:keepNext/>
        <w:pBdr>
          <w:bottom w:val="single" w:color="C9C7C2" w:sz="4" w:space="6"/>
        </w:pBdr>
        <w:spacing w:after="200" w:before="480"/>
      </w:pPr>
      <w:r>
        <w:rPr>
          <w:rFonts w:ascii="Cambria" w:cs="Cambria" w:eastAsia="Cambria" w:hAnsi="Cambria"/>
          <w:b/>
          <w:bCs/>
          <w:color w:val="6B2C2C"/>
          <w:sz w:val="30"/>
          <w:szCs w:val="30"/>
        </w:rPr>
        <w:t xml:space="preserve">14  </w:t>
      </w:r>
      <w:r>
        <w:rPr>
          <w:rFonts w:ascii="Cambria" w:cs="Cambria" w:eastAsia="Cambria" w:hAnsi="Cambria"/>
          <w:b/>
          <w:bCs/>
          <w:color w:val="1A1A1A"/>
          <w:sz w:val="30"/>
          <w:szCs w:val="30"/>
        </w:rPr>
        <w:t xml:space="preserve">What to Remember</w:t>
      </w:r>
    </w:p>
    <w:p>
      <w:pPr>
        <w:pStyle w:val="Heading3"/>
        <w:keepNext/>
        <w:spacing w:after="90" w:before="240"/>
      </w:pPr>
      <w:r>
        <w:rPr>
          <w:rFonts w:ascii="Cambria" w:cs="Cambria" w:eastAsia="Cambria" w:hAnsi="Cambria"/>
          <w:b/>
          <w:bCs/>
          <w:i w:val="false"/>
          <w:iCs w:val="false"/>
          <w:color w:val="1A1A1A"/>
          <w:sz w:val="21"/>
          <w:szCs w:val="21"/>
        </w:rPr>
        <w:t xml:space="preserve">The 10 Things Worth Remembering</w:t>
      </w:r>
    </w:p>
    <w:p>
      <w:pPr>
        <w:spacing w:after="130" w:before="0" w:line="288"/>
        <w:jc w:val="left"/>
      </w:pPr>
      <w:r>
        <w:rPr>
          <w:rFonts w:ascii="Cambria" w:cs="Cambria" w:eastAsia="Cambria" w:hAnsi="Cambria"/>
          <w:b/>
          <w:bCs/>
          <w:i w:val="false"/>
          <w:iCs w:val="false"/>
          <w:color w:val="6B2C2C"/>
          <w:sz w:val="21"/>
          <w:szCs w:val="21"/>
        </w:rPr>
        <w:t xml:space="preserve">1.  </w:t>
      </w:r>
      <w:r>
        <w:rPr>
          <w:rFonts w:ascii="Cambria" w:cs="Cambria" w:eastAsia="Cambria" w:hAnsi="Cambria"/>
          <w:b w:val="false"/>
          <w:bCs w:val="false"/>
          <w:i w:val="false"/>
          <w:iCs w:val="false"/>
          <w:color w:val="4A4A4A"/>
          <w:sz w:val="21"/>
          <w:szCs w:val="21"/>
        </w:rPr>
        <w:t xml:space="preserve">Compliance is often triggered automatically by a request's form, not its content.</w:t>
      </w:r>
    </w:p>
    <w:p>
      <w:pPr>
        <w:spacing w:after="130" w:before="0" w:line="288"/>
        <w:jc w:val="left"/>
      </w:pPr>
      <w:r>
        <w:rPr>
          <w:rFonts w:ascii="Cambria" w:cs="Cambria" w:eastAsia="Cambria" w:hAnsi="Cambria"/>
          <w:b/>
          <w:bCs/>
          <w:i w:val="false"/>
          <w:iCs w:val="false"/>
          <w:color w:val="6B2C2C"/>
          <w:sz w:val="21"/>
          <w:szCs w:val="21"/>
        </w:rPr>
        <w:t xml:space="preserve">2.  </w:t>
      </w:r>
      <w:r>
        <w:rPr>
          <w:rFonts w:ascii="Cambria" w:cs="Cambria" w:eastAsia="Cambria" w:hAnsi="Cambria"/>
          <w:b w:val="false"/>
          <w:bCs w:val="false"/>
          <w:i w:val="false"/>
          <w:iCs w:val="false"/>
          <w:color w:val="4A4A4A"/>
          <w:sz w:val="21"/>
          <w:szCs w:val="21"/>
        </w:rPr>
        <w:t xml:space="preserve">There are seven identified trigger categories: Reciprocation, Commitment/Consistency, Social Proof, Liking, Authority, Scarcity, Unity.</w:t>
      </w:r>
    </w:p>
    <w:p>
      <w:pPr>
        <w:spacing w:after="130" w:before="0" w:line="288"/>
        <w:jc w:val="left"/>
      </w:pPr>
      <w:r>
        <w:rPr>
          <w:rFonts w:ascii="Cambria" w:cs="Cambria" w:eastAsia="Cambria" w:hAnsi="Cambria"/>
          <w:b/>
          <w:bCs/>
          <w:i w:val="false"/>
          <w:iCs w:val="false"/>
          <w:color w:val="6B2C2C"/>
          <w:sz w:val="21"/>
          <w:szCs w:val="21"/>
        </w:rPr>
        <w:t xml:space="preserve">3.  </w:t>
      </w:r>
      <w:r>
        <w:rPr>
          <w:rFonts w:ascii="Cambria" w:cs="Cambria" w:eastAsia="Cambria" w:hAnsi="Cambria"/>
          <w:b w:val="false"/>
          <w:bCs w:val="false"/>
          <w:i w:val="false"/>
          <w:iCs w:val="false"/>
          <w:color w:val="4A4A4A"/>
          <w:sz w:val="21"/>
          <w:szCs w:val="21"/>
        </w:rPr>
        <w:t xml:space="preserve">Each trigger can be isolated and manufactured without the genuine condition that normally justifies it.</w:t>
      </w:r>
    </w:p>
    <w:p>
      <w:pPr>
        <w:spacing w:after="130" w:before="0" w:line="288"/>
        <w:jc w:val="left"/>
      </w:pPr>
      <w:r>
        <w:rPr>
          <w:rFonts w:ascii="Cambria" w:cs="Cambria" w:eastAsia="Cambria" w:hAnsi="Cambria"/>
          <w:b/>
          <w:bCs/>
          <w:i w:val="false"/>
          <w:iCs w:val="false"/>
          <w:color w:val="6B2C2C"/>
          <w:sz w:val="21"/>
          <w:szCs w:val="21"/>
        </w:rPr>
        <w:t xml:space="preserve">4.  </w:t>
      </w:r>
      <w:r>
        <w:rPr>
          <w:rFonts w:ascii="Cambria" w:cs="Cambria" w:eastAsia="Cambria" w:hAnsi="Cambria"/>
          <w:b w:val="false"/>
          <w:bCs w:val="false"/>
          <w:i w:val="false"/>
          <w:iCs w:val="false"/>
          <w:color w:val="4A4A4A"/>
          <w:sz w:val="21"/>
          <w:szCs w:val="21"/>
        </w:rPr>
        <w:t xml:space="preserve">Reciprocation obligates disproportionately, even for small or unsolicited gifts.</w:t>
      </w:r>
    </w:p>
    <w:p>
      <w:pPr>
        <w:spacing w:after="130" w:before="0" w:line="288"/>
        <w:jc w:val="left"/>
      </w:pPr>
      <w:r>
        <w:rPr>
          <w:rFonts w:ascii="Cambria" w:cs="Cambria" w:eastAsia="Cambria" w:hAnsi="Cambria"/>
          <w:b/>
          <w:bCs/>
          <w:i w:val="false"/>
          <w:iCs w:val="false"/>
          <w:color w:val="6B2C2C"/>
          <w:sz w:val="21"/>
          <w:szCs w:val="21"/>
        </w:rPr>
        <w:t xml:space="preserve">5.  </w:t>
      </w:r>
      <w:r>
        <w:rPr>
          <w:rFonts w:ascii="Cambria" w:cs="Cambria" w:eastAsia="Cambria" w:hAnsi="Cambria"/>
          <w:b w:val="false"/>
          <w:bCs w:val="false"/>
          <w:i w:val="false"/>
          <w:iCs w:val="false"/>
          <w:color w:val="4A4A4A"/>
          <w:sz w:val="21"/>
          <w:szCs w:val="21"/>
        </w:rPr>
        <w:t xml:space="preserve">Small, active, public commitments predict compliance with larger, related later requests.</w:t>
      </w:r>
    </w:p>
    <w:p>
      <w:pPr>
        <w:spacing w:after="130" w:before="0" w:line="288"/>
        <w:jc w:val="left"/>
      </w:pPr>
      <w:r>
        <w:rPr>
          <w:rFonts w:ascii="Cambria" w:cs="Cambria" w:eastAsia="Cambria" w:hAnsi="Cambria"/>
          <w:b/>
          <w:bCs/>
          <w:i w:val="false"/>
          <w:iCs w:val="false"/>
          <w:color w:val="6B2C2C"/>
          <w:sz w:val="21"/>
          <w:szCs w:val="21"/>
        </w:rPr>
        <w:t xml:space="preserve">6.  </w:t>
      </w:r>
      <w:r>
        <w:rPr>
          <w:rFonts w:ascii="Cambria" w:cs="Cambria" w:eastAsia="Cambria" w:hAnsi="Cambria"/>
          <w:b w:val="false"/>
          <w:bCs w:val="false"/>
          <w:i w:val="false"/>
          <w:iCs w:val="false"/>
          <w:color w:val="4A4A4A"/>
          <w:sz w:val="21"/>
          <w:szCs w:val="21"/>
        </w:rPr>
        <w:t xml:space="preserve">Social proof is strongest under ambiguity and similarity — but Cialdini's flagship anecdote (Kitty Genovese) is factually disputed.</w:t>
      </w:r>
    </w:p>
    <w:p>
      <w:pPr>
        <w:spacing w:after="130" w:before="0" w:line="288"/>
        <w:jc w:val="left"/>
      </w:pPr>
      <w:r>
        <w:rPr>
          <w:rFonts w:ascii="Cambria" w:cs="Cambria" w:eastAsia="Cambria" w:hAnsi="Cambria"/>
          <w:b/>
          <w:bCs/>
          <w:i w:val="false"/>
          <w:iCs w:val="false"/>
          <w:color w:val="6B2C2C"/>
          <w:sz w:val="21"/>
          <w:szCs w:val="21"/>
        </w:rPr>
        <w:t xml:space="preserve">7.  </w:t>
      </w:r>
      <w:r>
        <w:rPr>
          <w:rFonts w:ascii="Cambria" w:cs="Cambria" w:eastAsia="Cambria" w:hAnsi="Cambria"/>
          <w:b w:val="false"/>
          <w:bCs w:val="false"/>
          <w:i w:val="false"/>
          <w:iCs w:val="false"/>
          <w:color w:val="4A4A4A"/>
          <w:sz w:val="21"/>
          <w:szCs w:val="21"/>
        </w:rPr>
        <w:t xml:space="preserve">Liking is manufacturable via attractiveness, similarity, compliments, and contact, independent of a request's actual merit.</w:t>
      </w:r>
    </w:p>
    <w:p>
      <w:pPr>
        <w:spacing w:after="130" w:before="0" w:line="288"/>
        <w:jc w:val="left"/>
      </w:pPr>
      <w:r>
        <w:rPr>
          <w:rFonts w:ascii="Cambria" w:cs="Cambria" w:eastAsia="Cambria" w:hAnsi="Cambria"/>
          <w:b/>
          <w:bCs/>
          <w:i w:val="false"/>
          <w:iCs w:val="false"/>
          <w:color w:val="6B2C2C"/>
          <w:sz w:val="21"/>
          <w:szCs w:val="21"/>
        </w:rPr>
        <w:t xml:space="preserve">8.  </w:t>
      </w:r>
      <w:r>
        <w:rPr>
          <w:rFonts w:ascii="Cambria" w:cs="Cambria" w:eastAsia="Cambria" w:hAnsi="Cambria"/>
          <w:b w:val="false"/>
          <w:bCs w:val="false"/>
          <w:i w:val="false"/>
          <w:iCs w:val="false"/>
          <w:color w:val="4A4A4A"/>
          <w:sz w:val="21"/>
          <w:szCs w:val="21"/>
        </w:rPr>
        <w:t xml:space="preserve">Authority's pull comes partly from symbols alone (titles, uniforms) — and Milgram's classic interpretation is more contested today than the book presents it.</w:t>
      </w:r>
    </w:p>
    <w:p>
      <w:pPr>
        <w:spacing w:after="130" w:before="0" w:line="288"/>
        <w:jc w:val="left"/>
      </w:pPr>
      <w:r>
        <w:rPr>
          <w:rFonts w:ascii="Cambria" w:cs="Cambria" w:eastAsia="Cambria" w:hAnsi="Cambria"/>
          <w:b/>
          <w:bCs/>
          <w:i w:val="false"/>
          <w:iCs w:val="false"/>
          <w:color w:val="6B2C2C"/>
          <w:sz w:val="21"/>
          <w:szCs w:val="21"/>
        </w:rPr>
        <w:t xml:space="preserve">9.  </w:t>
      </w:r>
      <w:r>
        <w:rPr>
          <w:rFonts w:ascii="Cambria" w:cs="Cambria" w:eastAsia="Cambria" w:hAnsi="Cambria"/>
          <w:b w:val="false"/>
          <w:bCs w:val="false"/>
          <w:i w:val="false"/>
          <w:iCs w:val="false"/>
          <w:color w:val="4A4A4A"/>
          <w:sz w:val="21"/>
          <w:szCs w:val="21"/>
        </w:rPr>
        <w:t xml:space="preserve">Scarcity and reactance make restricted options feel more valuable and more urgently wanted, regardless of their independent merit.</w:t>
      </w:r>
    </w:p>
    <w:p>
      <w:pPr>
        <w:spacing w:after="130" w:before="0" w:line="288"/>
        <w:jc w:val="left"/>
      </w:pPr>
      <w:r>
        <w:rPr>
          <w:rFonts w:ascii="Cambria" w:cs="Cambria" w:eastAsia="Cambria" w:hAnsi="Cambria"/>
          <w:b/>
          <w:bCs/>
          <w:i w:val="false"/>
          <w:iCs w:val="false"/>
          <w:color w:val="6B2C2C"/>
          <w:sz w:val="21"/>
          <w:szCs w:val="21"/>
        </w:rPr>
        <w:t xml:space="preserve">10.  </w:t>
      </w:r>
      <w:r>
        <w:rPr>
          <w:rFonts w:ascii="Cambria" w:cs="Cambria" w:eastAsia="Cambria" w:hAnsi="Cambria"/>
          <w:b w:val="false"/>
          <w:bCs w:val="false"/>
          <w:i w:val="false"/>
          <w:iCs w:val="false"/>
          <w:color w:val="4A4A4A"/>
          <w:sz w:val="21"/>
          <w:szCs w:val="21"/>
        </w:rPr>
        <w:t xml:space="preserve">The recommended defense is not constant vigilance but noticing the specific feeling of disproportionate pressure and using it as the cue to re-engage deliberate evaluation.</w:t>
      </w:r>
    </w:p>
    <w:p>
      <w:pPr>
        <w:spacing w:after="0" w:before="0"/>
      </w:pPr>
      <w:r>
        <w:rPr>
          <w:sz w:val="2"/>
          <w:szCs w:val="2"/>
        </w:rPr>
        <w:t xml:space="preserve"/>
      </w:r>
    </w:p>
    <w:p>
      <w:pPr>
        <w:pStyle w:val="Heading1"/>
        <w:keepNext/>
        <w:pBdr>
          <w:bottom w:val="single" w:color="C9C7C2" w:sz="4" w:space="6"/>
        </w:pBdr>
        <w:spacing w:after="200" w:before="480"/>
      </w:pPr>
      <w:r>
        <w:rPr>
          <w:rFonts w:ascii="Cambria" w:cs="Cambria" w:eastAsia="Cambria" w:hAnsi="Cambria"/>
          <w:b/>
          <w:bCs/>
          <w:color w:val="1A1A1A"/>
          <w:sz w:val="30"/>
          <w:szCs w:val="30"/>
        </w:rPr>
        <w:t xml:space="preserve">Chapter-to-Concept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5428"/>
      </w:tblGrid>
      <w:tr>
        <w:trPr>
          <w:tblHeader/>
        </w:trPr>
        <w:tc>
          <w:tcPr>
            <w:tcW w:type="dxa" w:w="3931"/>
            <w:tcBorders>
              <w:top w:val="single" w:color="1A1A1A" w:sz="8"/>
              <w:left w:val="none" w:color="FFFFFF" w:sz="0"/>
              <w:bottom w:val="single" w:color="C9C7C2" w:sz="4"/>
              <w:right w:val="none" w:color="FFFFFF" w:sz="0"/>
            </w:tcBorders>
            <w:shd w:fill="EDEBE6" w:color="auto" w:val="clear"/>
            <w:tcMar>
              <w:top w:type="dxa" w:w="100"/>
              <w:left w:type="dxa" w:w="140"/>
              <w:bottom w:type="dxa" w:w="100"/>
              <w:right w:type="dxa" w:w="140"/>
            </w:tcMar>
            <w:vAlign w:val="center"/>
          </w:tcPr>
          <w:p>
            <w:r>
              <w:rPr>
                <w:rFonts w:ascii="Calibri" w:cs="Calibri" w:eastAsia="Calibri" w:hAnsi="Calibri"/>
                <w:b/>
                <w:bCs/>
                <w:color w:val="1A1A1A"/>
                <w:spacing w:val="4"/>
                <w:sz w:val="17"/>
                <w:szCs w:val="17"/>
              </w:rPr>
              <w:t xml:space="preserve">BOOK SECTION (APPROXIMATE)</w:t>
            </w:r>
          </w:p>
        </w:tc>
        <w:tc>
          <w:tcPr>
            <w:tcW w:type="dxa" w:w="5428"/>
            <w:tcBorders>
              <w:top w:val="single" w:color="1A1A1A" w:sz="8"/>
              <w:left w:val="none" w:color="FFFFFF" w:sz="0"/>
              <w:bottom w:val="single" w:color="C9C7C2" w:sz="4"/>
              <w:right w:val="none" w:color="FFFFFF" w:sz="0"/>
            </w:tcBorders>
            <w:shd w:fill="EDEBE6" w:color="auto" w:val="clear"/>
            <w:tcMar>
              <w:top w:type="dxa" w:w="100"/>
              <w:left w:type="dxa" w:w="140"/>
              <w:bottom w:type="dxa" w:w="100"/>
              <w:right w:type="dxa" w:w="140"/>
            </w:tcMar>
            <w:vAlign w:val="center"/>
          </w:tcPr>
          <w:p>
            <w:r>
              <w:rPr>
                <w:rFonts w:ascii="Calibri" w:cs="Calibri" w:eastAsia="Calibri" w:hAnsi="Calibri"/>
                <w:b/>
                <w:bCs/>
                <w:color w:val="1A1A1A"/>
                <w:spacing w:val="4"/>
                <w:sz w:val="17"/>
                <w:szCs w:val="17"/>
              </w:rPr>
              <w:t xml:space="preserve">PRIMARY CONCEPT(S) ORIGINATING THERE</w:t>
            </w:r>
          </w:p>
        </w:tc>
      </w:tr>
      <w:tr>
        <w:trPr>
          <w:cantSplit/>
        </w:trPr>
        <w:tc>
          <w:tcPr>
            <w:tcW w:type="dxa" w:w="3931"/>
            <w:tcBorders>
              <w:top w:val="single" w:color="C9C7C2" w:sz="4"/>
              <w:left w:val="none" w:color="FFFFFF" w:sz="0"/>
              <w:bottom w:val="single" w:color="C9C7C2" w:sz="4"/>
              <w:right w:val="none" w:color="FFFFFF" w:sz="0"/>
            </w:tcBorders>
            <w:shd w:fill="FFFFFF"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Opening chapters — “Weapons of Influence” / “click-whirr”</w:t>
            </w:r>
          </w:p>
        </w:tc>
        <w:tc>
          <w:tcPr>
            <w:tcW w:type="dxa" w:w="5428"/>
            <w:tcBorders>
              <w:top w:val="single" w:color="C9C7C2" w:sz="4"/>
              <w:left w:val="none" w:color="FFFFFF" w:sz="0"/>
              <w:bottom w:val="single" w:color="C9C7C2" w:sz="4"/>
              <w:right w:val="none" w:color="FFFFFF" w:sz="0"/>
            </w:tcBorders>
            <w:shd w:fill="FFFFFF"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Fixed-action pattern; automatic vs. controlled processing; overall framework</w:t>
            </w:r>
          </w:p>
        </w:tc>
      </w:tr>
      <w:tr>
        <w:trPr>
          <w:cantSplit/>
        </w:trPr>
        <w:tc>
          <w:tcPr>
            <w:tcW w:type="dxa" w:w="3931"/>
            <w:tcBorders>
              <w:top w:val="single" w:color="C9C7C2" w:sz="4"/>
              <w:left w:val="none" w:color="FFFFFF" w:sz="0"/>
              <w:bottom w:val="single" w:color="C9C7C2" w:sz="4"/>
              <w:right w:val="none" w:color="FFFFFF" w:sz="0"/>
            </w:tcBorders>
            <w:shd w:fill="FAFAF8"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Reciprocation chapter</w:t>
            </w:r>
          </w:p>
        </w:tc>
        <w:tc>
          <w:tcPr>
            <w:tcW w:type="dxa" w:w="5428"/>
            <w:tcBorders>
              <w:top w:val="single" w:color="C9C7C2" w:sz="4"/>
              <w:left w:val="none" w:color="FFFFFF" w:sz="0"/>
              <w:bottom w:val="single" w:color="C9C7C2" w:sz="4"/>
              <w:right w:val="none" w:color="FFFFFF" w:sz="0"/>
            </w:tcBorders>
            <w:shd w:fill="FAFAF8"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Reciprocation; door-in-the-face; perceptual contrast</w:t>
            </w:r>
          </w:p>
        </w:tc>
      </w:tr>
      <w:tr>
        <w:trPr>
          <w:cantSplit/>
        </w:trPr>
        <w:tc>
          <w:tcPr>
            <w:tcW w:type="dxa" w:w="3931"/>
            <w:tcBorders>
              <w:top w:val="single" w:color="C9C7C2" w:sz="4"/>
              <w:left w:val="none" w:color="FFFFFF" w:sz="0"/>
              <w:bottom w:val="single" w:color="C9C7C2" w:sz="4"/>
              <w:right w:val="none" w:color="FFFFFF" w:sz="0"/>
            </w:tcBorders>
            <w:shd w:fill="FFFFFF"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Commitment and Consistency chapter</w:t>
            </w:r>
          </w:p>
        </w:tc>
        <w:tc>
          <w:tcPr>
            <w:tcW w:type="dxa" w:w="5428"/>
            <w:tcBorders>
              <w:top w:val="single" w:color="C9C7C2" w:sz="4"/>
              <w:left w:val="none" w:color="FFFFFF" w:sz="0"/>
              <w:bottom w:val="single" w:color="C9C7C2" w:sz="4"/>
              <w:right w:val="none" w:color="FFFFFF" w:sz="0"/>
            </w:tcBorders>
            <w:shd w:fill="FFFFFF"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Commitment/consistency; foot-in-the-door; Korean War POW case</w:t>
            </w:r>
          </w:p>
        </w:tc>
      </w:tr>
      <w:tr>
        <w:trPr>
          <w:cantSplit/>
        </w:trPr>
        <w:tc>
          <w:tcPr>
            <w:tcW w:type="dxa" w:w="3931"/>
            <w:tcBorders>
              <w:top w:val="single" w:color="C9C7C2" w:sz="4"/>
              <w:left w:val="none" w:color="FFFFFF" w:sz="0"/>
              <w:bottom w:val="single" w:color="C9C7C2" w:sz="4"/>
              <w:right w:val="none" w:color="FFFFFF" w:sz="0"/>
            </w:tcBorders>
            <w:shd w:fill="FAFAF8"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Social Proof chapter</w:t>
            </w:r>
          </w:p>
        </w:tc>
        <w:tc>
          <w:tcPr>
            <w:tcW w:type="dxa" w:w="5428"/>
            <w:tcBorders>
              <w:top w:val="single" w:color="C9C7C2" w:sz="4"/>
              <w:left w:val="none" w:color="FFFFFF" w:sz="0"/>
              <w:bottom w:val="single" w:color="C9C7C2" w:sz="4"/>
              <w:right w:val="none" w:color="FFFFFF" w:sz="0"/>
            </w:tcBorders>
            <w:shd w:fill="FAFAF8"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Social proof; pluralistic ignorance; diffusion of responsibility; Kitty Genovese case</w:t>
            </w:r>
          </w:p>
        </w:tc>
      </w:tr>
      <w:tr>
        <w:trPr>
          <w:cantSplit/>
        </w:trPr>
        <w:tc>
          <w:tcPr>
            <w:tcW w:type="dxa" w:w="3931"/>
            <w:tcBorders>
              <w:top w:val="single" w:color="C9C7C2" w:sz="4"/>
              <w:left w:val="none" w:color="FFFFFF" w:sz="0"/>
              <w:bottom w:val="single" w:color="C9C7C2" w:sz="4"/>
              <w:right w:val="none" w:color="FFFFFF" w:sz="0"/>
            </w:tcBorders>
            <w:shd w:fill="FFFFFF"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Liking chapter</w:t>
            </w:r>
          </w:p>
        </w:tc>
        <w:tc>
          <w:tcPr>
            <w:tcW w:type="dxa" w:w="5428"/>
            <w:tcBorders>
              <w:top w:val="single" w:color="C9C7C2" w:sz="4"/>
              <w:left w:val="none" w:color="FFFFFF" w:sz="0"/>
              <w:bottom w:val="single" w:color="C9C7C2" w:sz="4"/>
              <w:right w:val="none" w:color="FFFFFF" w:sz="0"/>
            </w:tcBorders>
            <w:shd w:fill="FFFFFF"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Liking; attractiveness halo effect; BIRGing; association</w:t>
            </w:r>
          </w:p>
        </w:tc>
      </w:tr>
      <w:tr>
        <w:trPr>
          <w:cantSplit/>
        </w:trPr>
        <w:tc>
          <w:tcPr>
            <w:tcW w:type="dxa" w:w="3931"/>
            <w:tcBorders>
              <w:top w:val="single" w:color="C9C7C2" w:sz="4"/>
              <w:left w:val="none" w:color="FFFFFF" w:sz="0"/>
              <w:bottom w:val="single" w:color="C9C7C2" w:sz="4"/>
              <w:right w:val="none" w:color="FFFFFF" w:sz="0"/>
            </w:tcBorders>
            <w:shd w:fill="FAFAF8"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Authority chapter</w:t>
            </w:r>
          </w:p>
        </w:tc>
        <w:tc>
          <w:tcPr>
            <w:tcW w:type="dxa" w:w="5428"/>
            <w:tcBorders>
              <w:top w:val="single" w:color="C9C7C2" w:sz="4"/>
              <w:left w:val="none" w:color="FFFFFF" w:sz="0"/>
              <w:bottom w:val="single" w:color="C9C7C2" w:sz="4"/>
              <w:right w:val="none" w:color="FFFFFF" w:sz="0"/>
            </w:tcBorders>
            <w:shd w:fill="FAFAF8"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Authority; Milgram experiments; symbols of authority</w:t>
            </w:r>
          </w:p>
        </w:tc>
      </w:tr>
      <w:tr>
        <w:trPr>
          <w:cantSplit/>
        </w:trPr>
        <w:tc>
          <w:tcPr>
            <w:tcW w:type="dxa" w:w="3931"/>
            <w:tcBorders>
              <w:top w:val="single" w:color="C9C7C2" w:sz="4"/>
              <w:left w:val="none" w:color="FFFFFF" w:sz="0"/>
              <w:bottom w:val="single" w:color="C9C7C2" w:sz="4"/>
              <w:right w:val="none" w:color="FFFFFF" w:sz="0"/>
            </w:tcBorders>
            <w:shd w:fill="FFFFFF"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Scarcity chapter</w:t>
            </w:r>
          </w:p>
        </w:tc>
        <w:tc>
          <w:tcPr>
            <w:tcW w:type="dxa" w:w="5428"/>
            <w:tcBorders>
              <w:top w:val="single" w:color="C9C7C2" w:sz="4"/>
              <w:left w:val="none" w:color="FFFFFF" w:sz="0"/>
              <w:bottom w:val="single" w:color="C9C7C2" w:sz="4"/>
              <w:right w:val="none" w:color="FFFFFF" w:sz="0"/>
            </w:tcBorders>
            <w:shd w:fill="FFFFFF"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Scarcity; psychological reactance; newly-imposed restriction</w:t>
            </w:r>
          </w:p>
        </w:tc>
      </w:tr>
      <w:tr>
        <w:trPr>
          <w:cantSplit/>
        </w:trPr>
        <w:tc>
          <w:tcPr>
            <w:tcW w:type="dxa" w:w="3931"/>
            <w:tcBorders>
              <w:top w:val="single" w:color="C9C7C2" w:sz="4"/>
              <w:left w:val="none" w:color="FFFFFF" w:sz="0"/>
              <w:bottom w:val="single" w:color="C9C7C2" w:sz="4"/>
              <w:right w:val="none" w:color="FFFFFF" w:sz="0"/>
            </w:tcBorders>
            <w:shd w:fill="FAFAF8"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Unity chapter (2021 edition addition)</w:t>
            </w:r>
          </w:p>
        </w:tc>
        <w:tc>
          <w:tcPr>
            <w:tcW w:type="dxa" w:w="5428"/>
            <w:tcBorders>
              <w:top w:val="single" w:color="C9C7C2" w:sz="4"/>
              <w:left w:val="none" w:color="FFFFFF" w:sz="0"/>
              <w:bottom w:val="single" w:color="C9C7C2" w:sz="4"/>
              <w:right w:val="none" w:color="FFFFFF" w:sz="0"/>
            </w:tcBorders>
            <w:shd w:fill="FAFAF8"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Unity; kinship framing; belonging-together vs. acting-together</w:t>
            </w:r>
          </w:p>
        </w:tc>
      </w:tr>
      <w:tr>
        <w:trPr>
          <w:cantSplit/>
        </w:trPr>
        <w:tc>
          <w:tcPr>
            <w:tcW w:type="dxa" w:w="3931"/>
            <w:tcBorders>
              <w:top w:val="single" w:color="C9C7C2" w:sz="4"/>
              <w:left w:val="none" w:color="FFFFFF" w:sz="0"/>
              <w:bottom w:val="single" w:color="C9C7C2" w:sz="4"/>
              <w:right w:val="none" w:color="FFFFFF" w:sz="0"/>
            </w:tcBorders>
            <w:shd w:fill="FFFFFF"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Closing chapter — “Instant Influence”</w:t>
            </w:r>
          </w:p>
        </w:tc>
        <w:tc>
          <w:tcPr>
            <w:tcW w:type="dxa" w:w="5428"/>
            <w:tcBorders>
              <w:top w:val="single" w:color="C9C7C2" w:sz="4"/>
              <w:left w:val="none" w:color="FFFFFF" w:sz="0"/>
              <w:bottom w:val="single" w:color="C9C7C2" w:sz="4"/>
              <w:right w:val="none" w:color="FFFFFF" w:sz="0"/>
            </w:tcBorders>
            <w:shd w:fill="FFFFFF"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Defense strategy: recognizing the felt sensation of a trigger as the cue to shift into controlled evaluation</w:t>
            </w:r>
          </w:p>
        </w:tc>
      </w:tr>
    </w:tbl>
    <w:p>
      <w:pPr>
        <w:spacing w:after="0" w:before="0"/>
      </w:pPr>
      <w:r>
        <w:rPr>
          <w:sz w:val="2"/>
          <w:szCs w:val="2"/>
        </w:rPr>
        <w:t xml:space="preserve"/>
      </w:r>
    </w:p>
    <w:p>
      <w:pPr>
        <w:pStyle w:val="Heading1"/>
        <w:keepNext/>
        <w:pBdr>
          <w:bottom w:val="single" w:color="C9C7C2" w:sz="4" w:space="6"/>
        </w:pBdr>
        <w:spacing w:after="200" w:before="480"/>
      </w:pPr>
      <w:r>
        <w:rPr>
          <w:rFonts w:ascii="Cambria" w:cs="Cambria" w:eastAsia="Cambria" w:hAnsi="Cambria"/>
          <w:b/>
          <w:bCs/>
          <w:color w:val="6B2C2C"/>
          <w:sz w:val="30"/>
          <w:szCs w:val="30"/>
        </w:rPr>
        <w:t xml:space="preserve">15  </w:t>
      </w:r>
      <w:r>
        <w:rPr>
          <w:rFonts w:ascii="Cambria" w:cs="Cambria" w:eastAsia="Cambria" w:hAnsi="Cambria"/>
          <w:b/>
          <w:bCs/>
          <w:color w:val="1A1A1A"/>
          <w:sz w:val="30"/>
          <w:szCs w:val="30"/>
        </w:rPr>
        <w:t xml:space="preserve">Final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2"/>
        <w:gridCol w:w="2808"/>
      </w:tblGrid>
      <w:tr>
        <w:trPr>
          <w:tblHeader/>
        </w:trPr>
        <w:tc>
          <w:tcPr>
            <w:tcW w:type="dxa" w:w="6552"/>
            <w:tcBorders>
              <w:top w:val="single" w:color="1A1A1A" w:sz="8"/>
              <w:left w:val="none" w:color="FFFFFF" w:sz="0"/>
              <w:bottom w:val="single" w:color="C9C7C2" w:sz="4"/>
              <w:right w:val="none" w:color="FFFFFF" w:sz="0"/>
            </w:tcBorders>
            <w:shd w:fill="EDEBE6" w:color="auto" w:val="clear"/>
            <w:tcMar>
              <w:top w:type="dxa" w:w="100"/>
              <w:left w:type="dxa" w:w="140"/>
              <w:bottom w:type="dxa" w:w="100"/>
              <w:right w:type="dxa" w:w="140"/>
            </w:tcMar>
            <w:vAlign w:val="center"/>
          </w:tcPr>
          <w:p>
            <w:r>
              <w:rPr>
                <w:rFonts w:ascii="Calibri" w:cs="Calibri" w:eastAsia="Calibri" w:hAnsi="Calibri"/>
                <w:b/>
                <w:bCs/>
                <w:color w:val="1A1A1A"/>
                <w:spacing w:val="4"/>
                <w:sz w:val="17"/>
                <w:szCs w:val="17"/>
              </w:rPr>
              <w:t xml:space="preserve">DIMENSION</w:t>
            </w:r>
          </w:p>
        </w:tc>
        <w:tc>
          <w:tcPr>
            <w:tcW w:type="dxa" w:w="2808"/>
            <w:tcBorders>
              <w:top w:val="single" w:color="1A1A1A" w:sz="8"/>
              <w:left w:val="none" w:color="FFFFFF" w:sz="0"/>
              <w:bottom w:val="single" w:color="C9C7C2" w:sz="4"/>
              <w:right w:val="none" w:color="FFFFFF" w:sz="0"/>
            </w:tcBorders>
            <w:shd w:fill="EDEBE6" w:color="auto" w:val="clear"/>
            <w:tcMar>
              <w:top w:type="dxa" w:w="100"/>
              <w:left w:type="dxa" w:w="140"/>
              <w:bottom w:type="dxa" w:w="100"/>
              <w:right w:type="dxa" w:w="140"/>
            </w:tcMar>
            <w:vAlign w:val="center"/>
          </w:tcPr>
          <w:p>
            <w:r>
              <w:rPr>
                <w:rFonts w:ascii="Calibri" w:cs="Calibri" w:eastAsia="Calibri" w:hAnsi="Calibri"/>
                <w:b/>
                <w:bCs/>
                <w:color w:val="1A1A1A"/>
                <w:spacing w:val="4"/>
                <w:sz w:val="17"/>
                <w:szCs w:val="17"/>
              </w:rPr>
              <w:t xml:space="preserve">RATING</w:t>
            </w:r>
          </w:p>
        </w:tc>
      </w:tr>
      <w:tr>
        <w:trPr>
          <w:cantSplit/>
        </w:trPr>
        <w:tc>
          <w:tcPr>
            <w:tcW w:type="dxa" w:w="6552"/>
            <w:tcBorders>
              <w:top w:val="single" w:color="C9C7C2" w:sz="4"/>
              <w:left w:val="none" w:color="FFFFFF" w:sz="0"/>
              <w:bottom w:val="single" w:color="C9C7C2" w:sz="4"/>
              <w:right w:val="none" w:color="FFFFFF" w:sz="0"/>
            </w:tcBorders>
            <w:shd w:fill="FFFFFF"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Intellectual depth</w:t>
            </w:r>
          </w:p>
        </w:tc>
        <w:tc>
          <w:tcPr>
            <w:tcW w:type="dxa" w:w="2808"/>
            <w:tcBorders>
              <w:top w:val="single" w:color="C9C7C2" w:sz="4"/>
              <w:left w:val="none" w:color="FFFFFF" w:sz="0"/>
              <w:bottom w:val="single" w:color="C9C7C2" w:sz="4"/>
              <w:right w:val="none" w:color="FFFFFF" w:sz="0"/>
            </w:tcBorders>
            <w:shd w:fill="FFFFFF"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7 / 10</w:t>
            </w:r>
          </w:p>
        </w:tc>
      </w:tr>
      <w:tr>
        <w:trPr>
          <w:cantSplit/>
        </w:trPr>
        <w:tc>
          <w:tcPr>
            <w:tcW w:type="dxa" w:w="6552"/>
            <w:tcBorders>
              <w:top w:val="single" w:color="C9C7C2" w:sz="4"/>
              <w:left w:val="none" w:color="FFFFFF" w:sz="0"/>
              <w:bottom w:val="single" w:color="C9C7C2" w:sz="4"/>
              <w:right w:val="none" w:color="FFFFFF" w:sz="0"/>
            </w:tcBorders>
            <w:shd w:fill="FAFAF8"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Practical usefulness</w:t>
            </w:r>
          </w:p>
        </w:tc>
        <w:tc>
          <w:tcPr>
            <w:tcW w:type="dxa" w:w="2808"/>
            <w:tcBorders>
              <w:top w:val="single" w:color="C9C7C2" w:sz="4"/>
              <w:left w:val="none" w:color="FFFFFF" w:sz="0"/>
              <w:bottom w:val="single" w:color="C9C7C2" w:sz="4"/>
              <w:right w:val="none" w:color="FFFFFF" w:sz="0"/>
            </w:tcBorders>
            <w:shd w:fill="FAFAF8"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9 / 10</w:t>
            </w:r>
          </w:p>
        </w:tc>
      </w:tr>
      <w:tr>
        <w:trPr>
          <w:cantSplit/>
        </w:trPr>
        <w:tc>
          <w:tcPr>
            <w:tcW w:type="dxa" w:w="6552"/>
            <w:tcBorders>
              <w:top w:val="single" w:color="C9C7C2" w:sz="4"/>
              <w:left w:val="none" w:color="FFFFFF" w:sz="0"/>
              <w:bottom w:val="single" w:color="C9C7C2" w:sz="4"/>
              <w:right w:val="none" w:color="FFFFFF" w:sz="0"/>
            </w:tcBorders>
            <w:shd w:fill="FFFFFF"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Evidence quality</w:t>
            </w:r>
          </w:p>
        </w:tc>
        <w:tc>
          <w:tcPr>
            <w:tcW w:type="dxa" w:w="2808"/>
            <w:tcBorders>
              <w:top w:val="single" w:color="C9C7C2" w:sz="4"/>
              <w:left w:val="none" w:color="FFFFFF" w:sz="0"/>
              <w:bottom w:val="single" w:color="C9C7C2" w:sz="4"/>
              <w:right w:val="none" w:color="FFFFFF" w:sz="0"/>
            </w:tcBorders>
            <w:shd w:fill="FFFFFF"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6 / 10</w:t>
            </w:r>
          </w:p>
        </w:tc>
      </w:tr>
      <w:tr>
        <w:trPr>
          <w:cantSplit/>
        </w:trPr>
        <w:tc>
          <w:tcPr>
            <w:tcW w:type="dxa" w:w="6552"/>
            <w:tcBorders>
              <w:top w:val="single" w:color="C9C7C2" w:sz="4"/>
              <w:left w:val="none" w:color="FFFFFF" w:sz="0"/>
              <w:bottom w:val="single" w:color="C9C7C2" w:sz="4"/>
              <w:right w:val="none" w:color="FFFFFF" w:sz="0"/>
            </w:tcBorders>
            <w:shd w:fill="FAFAF8"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Originality</w:t>
            </w:r>
          </w:p>
        </w:tc>
        <w:tc>
          <w:tcPr>
            <w:tcW w:type="dxa" w:w="2808"/>
            <w:tcBorders>
              <w:top w:val="single" w:color="C9C7C2" w:sz="4"/>
              <w:left w:val="none" w:color="FFFFFF" w:sz="0"/>
              <w:bottom w:val="single" w:color="C9C7C2" w:sz="4"/>
              <w:right w:val="none" w:color="FFFFFF" w:sz="0"/>
            </w:tcBorders>
            <w:shd w:fill="FAFAF8"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7 / 10</w:t>
            </w:r>
          </w:p>
        </w:tc>
      </w:tr>
      <w:tr>
        <w:trPr>
          <w:cantSplit/>
        </w:trPr>
        <w:tc>
          <w:tcPr>
            <w:tcW w:type="dxa" w:w="6552"/>
            <w:tcBorders>
              <w:top w:val="single" w:color="C9C7C2" w:sz="4"/>
              <w:left w:val="none" w:color="FFFFFF" w:sz="0"/>
              <w:bottom w:val="single" w:color="C9C7C2" w:sz="4"/>
              <w:right w:val="none" w:color="FFFFFF" w:sz="0"/>
            </w:tcBorders>
            <w:shd w:fill="FFFFFF"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Modern relevance</w:t>
            </w:r>
          </w:p>
        </w:tc>
        <w:tc>
          <w:tcPr>
            <w:tcW w:type="dxa" w:w="2808"/>
            <w:tcBorders>
              <w:top w:val="single" w:color="C9C7C2" w:sz="4"/>
              <w:left w:val="none" w:color="FFFFFF" w:sz="0"/>
              <w:bottom w:val="single" w:color="C9C7C2" w:sz="4"/>
              <w:right w:val="none" w:color="FFFFFF" w:sz="0"/>
            </w:tcBorders>
            <w:shd w:fill="FFFFFF" w:color="auto" w:val="clear"/>
            <w:tcMar>
              <w:top w:type="dxa" w:w="100"/>
              <w:left w:type="dxa" w:w="140"/>
              <w:bottom w:type="dxa" w:w="100"/>
              <w:right w:type="dxa" w:w="140"/>
            </w:tcMar>
            <w:vAlign w:val="top"/>
          </w:tcPr>
          <w:p>
            <w:pPr>
              <w:spacing w:line="260"/>
            </w:pPr>
            <w:r>
              <w:rPr>
                <w:rFonts w:ascii="Cambria" w:cs="Cambria" w:eastAsia="Cambria" w:hAnsi="Cambria"/>
                <w:color w:val="4A4A4A"/>
                <w:sz w:val="19"/>
                <w:szCs w:val="19"/>
              </w:rPr>
              <w:t xml:space="preserve">8 / 10</w:t>
            </w:r>
          </w:p>
        </w:tc>
      </w:tr>
      <w:tr>
        <w:trPr>
          <w:cantSplit/>
        </w:trPr>
        <w:tc>
          <w:tcPr>
            <w:tcW w:type="dxa" w:w="6552"/>
            <w:tcBorders>
              <w:top w:val="single" w:color="C9C7C2" w:sz="4"/>
              <w:left w:val="none" w:color="FFFFFF" w:sz="0"/>
              <w:bottom w:val="single" w:color="C9C7C2" w:sz="4"/>
              <w:right w:val="none" w:color="FFFFFF" w:sz="0"/>
            </w:tcBorders>
            <w:shd w:fill="FAFAF8" w:color="auto" w:val="clear"/>
            <w:tcMar>
              <w:top w:type="dxa" w:w="100"/>
              <w:left w:type="dxa" w:w="140"/>
              <w:bottom w:type="dxa" w:w="100"/>
              <w:right w:type="dxa" w:w="140"/>
            </w:tcMar>
            <w:vAlign w:val="top"/>
          </w:tcPr>
          <w:p>
            <w:pPr>
              <w:spacing w:line="260"/>
            </w:pPr>
            <w:r>
              <w:rPr>
                <w:rFonts w:ascii="Cambria" w:cs="Cambria" w:eastAsia="Cambria" w:hAnsi="Cambria"/>
                <w:b/>
                <w:bCs/>
                <w:i w:val="false"/>
                <w:iCs w:val="false"/>
                <w:color w:val="4A4A4A"/>
                <w:sz w:val="19"/>
                <w:szCs w:val="19"/>
              </w:rPr>
              <w:t xml:space="preserve">Overall value</w:t>
            </w:r>
          </w:p>
        </w:tc>
        <w:tc>
          <w:tcPr>
            <w:tcW w:type="dxa" w:w="2808"/>
            <w:tcBorders>
              <w:top w:val="single" w:color="C9C7C2" w:sz="4"/>
              <w:left w:val="none" w:color="FFFFFF" w:sz="0"/>
              <w:bottom w:val="single" w:color="C9C7C2" w:sz="4"/>
              <w:right w:val="none" w:color="FFFFFF" w:sz="0"/>
            </w:tcBorders>
            <w:shd w:fill="FAFAF8" w:color="auto" w:val="clear"/>
            <w:tcMar>
              <w:top w:type="dxa" w:w="100"/>
              <w:left w:type="dxa" w:w="140"/>
              <w:bottom w:type="dxa" w:w="100"/>
              <w:right w:type="dxa" w:w="140"/>
            </w:tcMar>
            <w:vAlign w:val="top"/>
          </w:tcPr>
          <w:p>
            <w:pPr>
              <w:spacing w:line="260"/>
            </w:pPr>
            <w:r>
              <w:rPr>
                <w:rFonts w:ascii="Cambria" w:cs="Cambria" w:eastAsia="Cambria" w:hAnsi="Cambria"/>
                <w:b/>
                <w:bCs/>
                <w:i w:val="false"/>
                <w:iCs w:val="false"/>
                <w:color w:val="4A4A4A"/>
                <w:sz w:val="19"/>
                <w:szCs w:val="19"/>
              </w:rPr>
              <w:t xml:space="preserve">8 / 10</w:t>
            </w:r>
          </w:p>
        </w:tc>
      </w:tr>
    </w:tbl>
    <w:p>
      <w:pPr>
        <w:spacing w:after="0" w:before="0"/>
      </w:pPr>
      <w:r>
        <w:rPr>
          <w:sz w:val="2"/>
          <w:szCs w:val="2"/>
        </w:rPr>
        <w:t xml:space="preserve"/>
      </w:r>
    </w:p>
    <w:p>
      <w:pPr>
        <w:pStyle w:val="Heading3"/>
        <w:keepNext/>
        <w:spacing w:after="90" w:before="240"/>
      </w:pPr>
      <w:r>
        <w:rPr>
          <w:rFonts w:ascii="Cambria" w:cs="Cambria" w:eastAsia="Cambria" w:hAnsi="Cambria"/>
          <w:b/>
          <w:bCs/>
          <w:i w:val="false"/>
          <w:iCs w:val="false"/>
          <w:color w:val="1A1A1A"/>
          <w:sz w:val="21"/>
          <w:szCs w:val="21"/>
        </w:rPr>
        <w:t xml:space="preserve">Verdict</w:t>
      </w:r>
    </w:p>
    <w:p>
      <w:pPr>
        <w:spacing w:after="160" w:before="0" w:line="288"/>
        <w:jc w:val="left"/>
      </w:pPr>
      <w:r>
        <w:rPr>
          <w:rFonts w:ascii="Cambria" w:cs="Cambria" w:eastAsia="Cambria" w:hAnsi="Cambria"/>
          <w:b/>
          <w:bCs/>
          <w:i w:val="false"/>
          <w:iCs w:val="false"/>
          <w:color w:val="1A1A1A"/>
          <w:sz w:val="21"/>
          <w:szCs w:val="21"/>
        </w:rPr>
        <w:t xml:space="preserve">Who should read this book.  </w:t>
      </w:r>
      <w:r>
        <w:rPr>
          <w:rFonts w:ascii="Cambria" w:cs="Cambria" w:eastAsia="Cambria" w:hAnsi="Cambria"/>
          <w:b w:val="false"/>
          <w:bCs w:val="false"/>
          <w:i w:val="false"/>
          <w:iCs w:val="false"/>
          <w:color w:val="4A4A4A"/>
          <w:sz w:val="21"/>
          <w:szCs w:val="21"/>
        </w:rPr>
        <w:t xml:space="preserve">Anyone who negotiates, sells, markets, fundraises, manages, recruits, or simply wants a working vocabulary for recognizing pressure tactics in everyday consumer and social life. Its enduring value is less as rigorous science and more as an unusually well-organized field taxonomy of real, still-deployed compliance techniques — genuinely useful both defensively and, with the ethical caveats above, as an operational reference.</w:t>
      </w:r>
    </w:p>
    <w:p>
      <w:pPr>
        <w:spacing w:after="160" w:before="0" w:line="288"/>
        <w:jc w:val="left"/>
      </w:pPr>
      <w:r>
        <w:rPr>
          <w:rFonts w:ascii="Cambria" w:cs="Cambria" w:eastAsia="Cambria" w:hAnsi="Cambria"/>
          <w:b/>
          <w:bCs/>
          <w:i w:val="false"/>
          <w:iCs w:val="false"/>
          <w:color w:val="1A1A1A"/>
          <w:sz w:val="21"/>
          <w:szCs w:val="21"/>
        </w:rPr>
        <w:t xml:space="preserve">Who probably doesn't need to read it.  </w:t>
      </w:r>
      <w:r>
        <w:rPr>
          <w:rFonts w:ascii="Cambria" w:cs="Cambria" w:eastAsia="Cambria" w:hAnsi="Cambria"/>
          <w:b w:val="false"/>
          <w:bCs w:val="false"/>
          <w:i w:val="false"/>
          <w:iCs w:val="false"/>
          <w:color w:val="4A4A4A"/>
          <w:sz w:val="21"/>
          <w:szCs w:val="21"/>
        </w:rPr>
        <w:t xml:space="preserve">Readers already fluent in behavioral economics and dual-process cognitive psychology will find the underlying mechanism (automatic vs. deliberate processing) already familiar in more rigorously evidenced form elsewhere, and will get most of this book's operational value from a condensed summary — such as this one — rather than the full text, which is example-dense relative to its conceptual payload.</w:t>
      </w:r>
    </w:p>
    <w:sectPr>
      <w:headerReference w:type="default" r:id="rId7"/>
      <w:footerReference w:type="default" r:id="rId8"/>
      <w:pgSz w:w="12240" w:h="15840" w:orient="portrait"/>
      <w:pgMar w:top="1440" w:right="1440" w:bottom="1440" w:left="1440" w:header="500" w:footer="500"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7C2" w:sz="3" w:space="4"/>
      </w:pBdr>
      <w:jc w:val="center"/>
    </w:pPr>
    <w:r>
      <w:rPr>
        <w:rFonts w:ascii="Calibri" w:cs="Calibri" w:eastAsia="Calibri" w:hAnsi="Calibri"/>
        <w:color w:val="757575"/>
        <w:sz w:val="16"/>
        <w:szCs w:val="16"/>
      </w:rPr>
      <w:t xml:space="preserve">Page </w:t>
    </w:r>
    <w:r>
      <w:rPr>
        <w:rFonts w:ascii="Calibri" w:cs="Calibri" w:eastAsia="Calibri" w:hAnsi="Calibri"/>
        <w:color w:val="757575"/>
        <w:sz w:val="16"/>
        <w:szCs w:val="16"/>
      </w:rPr>
      <w:fldChar w:fldCharType="begin"/>
      <w:instrText xml:space="preserve">PAGE</w:instrText>
      <w:fldChar w:fldCharType="separate"/>
      <w:fldChar w:fldCharType="end"/>
    </w:r>
    <w:r>
      <w:rPr>
        <w:rFonts w:ascii="Calibri" w:cs="Calibri" w:eastAsia="Calibri" w:hAnsi="Calibri"/>
        <w:color w:val="757575"/>
        <w:sz w:val="16"/>
        <w:szCs w:val="16"/>
      </w:rPr>
      <w:t xml:space="preserve">  of  </w:t>
    </w:r>
    <w:r>
      <w:rPr>
        <w:rFonts w:ascii="Calibri" w:cs="Calibri" w:eastAsia="Calibri" w:hAnsi="Calibri"/>
        <w:color w:val="75757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7C2" w:sz="3" w:space="4"/>
      </w:pBdr>
      <w:jc w:val="right"/>
    </w:pPr>
    <w:r>
      <w:rPr>
        <w:rFonts w:ascii="Calibri" w:cs="Calibri" w:eastAsia="Calibri" w:hAnsi="Calibri"/>
        <w:color w:val="757575"/>
        <w:spacing w:val="8"/>
        <w:sz w:val="15"/>
        <w:szCs w:val="15"/>
      </w:rPr>
      <w:t xml:space="preserve">INFLUENCE — A CRITICAL PRACTICAL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88"/>
      </w:pPr>
      <w:rPr>
        <w:rFonts w:ascii="Cambria" w:cs="Cambria" w:eastAsia="Cambria" w:hAnsi="Cambria"/>
        <w:color w:val="4A4A4A"/>
      </w:rPr>
    </w:lvl>
    <w:lvl w:ilvl="1" w15:tentative="1">
      <w:start w:val="1"/>
      <w:numFmt w:val="bullet"/>
      <w:lvlText w:val="·"/>
      <w:lvlJc w:val="left"/>
      <w:pPr>
        <w:ind w:left="792" w:hanging="288"/>
      </w:pPr>
    </w:lvl>
  </w:abstractNum>
  <w:abstractNum w:abstractNumId="3" w15:restartNumberingAfterBreak="0">
    <w:multiLevelType w:val="hybridMultilevel"/>
    <w:lvl w:ilvl="0" w15:tentative="1">
      <w:start w:val="1"/>
      <w:numFmt w:val="decimal"/>
      <w:lvlText w:val="%1."/>
      <w:lvlJc w:val="left"/>
      <w:pPr>
        <w:ind w:left="431" w:hanging="431"/>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4A4A4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2026-08-29T22:08:02.465Z</dcterms:created>
  <dcterms:modified xsi:type="dcterms:W3CDTF">2026-08-29T22:08:02.477Z</dcterms:modified>
</cp:coreProperties>
</file>

<file path=docProps/custom.xml><?xml version="1.0" encoding="utf-8"?>
<Properties xmlns="http://schemas.openxmlformats.org/officeDocument/2006/custom-properties" xmlns:vt="http://schemas.openxmlformats.org/officeDocument/2006/docPropsVTypes"/>
</file>