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40"/>
        <w:jc w:val="center"/>
      </w:pPr>
      <w:r>
        <w:rPr>
          <w:rFonts w:ascii="Calibri" w:cs="Calibri" w:eastAsia="Calibri" w:hAnsi="Calibri"/>
          <w:b/>
          <w:bCs/>
          <w:color w:val="5B5B5B"/>
          <w:sz w:val="20"/>
          <w:szCs w:val="20"/>
        </w:rPr>
        <w:t xml:space="preserve">A CRITICAL PRACTICAL GUIDE</w:t>
      </w:r>
    </w:p>
    <w:p>
      <w:pPr>
        <w:pBdr>
          <w:bottom w:val="single" w:color="8A1F1F" w:sz="12" w:space="10"/>
        </w:pBdr>
        <w:spacing w:after="300"/>
        <w:jc w:val="center"/>
      </w:pPr>
      <w:r>
        <w:rPr>
          <w:rFonts w:ascii="Calibri" w:cs="Calibri" w:eastAsia="Calibri" w:hAnsi="Calibri"/>
          <w:b/>
          <w:bCs/>
          <w:color w:val="1A1A1A"/>
          <w:sz w:val="48"/>
          <w:szCs w:val="48"/>
        </w:rPr>
        <w:t xml:space="preserve">THINKING, FAST AND SLOW</w:t>
      </w:r>
    </w:p>
    <w:p>
      <w:pPr>
        <w:spacing w:after="40" w:before="400"/>
        <w:jc w:val="center"/>
      </w:pPr>
      <w:r>
        <w:rPr>
          <w:rFonts w:ascii="Georgia" w:cs="Georgia" w:eastAsia="Georgia" w:hAnsi="Georgia"/>
          <w:i/>
          <w:iCs/>
          <w:color w:val="1A1A1A"/>
          <w:sz w:val="24"/>
          <w:szCs w:val="24"/>
        </w:rPr>
        <w:t xml:space="preserve">Daniel Kahneman</w:t>
      </w:r>
    </w:p>
    <w:p>
      <w:pPr>
        <w:spacing w:after="20"/>
        <w:jc w:val="center"/>
      </w:pPr>
      <w:r>
        <w:rPr>
          <w:rFonts w:ascii="Calibri" w:cs="Calibri" w:eastAsia="Calibri" w:hAnsi="Calibri"/>
          <w:color w:val="5B5B5B"/>
          <w:sz w:val="18"/>
          <w:szCs w:val="18"/>
        </w:rPr>
        <w:t xml:space="preserve">Original publication: 2011, Farrar, Straus and Giroux</w:t>
      </w:r>
    </w:p>
    <w:p>
      <w:pPr>
        <w:spacing w:after="20"/>
        <w:jc w:val="center"/>
      </w:pPr>
      <w:r>
        <w:rPr>
          <w:rFonts w:ascii="Calibri" w:cs="Calibri" w:eastAsia="Calibri" w:hAnsi="Calibri"/>
          <w:color w:val="5B5B5B"/>
          <w:sz w:val="18"/>
          <w:szCs w:val="18"/>
        </w:rPr>
        <w:t xml:space="preserve">Genre: Cognitive psychology / behavioral economics</w:t>
      </w:r>
    </w:p>
    <w:p>
      <w:pPr>
        <w:spacing w:after="600"/>
        <w:jc w:val="center"/>
      </w:pPr>
      <w:r>
        <w:rPr>
          <w:rFonts w:ascii="Calibri" w:cs="Calibri" w:eastAsia="Calibri" w:hAnsi="Calibri"/>
          <w:color w:val="5B5B5B"/>
          <w:sz w:val="18"/>
          <w:szCs w:val="18"/>
        </w:rPr>
        <w:t xml:space="preserve">Core subject: The two-system architecture of human judgment and decision-making, and the systematic errors it produces</w:t>
      </w:r>
    </w:p>
    <w:p>
      <w:pPr>
        <w:spacing w:before="900"/>
        <w:jc w:val="center"/>
      </w:pPr>
      <w:r>
        <w:rPr>
          <w:rFonts w:ascii="Calibri" w:cs="Calibri" w:eastAsia="Calibri" w:hAnsi="Calibri"/>
          <w:i/>
          <w:iCs/>
          <w:color w:val="5B5B5B"/>
          <w:sz w:val="16"/>
          <w:szCs w:val="16"/>
        </w:rPr>
        <w:t xml:space="preserve">Compressed knowledge system — not a chapter summary.</w:t>
      </w:r>
    </w:p>
    <w:p>
      <w:r>
        <w:br w:type="page"/>
      </w:r>
    </w:p>
    <w:p>
      <w:pPr>
        <w:pStyle w:val="Heading1"/>
        <w:pBdr>
          <w:bottom w:val="single" w:color="B8B8B8" w:sz="6" w:space="6"/>
        </w:pBdr>
        <w:spacing w:after="200" w:before="480"/>
      </w:pPr>
      <w:r>
        <w:rPr>
          <w:rFonts w:ascii="Calibri" w:cs="Calibri" w:eastAsia="Calibri" w:hAnsi="Calibri"/>
          <w:b/>
          <w:bCs/>
          <w:color w:val="8A1F1F"/>
          <w:sz w:val="27"/>
          <w:szCs w:val="27"/>
        </w:rPr>
        <w:t xml:space="preserve">1. </w:t>
      </w:r>
      <w:r>
        <w:rPr>
          <w:rFonts w:ascii="Calibri" w:cs="Calibri" w:eastAsia="Calibri" w:hAnsi="Calibri"/>
          <w:b/>
          <w:bCs/>
          <w:color w:val="1A1A1A"/>
          <w:sz w:val="27"/>
          <w:szCs w:val="27"/>
        </w:rPr>
        <w:t xml:space="preserve">Executive Thesis</w:t>
      </w:r>
    </w:p>
    <w:p>
      <w:pPr>
        <w:keepNext w:val="false"/>
        <w:spacing w:after="120" w:before="0"/>
        <w:jc w:val="left"/>
      </w:pPr>
      <w:r>
        <w:rPr>
          <w:rFonts w:ascii="Georgia" w:cs="Georgia" w:eastAsia="Georgia" w:hAnsi="Georgia"/>
          <w:b w:val="false"/>
          <w:bCs w:val="false"/>
          <w:i w:val="false"/>
          <w:iCs w:val="false"/>
          <w:color w:val="1A1A1A"/>
          <w:sz w:val="21"/>
          <w:szCs w:val="21"/>
        </w:rPr>
        <w:t xml:space="preserve">Kahneman's central claim is that the human mind runs on two distinct modes of thought — an automatic, fast, intuitive system (“System 1”) and a slow, effortful, deliberate system (“System 2”) — and that most of what looks like reasoning is actually System 1 improvisation that System 2 rarely audits. System 1 is not stupid; it is fast because it substitutes easy questions for hard ones, relies on associative coherence, and treats whatever comes easily to mind as reliable. This produces a long, catalogued list of predictable errors — anchoring, availability, representativeness, overconfidence, loss aversion, framing effects — that are not random noise but systematic biases, reproducible across people and contexts.</w:t>
      </w:r>
    </w:p>
    <w:p>
      <w:pPr>
        <w:keepNext w:val="false"/>
        <w:spacing w:after="120" w:before="0"/>
        <w:jc w:val="left"/>
      </w:pPr>
      <w:r>
        <w:rPr>
          <w:rFonts w:ascii="Georgia" w:cs="Georgia" w:eastAsia="Georgia" w:hAnsi="Georgia"/>
          <w:b w:val="false"/>
          <w:bCs w:val="false"/>
          <w:i w:val="false"/>
          <w:iCs w:val="false"/>
          <w:color w:val="1A1A1A"/>
          <w:sz w:val="21"/>
          <w:szCs w:val="21"/>
        </w:rPr>
        <w:t xml:space="preserve">The book's deeper argument is that human rationality is bounded not by stupidity but by architecture: System 2 is lazy, has limited capacity, and habitually endorses System 1's suggestions rather than checking them. Kahneman extends this into a second major thread — the distinction between the “experiencing self” and the “remembering self,” which do not agree on what a good life is, since memory is dominated by peaks and endings rather than duration. The practical upshot is modest by design: Kahneman does not promise that biases can be eliminated through willpower. He argues improvement comes mainly from recognizing situations where errors are likely and building external checks — decision hygiene, premortems, structured comparison — rather than trying to “think better” in the moment.</w:t>
      </w:r>
    </w:p>
    <w:p>
      <w:pPr>
        <w:pStyle w:val="Heading1"/>
        <w:pBdr>
          <w:bottom w:val="single" w:color="B8B8B8" w:sz="6" w:space="6"/>
        </w:pBdr>
        <w:spacing w:after="200" w:before="480"/>
      </w:pPr>
      <w:r>
        <w:rPr>
          <w:rFonts w:ascii="Calibri" w:cs="Calibri" w:eastAsia="Calibri" w:hAnsi="Calibri"/>
          <w:b/>
          <w:bCs/>
          <w:color w:val="8A1F1F"/>
          <w:sz w:val="27"/>
          <w:szCs w:val="27"/>
        </w:rPr>
        <w:t xml:space="preserve">2. </w:t>
      </w:r>
      <w:r>
        <w:rPr>
          <w:rFonts w:ascii="Calibri" w:cs="Calibri" w:eastAsia="Calibri" w:hAnsi="Calibri"/>
          <w:b/>
          <w:bCs/>
          <w:color w:val="1A1A1A"/>
          <w:sz w:val="27"/>
          <w:szCs w:val="27"/>
        </w:rPr>
        <w:t xml:space="preserve">The Problem the Book Is Trying to Solve</w:t>
      </w:r>
    </w:p>
    <w:p>
      <w:pPr>
        <w:keepNext w:val="false"/>
        <w:spacing w:after="120" w:before="0"/>
        <w:jc w:val="left"/>
      </w:pPr>
      <w:r>
        <w:rPr>
          <w:rFonts w:ascii="Georgia" w:cs="Georgia" w:eastAsia="Georgia" w:hAnsi="Georgia"/>
          <w:b w:val="false"/>
          <w:bCs w:val="false"/>
          <w:i w:val="false"/>
          <w:iCs w:val="false"/>
          <w:color w:val="1A1A1A"/>
          <w:sz w:val="21"/>
          <w:szCs w:val="21"/>
        </w:rPr>
        <w:t xml:space="preserve">The book responds to the classical economic and philosophical assumption that people are, or can approximate, rational agents who process information and update beliefs coherently. Kahneman's four decades of work with Amos Tversky accumulated a body of experimental findings that this assumption fails systematically, not occasionally. The question the book answers is not “do people make mistakes?” but “why are human errors of judgment predictable, patterned, and shared across the species rather than idiosyncratic?”</w:t>
      </w:r>
    </w:p>
    <w:p>
      <w:pPr>
        <w:keepNext w:val="false"/>
        <w:spacing w:after="120" w:before="0"/>
        <w:jc w:val="left"/>
      </w:pPr>
      <w:r>
        <w:rPr>
          <w:rFonts w:ascii="Georgia" w:cs="Georgia" w:eastAsia="Georgia" w:hAnsi="Georgia"/>
          <w:b w:val="false"/>
          <w:bCs w:val="false"/>
          <w:i w:val="false"/>
          <w:iCs w:val="false"/>
          <w:color w:val="1A1A1A"/>
          <w:sz w:val="21"/>
          <w:szCs w:val="21"/>
        </w:rPr>
        <w:t xml:space="preserve">A second, quieter problem motivates the book: intuition is often treated as either magical (expert gut feeling) or worthless (mere bias). Kahneman's collaboration and later debate with Gary Klein — a researcher who studied skilled intuitive experts like firefighters — forced him to specify exactly when intuition can be trusted (in high-validity, regular environments with rapid feedback) and when it cannot (in low-validity, irregular environments, such as long-term political or financial forecasting).</w:t>
      </w:r>
    </w:p>
    <w:p>
      <w:pPr>
        <w:pStyle w:val="Heading1"/>
        <w:pBdr>
          <w:bottom w:val="single" w:color="B8B8B8" w:sz="6" w:space="6"/>
        </w:pBdr>
        <w:spacing w:after="200" w:before="480"/>
      </w:pPr>
      <w:r>
        <w:rPr>
          <w:rFonts w:ascii="Calibri" w:cs="Calibri" w:eastAsia="Calibri" w:hAnsi="Calibri"/>
          <w:b/>
          <w:bCs/>
          <w:color w:val="8A1F1F"/>
          <w:sz w:val="27"/>
          <w:szCs w:val="27"/>
        </w:rPr>
        <w:t xml:space="preserve">3. </w:t>
      </w:r>
      <w:r>
        <w:rPr>
          <w:rFonts w:ascii="Calibri" w:cs="Calibri" w:eastAsia="Calibri" w:hAnsi="Calibri"/>
          <w:b/>
          <w:bCs/>
          <w:color w:val="1A1A1A"/>
          <w:sz w:val="27"/>
          <w:szCs w:val="27"/>
        </w:rPr>
        <w:t xml:space="preserve">The Author's Core Worldview</w:t>
      </w:r>
    </w:p>
    <w:p>
      <w:pPr>
        <w:spacing w:after="80" w:before="200"/>
      </w:pPr>
      <w:r>
        <w:rPr>
          <w:rFonts w:ascii="Calibri" w:cs="Calibri" w:eastAsia="Calibri" w:hAnsi="Calibri"/>
          <w:b/>
          <w:bCs/>
          <w:color w:val="8A1F1F"/>
          <w:sz w:val="21"/>
          <w:szCs w:val="21"/>
        </w:rPr>
        <w:t xml:space="preserve">Proposition 1</w:t>
      </w:r>
    </w:p>
    <w:p>
      <w:pPr>
        <w:spacing w:after="120" w:before="0"/>
        <w:jc w:val="left"/>
      </w:pPr>
      <w:r>
        <w:rPr>
          <w:rFonts w:ascii="Georgia" w:cs="Georgia" w:eastAsia="Georgia" w:hAnsi="Georgia"/>
          <w:b/>
          <w:bCs/>
          <w:i w:val="false"/>
          <w:iCs w:val="false"/>
          <w:color w:val="1A1A1A"/>
          <w:sz w:val="21"/>
          <w:szCs w:val="21"/>
        </w:rPr>
        <w:t xml:space="preserve">Cognition is dual-process. </w:t>
      </w:r>
      <w:r>
        <w:rPr>
          <w:rFonts w:ascii="Georgia" w:cs="Georgia" w:eastAsia="Georgia" w:hAnsi="Georgia"/>
          <w:b w:val="false"/>
          <w:bCs w:val="false"/>
          <w:i w:val="false"/>
          <w:iCs w:val="false"/>
          <w:color w:val="1A1A1A"/>
          <w:sz w:val="21"/>
          <w:szCs w:val="21"/>
        </w:rPr>
        <w:t xml:space="preserve">The mind is better modeled as two interacting systems with different speeds, effort costs, and error profiles than as a single unified reasoning engine.</w:t>
      </w:r>
    </w:p>
    <w:p>
      <w:pPr>
        <w:spacing w:after="80" w:before="200"/>
      </w:pPr>
      <w:r>
        <w:rPr>
          <w:rFonts w:ascii="Calibri" w:cs="Calibri" w:eastAsia="Calibri" w:hAnsi="Calibri"/>
          <w:b/>
          <w:bCs/>
          <w:color w:val="8A1F1F"/>
          <w:sz w:val="21"/>
          <w:szCs w:val="21"/>
        </w:rPr>
        <w:t xml:space="preserve">Proposition 2</w:t>
      </w:r>
    </w:p>
    <w:p>
      <w:pPr>
        <w:spacing w:after="120" w:before="0"/>
        <w:jc w:val="left"/>
      </w:pPr>
      <w:r>
        <w:rPr>
          <w:rFonts w:ascii="Georgia" w:cs="Georgia" w:eastAsia="Georgia" w:hAnsi="Georgia"/>
          <w:b/>
          <w:bCs/>
          <w:i w:val="false"/>
          <w:iCs w:val="false"/>
          <w:color w:val="1A1A1A"/>
          <w:sz w:val="21"/>
          <w:szCs w:val="21"/>
        </w:rPr>
        <w:t xml:space="preserve">Errors are systematic, not random. </w:t>
      </w:r>
      <w:r>
        <w:rPr>
          <w:rFonts w:ascii="Georgia" w:cs="Georgia" w:eastAsia="Georgia" w:hAnsi="Georgia"/>
          <w:b w:val="false"/>
          <w:bCs w:val="false"/>
          <w:i w:val="false"/>
          <w:iCs w:val="false"/>
          <w:color w:val="1A1A1A"/>
          <w:sz w:val="21"/>
          <w:szCs w:val="21"/>
        </w:rPr>
        <w:t xml:space="preserve">Because biases stem from the architecture of System 1, they recur predictably across individuals — which is what makes them scientifically tractable and, to some extent, anticipatable.</w:t>
      </w:r>
    </w:p>
    <w:p>
      <w:pPr>
        <w:spacing w:after="80" w:before="200"/>
      </w:pPr>
      <w:r>
        <w:rPr>
          <w:rFonts w:ascii="Calibri" w:cs="Calibri" w:eastAsia="Calibri" w:hAnsi="Calibri"/>
          <w:b/>
          <w:bCs/>
          <w:color w:val="8A1F1F"/>
          <w:sz w:val="21"/>
          <w:szCs w:val="21"/>
        </w:rPr>
        <w:t xml:space="preserve">Proposition 3</w:t>
      </w:r>
    </w:p>
    <w:p>
      <w:pPr>
        <w:spacing w:after="120" w:before="0"/>
        <w:jc w:val="left"/>
      </w:pPr>
      <w:r>
        <w:rPr>
          <w:rFonts w:ascii="Georgia" w:cs="Georgia" w:eastAsia="Georgia" w:hAnsi="Georgia"/>
          <w:b/>
          <w:bCs/>
          <w:i w:val="false"/>
          <w:iCs w:val="false"/>
          <w:color w:val="1A1A1A"/>
          <w:sz w:val="21"/>
          <w:szCs w:val="21"/>
        </w:rPr>
        <w:t xml:space="preserve">Effort is a scarce resource. </w:t>
      </w:r>
      <w:r>
        <w:rPr>
          <w:rFonts w:ascii="Georgia" w:cs="Georgia" w:eastAsia="Georgia" w:hAnsi="Georgia"/>
          <w:b w:val="false"/>
          <w:bCs w:val="false"/>
          <w:i w:val="false"/>
          <w:iCs w:val="false"/>
          <w:color w:val="1A1A1A"/>
          <w:sz w:val="21"/>
          <w:szCs w:val="21"/>
        </w:rPr>
        <w:t xml:space="preserve">System 2 has a limited attentional budget (“ego depletion”-style capacity limits, as understood at the time of writing); it disengages when tired, distracted, or cognitively loaded, and System 1 fills the gap.</w:t>
      </w:r>
    </w:p>
    <w:p>
      <w:pPr>
        <w:spacing w:after="80" w:before="200"/>
      </w:pPr>
      <w:r>
        <w:rPr>
          <w:rFonts w:ascii="Calibri" w:cs="Calibri" w:eastAsia="Calibri" w:hAnsi="Calibri"/>
          <w:b/>
          <w:bCs/>
          <w:color w:val="8A1F1F"/>
          <w:sz w:val="21"/>
          <w:szCs w:val="21"/>
        </w:rPr>
        <w:t xml:space="preserve">Proposition 4</w:t>
      </w:r>
    </w:p>
    <w:p>
      <w:pPr>
        <w:spacing w:after="120" w:before="0"/>
        <w:jc w:val="left"/>
      </w:pPr>
      <w:r>
        <w:rPr>
          <w:rFonts w:ascii="Georgia" w:cs="Georgia" w:eastAsia="Georgia" w:hAnsi="Georgia"/>
          <w:b/>
          <w:bCs/>
          <w:i w:val="false"/>
          <w:iCs w:val="false"/>
          <w:color w:val="1A1A1A"/>
          <w:sz w:val="21"/>
          <w:szCs w:val="21"/>
        </w:rPr>
        <w:t xml:space="preserve">Coherence, not accuracy, is what the mind seeks. </w:t>
      </w:r>
      <w:r>
        <w:rPr>
          <w:rFonts w:ascii="Georgia" w:cs="Georgia" w:eastAsia="Georgia" w:hAnsi="Georgia"/>
          <w:b w:val="false"/>
          <w:bCs w:val="false"/>
          <w:i w:val="false"/>
          <w:iCs w:val="false"/>
          <w:color w:val="1A1A1A"/>
          <w:sz w:val="21"/>
          <w:szCs w:val="21"/>
        </w:rPr>
        <w:t xml:space="preserve">System 1 constructs the most coherent story it can from available information, largely indifferent to the quality or completeness of that information (“What You See Is All There Is,” WYSIATI).</w:t>
      </w:r>
    </w:p>
    <w:p>
      <w:pPr>
        <w:spacing w:after="80" w:before="200"/>
      </w:pPr>
      <w:r>
        <w:rPr>
          <w:rFonts w:ascii="Calibri" w:cs="Calibri" w:eastAsia="Calibri" w:hAnsi="Calibri"/>
          <w:b/>
          <w:bCs/>
          <w:color w:val="8A1F1F"/>
          <w:sz w:val="21"/>
          <w:szCs w:val="21"/>
        </w:rPr>
        <w:t xml:space="preserve">Proposition 5</w:t>
      </w:r>
    </w:p>
    <w:p>
      <w:pPr>
        <w:spacing w:after="120" w:before="0"/>
        <w:jc w:val="left"/>
      </w:pPr>
      <w:r>
        <w:rPr>
          <w:rFonts w:ascii="Georgia" w:cs="Georgia" w:eastAsia="Georgia" w:hAnsi="Georgia"/>
          <w:b/>
          <w:bCs/>
          <w:i w:val="false"/>
          <w:iCs w:val="false"/>
          <w:color w:val="1A1A1A"/>
          <w:sz w:val="21"/>
          <w:szCs w:val="21"/>
        </w:rPr>
        <w:t xml:space="preserve">Confidence is not a reliable signal of accuracy. </w:t>
      </w:r>
      <w:r>
        <w:rPr>
          <w:rFonts w:ascii="Georgia" w:cs="Georgia" w:eastAsia="Georgia" w:hAnsi="Georgia"/>
          <w:b w:val="false"/>
          <w:bCs w:val="false"/>
          <w:i w:val="false"/>
          <w:iCs w:val="false"/>
          <w:color w:val="1A1A1A"/>
          <w:sz w:val="21"/>
          <w:szCs w:val="21"/>
        </w:rPr>
        <w:t xml:space="preserve">Confidence tracks the coherence of the story we've built, not the statistical validity of the judgment — so people (and experts) can be highly confident and systematically wrong.</w:t>
      </w:r>
    </w:p>
    <w:p>
      <w:pPr>
        <w:spacing w:after="80" w:before="200"/>
      </w:pPr>
      <w:r>
        <w:rPr>
          <w:rFonts w:ascii="Calibri" w:cs="Calibri" w:eastAsia="Calibri" w:hAnsi="Calibri"/>
          <w:b/>
          <w:bCs/>
          <w:color w:val="8A1F1F"/>
          <w:sz w:val="21"/>
          <w:szCs w:val="21"/>
        </w:rPr>
        <w:t xml:space="preserve">Proposition 6</w:t>
      </w:r>
    </w:p>
    <w:p>
      <w:pPr>
        <w:spacing w:after="120" w:before="0"/>
        <w:jc w:val="left"/>
      </w:pPr>
      <w:r>
        <w:rPr>
          <w:rFonts w:ascii="Georgia" w:cs="Georgia" w:eastAsia="Georgia" w:hAnsi="Georgia"/>
          <w:b/>
          <w:bCs/>
          <w:i w:val="false"/>
          <w:iCs w:val="false"/>
          <w:color w:val="1A1A1A"/>
          <w:sz w:val="21"/>
          <w:szCs w:val="21"/>
        </w:rPr>
        <w:t xml:space="preserve">Rationality should be engineered, not willed. </w:t>
      </w:r>
      <w:r>
        <w:rPr>
          <w:rFonts w:ascii="Georgia" w:cs="Georgia" w:eastAsia="Georgia" w:hAnsi="Georgia"/>
          <w:b w:val="false"/>
          <w:bCs w:val="false"/>
          <w:i w:val="false"/>
          <w:iCs w:val="false"/>
          <w:color w:val="1A1A1A"/>
          <w:sz w:val="21"/>
          <w:szCs w:val="21"/>
        </w:rPr>
        <w:t xml:space="preserve">Because biases are structural, Kahneman is skeptical that self-awareness alone fixes them; he favors institutional and procedural fixes (checklists, structured decision processes) over exhortations to “think harder.”</w:t>
      </w:r>
    </w:p>
    <w:p>
      <w:pPr>
        <w:spacing w:after="80" w:before="200"/>
      </w:pPr>
      <w:r>
        <w:rPr>
          <w:rFonts w:ascii="Calibri" w:cs="Calibri" w:eastAsia="Calibri" w:hAnsi="Calibri"/>
          <w:b/>
          <w:bCs/>
          <w:color w:val="8A1F1F"/>
          <w:sz w:val="21"/>
          <w:szCs w:val="21"/>
        </w:rPr>
        <w:t xml:space="preserve">Proposition 7</w:t>
      </w:r>
    </w:p>
    <w:p>
      <w:pPr>
        <w:spacing w:after="120" w:before="0"/>
        <w:jc w:val="left"/>
      </w:pPr>
      <w:r>
        <w:rPr>
          <w:rFonts w:ascii="Georgia" w:cs="Georgia" w:eastAsia="Georgia" w:hAnsi="Georgia"/>
          <w:b/>
          <w:bCs/>
          <w:i w:val="false"/>
          <w:iCs w:val="false"/>
          <w:color w:val="1A1A1A"/>
          <w:sz w:val="21"/>
          <w:szCs w:val="21"/>
        </w:rPr>
        <w:t xml:space="preserve">The self that decides and the self that remembers are not the same agent. </w:t>
      </w:r>
      <w:r>
        <w:rPr>
          <w:rFonts w:ascii="Georgia" w:cs="Georgia" w:eastAsia="Georgia" w:hAnsi="Georgia"/>
          <w:b w:val="false"/>
          <w:bCs w:val="false"/>
          <w:i w:val="false"/>
          <w:iCs w:val="false"/>
          <w:color w:val="1A1A1A"/>
          <w:sz w:val="21"/>
          <w:szCs w:val="21"/>
        </w:rPr>
        <w:t xml:space="preserve">Well-being research reveals a split between moment-to-moment experience and the retrospective narrative we construct, and policy/personal choices often serve the latter at the expense of the former.</w:t>
      </w:r>
    </w:p>
    <w:p>
      <w:pPr>
        <w:spacing w:after="80" w:before="200"/>
      </w:pPr>
      <w:r>
        <w:rPr>
          <w:rFonts w:ascii="Calibri" w:cs="Calibri" w:eastAsia="Calibri" w:hAnsi="Calibri"/>
          <w:b/>
          <w:bCs/>
          <w:color w:val="8A1F1F"/>
          <w:sz w:val="21"/>
          <w:szCs w:val="21"/>
        </w:rPr>
        <w:t xml:space="preserve">Proposition 8</w:t>
      </w:r>
    </w:p>
    <w:p>
      <w:pPr>
        <w:spacing w:after="120" w:before="0"/>
        <w:jc w:val="left"/>
      </w:pPr>
      <w:r>
        <w:rPr>
          <w:rFonts w:ascii="Georgia" w:cs="Georgia" w:eastAsia="Georgia" w:hAnsi="Georgia"/>
          <w:b/>
          <w:bCs/>
          <w:i w:val="false"/>
          <w:iCs w:val="false"/>
          <w:color w:val="1A1A1A"/>
          <w:sz w:val="21"/>
          <w:szCs w:val="21"/>
        </w:rPr>
        <w:t xml:space="preserve">Humans are not irrational; they are predictably bounded. </w:t>
      </w:r>
      <w:r>
        <w:rPr>
          <w:rFonts w:ascii="Georgia" w:cs="Georgia" w:eastAsia="Georgia" w:hAnsi="Georgia"/>
          <w:b w:val="false"/>
          <w:bCs w:val="false"/>
          <w:i w:val="false"/>
          <w:iCs w:val="false"/>
          <w:color w:val="1A1A1A"/>
          <w:sz w:val="21"/>
          <w:szCs w:val="21"/>
        </w:rPr>
        <w:t xml:space="preserve">Kahneman explicitly distances the book from a caricature of humans as foolish — the point is that boundedly rational agents deviate from normative models in specific, modelable ways.</w:t>
      </w:r>
    </w:p>
    <w:p>
      <w:pPr>
        <w:pStyle w:val="Heading1"/>
        <w:pBdr>
          <w:bottom w:val="single" w:color="B8B8B8" w:sz="6" w:space="6"/>
        </w:pBdr>
        <w:spacing w:after="200" w:before="480"/>
      </w:pPr>
      <w:r>
        <w:rPr>
          <w:rFonts w:ascii="Calibri" w:cs="Calibri" w:eastAsia="Calibri" w:hAnsi="Calibri"/>
          <w:b/>
          <w:bCs/>
          <w:color w:val="8A1F1F"/>
          <w:sz w:val="27"/>
          <w:szCs w:val="27"/>
        </w:rPr>
        <w:t xml:space="preserve">4. </w:t>
      </w:r>
      <w:r>
        <w:rPr>
          <w:rFonts w:ascii="Calibri" w:cs="Calibri" w:eastAsia="Calibri" w:hAnsi="Calibri"/>
          <w:b/>
          <w:bCs/>
          <w:color w:val="1A1A1A"/>
          <w:sz w:val="27"/>
          <w:szCs w:val="27"/>
        </w:rPr>
        <w:t xml:space="preserve">Core Concept Map</w:t>
      </w:r>
    </w:p>
    <w:p>
      <w:pPr>
        <w:keepNext w:val="false"/>
        <w:spacing w:after="120" w:before="0"/>
        <w:jc w:val="left"/>
      </w:pPr>
      <w:r>
        <w:rPr>
          <w:rFonts w:ascii="Georgia" w:cs="Georgia" w:eastAsia="Georgia" w:hAnsi="Georgia"/>
          <w:b w:val="false"/>
          <w:bCs w:val="false"/>
          <w:i w:val="false"/>
          <w:iCs w:val="false"/>
          <w:color w:val="1A1A1A"/>
          <w:sz w:val="21"/>
          <w:szCs w:val="21"/>
        </w:rPr>
        <w:t xml:space="preserve">The book's architecture can be reconstructed as a small set of concepts that generate almost everything else.</w:t>
      </w:r>
    </w:p>
    <w:tbl>
      <w:tblPr>
        <w:tblW w:type="dxa" w:w="9350"/>
        <w:tblBorders>
          <w:top w:val="single" w:color="B8B8B8" w:sz="4"/>
          <w:left w:val="single" w:color="B8B8B8" w:sz="4"/>
          <w:bottom w:val="single" w:color="B8B8B8" w:sz="4"/>
          <w:right w:val="single" w:color="B8B8B8" w:sz="4"/>
          <w:insideH w:val="single" w:color="B8B8B8" w:sz="2"/>
          <w:insideV w:val="single" w:color="B8B8B8" w:sz="2"/>
        </w:tblBorders>
        <w:tblLayout w:type="fixed"/>
      </w:tblPr>
      <w:tblGrid>
        <w:gridCol w:w="2400"/>
        <w:gridCol w:w="4200"/>
        <w:gridCol w:w="2750"/>
      </w:tblGrid>
      <w:tr>
        <w:tc>
          <w:tcPr>
            <w:tcW w:type="dxa" w:w="24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Concept</w:t>
            </w:r>
          </w:p>
        </w:tc>
        <w:tc>
          <w:tcPr>
            <w:tcW w:type="dxa" w:w="42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Definition (compressed)</w:t>
            </w:r>
          </w:p>
        </w:tc>
        <w:tc>
          <w:tcPr>
            <w:tcW w:type="dxa" w:w="275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Relation to other concepts</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System 1 / System 2</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Fast/automatic vs. slow/effortful modes of thought.</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The root architecture; every other concept describes System 1's shortcuts or System 2's failure to correct them.</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WYSIATI</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“What you see is all there is” — judgment is built only from available information, ignoring what's missing.</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Generates overconfidence, halo effects, and narrative fallacies; explains why small samples feel persuasive.</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Heuristics (availability, representativeness, anchoring)</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Mental shortcuts that substitute an easy question for a hard one.</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Concrete mechanisms by which System 1 produces judgments; each generates a specific family of biases.</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Substitution</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Answering a hard question by unconsciously answering an easier, related one.</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The general mechanism underlying most heuristics listed above.</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Prospect Theory (loss aversion, reference points)</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People evaluate outcomes as gains/losses relative to a reference point, weighting losses roughly twice as heavily as equivalent gains.</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Kahneman and Tversky's core theoretical contribution; explains framing effects and risk attitudes that expected-utility theory cannot.</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Framing Effects</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Logically identical choices yield different decisions depending on how they are described (gains vs. losses).</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 direct behavioral consequence of prospect theory's reference-dependence.</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Overconfidence / Illusion of Validity</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Subjective confidence is driven by narrative coherence, not evidential quality.</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Downstream of WYSIATI; explains expert overconfidence in low-validity domains.</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Regression to the Mean</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Extreme outcomes tend to be followed by more average ones, absent any causal intervention.</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 statistical fact routinely misread by System 1 as a causal story (e.g., praise/punishment effects on performance).</w:t>
            </w:r>
          </w:p>
        </w:tc>
      </w:tr>
      <w:tr>
        <w:tc>
          <w:tcPr>
            <w:tcW w:type="dxa" w:w="24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Two Selves (Experiencing vs. Remembering)</w:t>
            </w:r>
          </w:p>
        </w:tc>
        <w:tc>
          <w:tcPr>
            <w:tcW w:type="dxa" w:w="42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The self that lives an experience differs from the self that later evaluates it via memory.</w:t>
            </w:r>
          </w:p>
        </w:tc>
        <w:tc>
          <w:tcPr>
            <w:tcW w:type="dxa" w:w="27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 separate but related architecture; interacts with the peak-end rule and duration neglect to explain well-being paradoxes.</w:t>
            </w:r>
          </w:p>
        </w:tc>
      </w:tr>
    </w:tbl>
    <w:p>
      <w:pPr>
        <w:spacing w:after="200" w:before="200"/>
      </w:pPr>
    </w:p>
    <w:p>
      <w:pPr>
        <w:spacing w:after="120" w:before="0"/>
        <w:jc w:val="left"/>
      </w:pPr>
      <w:r>
        <w:rPr>
          <w:rFonts w:ascii="Georgia" w:cs="Georgia" w:eastAsia="Georgia" w:hAnsi="Georgia"/>
          <w:b w:val="false"/>
          <w:bCs w:val="false"/>
          <w:i/>
          <w:iCs/>
          <w:color w:val="1A1A1A"/>
          <w:sz w:val="21"/>
          <w:szCs w:val="21"/>
        </w:rPr>
        <w:t xml:space="preserve">System 1 heuristics (anchoring, availability, representativeness, substitution) </w:t>
      </w:r>
      <w:r>
        <w:rPr>
          <w:rFonts w:ascii="Georgia" w:cs="Georgia" w:eastAsia="Georgia" w:hAnsi="Georgia"/>
          <w:b/>
          <w:bCs/>
          <w:i w:val="false"/>
          <w:iCs w:val="false"/>
          <w:color w:val="8A1F1F"/>
          <w:sz w:val="21"/>
          <w:szCs w:val="21"/>
        </w:rPr>
        <w:t xml:space="preserve">→ </w:t>
      </w:r>
      <w:r>
        <w:rPr>
          <w:rFonts w:ascii="Georgia" w:cs="Georgia" w:eastAsia="Georgia" w:hAnsi="Georgia"/>
          <w:b w:val="false"/>
          <w:bCs w:val="false"/>
          <w:i/>
          <w:iCs/>
          <w:color w:val="1A1A1A"/>
          <w:sz w:val="21"/>
          <w:szCs w:val="21"/>
        </w:rPr>
        <w:t xml:space="preserve">WYSIATI-driven overconfidence </w:t>
      </w:r>
      <w:r>
        <w:rPr>
          <w:rFonts w:ascii="Georgia" w:cs="Georgia" w:eastAsia="Georgia" w:hAnsi="Georgia"/>
          <w:b/>
          <w:bCs/>
          <w:i w:val="false"/>
          <w:iCs w:val="false"/>
          <w:color w:val="8A1F1F"/>
          <w:sz w:val="21"/>
          <w:szCs w:val="21"/>
        </w:rPr>
        <w:t xml:space="preserve">→ </w:t>
      </w:r>
      <w:r>
        <w:rPr>
          <w:rFonts w:ascii="Georgia" w:cs="Georgia" w:eastAsia="Georgia" w:hAnsi="Georgia"/>
          <w:b w:val="false"/>
          <w:bCs w:val="false"/>
          <w:i/>
          <w:iCs/>
          <w:color w:val="1A1A1A"/>
          <w:sz w:val="21"/>
          <w:szCs w:val="21"/>
        </w:rPr>
        <w:t xml:space="preserve">systematic judgment errors </w:t>
      </w:r>
      <w:r>
        <w:rPr>
          <w:rFonts w:ascii="Georgia" w:cs="Georgia" w:eastAsia="Georgia" w:hAnsi="Georgia"/>
          <w:b/>
          <w:bCs/>
          <w:i w:val="false"/>
          <w:iCs w:val="false"/>
          <w:color w:val="8A1F1F"/>
          <w:sz w:val="21"/>
          <w:szCs w:val="21"/>
        </w:rPr>
        <w:t xml:space="preserve">→ </w:t>
      </w:r>
      <w:r>
        <w:rPr>
          <w:rFonts w:ascii="Georgia" w:cs="Georgia" w:eastAsia="Georgia" w:hAnsi="Georgia"/>
          <w:b w:val="false"/>
          <w:bCs w:val="false"/>
          <w:i/>
          <w:iCs/>
          <w:color w:val="1A1A1A"/>
          <w:sz w:val="21"/>
          <w:szCs w:val="21"/>
        </w:rPr>
        <w:t xml:space="preserve">Prospect Theory describes how these errors shape choice under risk </w:t>
      </w:r>
      <w:r>
        <w:rPr>
          <w:rFonts w:ascii="Georgia" w:cs="Georgia" w:eastAsia="Georgia" w:hAnsi="Georgia"/>
          <w:b/>
          <w:bCs/>
          <w:i w:val="false"/>
          <w:iCs w:val="false"/>
          <w:color w:val="8A1F1F"/>
          <w:sz w:val="21"/>
          <w:szCs w:val="21"/>
        </w:rPr>
        <w:t xml:space="preserve">→ </w:t>
      </w:r>
      <w:r>
        <w:rPr>
          <w:rFonts w:ascii="Georgia" w:cs="Georgia" w:eastAsia="Georgia" w:hAnsi="Georgia"/>
          <w:b w:val="false"/>
          <w:bCs w:val="false"/>
          <w:i/>
          <w:iCs/>
          <w:color w:val="1A1A1A"/>
          <w:sz w:val="21"/>
          <w:szCs w:val="21"/>
        </w:rPr>
        <w:t xml:space="preserve">framing and loss aversion shape real decisions </w:t>
      </w:r>
      <w:r>
        <w:rPr>
          <w:rFonts w:ascii="Georgia" w:cs="Georgia" w:eastAsia="Georgia" w:hAnsi="Georgia"/>
          <w:b/>
          <w:bCs/>
          <w:i w:val="false"/>
          <w:iCs w:val="false"/>
          <w:color w:val="8A1F1F"/>
          <w:sz w:val="21"/>
          <w:szCs w:val="21"/>
        </w:rPr>
        <w:t xml:space="preserve">→ </w:t>
      </w:r>
      <w:r>
        <w:rPr>
          <w:rFonts w:ascii="Georgia" w:cs="Georgia" w:eastAsia="Georgia" w:hAnsi="Georgia"/>
          <w:b w:val="false"/>
          <w:bCs w:val="false"/>
          <w:i/>
          <w:iCs/>
          <w:color w:val="1A1A1A"/>
          <w:sz w:val="21"/>
          <w:szCs w:val="21"/>
        </w:rPr>
        <w:t xml:space="preserve">separately, the Two Selves problem shows even accurate decisions may not serve well-being.</w:t>
      </w:r>
    </w:p>
    <w:p>
      <w:pPr>
        <w:pStyle w:val="Heading1"/>
        <w:pBdr>
          <w:bottom w:val="single" w:color="B8B8B8" w:sz="6" w:space="6"/>
        </w:pBdr>
        <w:spacing w:after="200" w:before="480"/>
      </w:pPr>
      <w:r>
        <w:rPr>
          <w:rFonts w:ascii="Calibri" w:cs="Calibri" w:eastAsia="Calibri" w:hAnsi="Calibri"/>
          <w:b/>
          <w:bCs/>
          <w:color w:val="8A1F1F"/>
          <w:sz w:val="27"/>
          <w:szCs w:val="27"/>
        </w:rPr>
        <w:t xml:space="preserve">5. </w:t>
      </w:r>
      <w:r>
        <w:rPr>
          <w:rFonts w:ascii="Calibri" w:cs="Calibri" w:eastAsia="Calibri" w:hAnsi="Calibri"/>
          <w:b/>
          <w:bCs/>
          <w:color w:val="1A1A1A"/>
          <w:sz w:val="27"/>
          <w:szCs w:val="27"/>
        </w:rPr>
        <w:t xml:space="preserve">The Core Concepts</w:t>
      </w:r>
    </w:p>
    <w:p>
      <w:pPr>
        <w:pStyle w:val="Heading2"/>
        <w:spacing w:after="120" w:before="300"/>
      </w:pPr>
      <w:r>
        <w:rPr>
          <w:rFonts w:ascii="Calibri" w:cs="Calibri" w:eastAsia="Calibri" w:hAnsi="Calibri"/>
          <w:b/>
          <w:bCs/>
          <w:color w:val="1A1A1A"/>
          <w:sz w:val="23"/>
          <w:szCs w:val="23"/>
        </w:rPr>
        <w:t xml:space="preserve">System 1 and System 2</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A metaphorical (not anatomical) division of mental operations into fast, automatic, effortless, associative processing (System 1) and slow, effortful, rule-governed, deliberate processing (System 2).</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System 1 generates impressions, intuitions, and intentions continuously; System 2 monitors and can override them but is lazy and usually endorses System 1's output without scrutiny.</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It is the organizing metaphor for the entire book — nearly every bias described is framed as a System 1 output that System 2 failed to check.</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Decision quality improves less by “trying to think slower” in general and more by learning to recognize the specific high-stakes situations where System 1 is likely to mislead, and deliberately engaging System 2 there.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Kahneman himself is explicit that Systems 1 and 2 are not real brain structures but useful fictions for organizing the findings; treating them as literal agents in the brain is a common but unwarranted over-extension.</w:t>
      </w:r>
    </w:p>
    <w:p>
      <w:pPr>
        <w:pStyle w:val="Heading2"/>
        <w:spacing w:after="120" w:before="300"/>
      </w:pPr>
      <w:r>
        <w:rPr>
          <w:rFonts w:ascii="Calibri" w:cs="Calibri" w:eastAsia="Calibri" w:hAnsi="Calibri"/>
          <w:b/>
          <w:bCs/>
          <w:color w:val="1A1A1A"/>
          <w:sz w:val="23"/>
          <w:szCs w:val="23"/>
        </w:rPr>
        <w:t xml:space="preserve">WYSIATI (“What You See Is All There Is”)</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 mind builds the best possible coherent story from currently available information, without discounting for what information might be missing.</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This is the mechanism that makes overconfidence and jumping to conclusions possible — the amount of evidence doesn't need to be large or reliable for System 1 to construct a confident story.</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It underlies the halo effect, base-rate neglect, and much of the overconfidence discussed elsewhere in the book; arguably the book's single most load-bearing idea.</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Before trusting a strong intuitive conclusion, deliberately ask what evidence is absent — a discipline more effective than trying to feel less confident.</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It is a compelling verbal formulation rather than a precisely operationalized or independently falsifiable construct; it functions more as an organizing heuristic for the author than as a tested model.</w:t>
      </w:r>
    </w:p>
    <w:p>
      <w:pPr>
        <w:pStyle w:val="Heading2"/>
        <w:spacing w:after="120" w:before="300"/>
      </w:pPr>
      <w:r>
        <w:rPr>
          <w:rFonts w:ascii="Calibri" w:cs="Calibri" w:eastAsia="Calibri" w:hAnsi="Calibri"/>
          <w:b/>
          <w:bCs/>
          <w:color w:val="1A1A1A"/>
          <w:sz w:val="23"/>
          <w:szCs w:val="23"/>
        </w:rPr>
        <w:t xml:space="preserve">Heuristics: Anchoring, Availability, Representativeness</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Anchoring: initial numbers bias subsequent numerical estimates, even when arbitrary. Availability: ease of recall is mistaken for frequency or probability. Representativeness: likelihood is judged by similarity to a stereotype rather than by base rates.</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These are presented as robust, replicable, and largely immune to simply being warned about in advance.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They are the empirical backbone of the book — the original Kahneman-Tversky experimental program that established behavioral economics as a field.</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Structured decision procedures (e.g., generating estimates before anchors are introduced, or explicitly stating base rates before intuitive probability judgments) can partially blunt these effects even though awareness alone does not.</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Anchoring effects in particular have replicated robustly; some representativeness/availability demonstrations (e.g., certain framings of the “Linda problem”) have been contested on whether the conjunction fallacy reflects a genuine reasoning error or a pragmatic misreading of the question — see Section 9.</w:t>
      </w:r>
    </w:p>
    <w:p>
      <w:pPr>
        <w:pStyle w:val="Heading2"/>
        <w:spacing w:after="120" w:before="300"/>
      </w:pPr>
      <w:r>
        <w:rPr>
          <w:rFonts w:ascii="Calibri" w:cs="Calibri" w:eastAsia="Calibri" w:hAnsi="Calibri"/>
          <w:b/>
          <w:bCs/>
          <w:color w:val="1A1A1A"/>
          <w:sz w:val="23"/>
          <w:szCs w:val="23"/>
        </w:rPr>
        <w:t xml:space="preserve">Prospect Theory and Loss Aversion</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A descriptive (not normative) model of choice under risk: outcomes are evaluated as gains or losses relative to a reference point, the value function is concave for gains and convex for losses, and losses loom larger than equivalent gains (loss aversion, commonly estimated around a 2:1 ratio in the studies discussed).</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This is Kahneman and Tversky's most cited theoretical contribution (it underpinned Kahneman's 2002 Nobel Prize in Economics) and directly challenges expected-utility theory's assumption that people evaluate final wealth states rationally.</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It explains a wide range of anomalies — the endowment effect, status-quo bias, risk-seeking in the domain of losses — that classical economic models could not.</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Framing choices in terms of gains rather than losses (or vice versa, depending on the desired behavior) can predictably shift decisions — with clear ethical implications for anyone designing choices for others.</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 precise loss-aversion ratio is less universal than early presentations suggested; later meta-analyses find it is context-dependent and sometimes much smaller or absent, particularly for very small stakes or in some real-market settings (see Section 9).</w:t>
      </w:r>
    </w:p>
    <w:p>
      <w:pPr>
        <w:pStyle w:val="Heading2"/>
        <w:spacing w:after="120" w:before="300"/>
      </w:pPr>
      <w:r>
        <w:rPr>
          <w:rFonts w:ascii="Calibri" w:cs="Calibri" w:eastAsia="Calibri" w:hAnsi="Calibri"/>
          <w:b/>
          <w:bCs/>
          <w:color w:val="1A1A1A"/>
          <w:sz w:val="23"/>
          <w:szCs w:val="23"/>
        </w:rPr>
        <w:t xml:space="preserve">The Two Selves and the Peak-End Rule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 experiencing self lives each moment; the remembering self constructs a retrospective story dominated disproportionately by the most intense moment (peak) and the ending, largely neglecting duration (“duration neglect”).</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Kahneman argues that when people make decisions about future experiences, they are guided by the remembering self, which can lead to choices that do not maximize actual lived well-being.</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This reframes “what makes a good life” as an empirical and philosophically unresolved question, not a matter of introspective certainty.</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When evaluating past experiences or planning future ones (vacations, medical procedures, jobs), separately ask what the experiencing self will endure moment-to-moment versus what memory will encode — these can diverge sharply.</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 core experiments (e.g., the cold-hand-immersion studies) involve controlled, short-duration lab experiences; extrapolating the peak-end rule to long, complex life narratives (a career, a marriage) is an interpretive leap the book invites but does not directly test.</w:t>
      </w:r>
    </w:p>
    <w:p>
      <w:pPr>
        <w:pStyle w:val="Heading2"/>
        <w:spacing w:after="120" w:before="300"/>
      </w:pPr>
      <w:r>
        <w:rPr>
          <w:rFonts w:ascii="Calibri" w:cs="Calibri" w:eastAsia="Calibri" w:hAnsi="Calibri"/>
          <w:b/>
          <w:bCs/>
          <w:color w:val="1A1A1A"/>
          <w:sz w:val="23"/>
          <w:szCs w:val="23"/>
        </w:rPr>
        <w:t xml:space="preserve">Overconfidence, the Illusion of Skill, and Regression to the Mean</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Experts in low-validity environments (e.g., long-range stock picking) often display confidence uncorrelated with accuracy; apparent skill in such domains is frequently a statistical illusion compounded by failure to recognize regression to the mean.</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Kahneman draws heavily on his own applied research (e.g., evaluating financial advisors, flight instructors) to argue that confident expert narratives in these domains are frequently unfounded.</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This is the book's most direct challenge to professional and institutional self-image — from stock pickers to pundits to hiring managers.</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Replace confidence in individual expert judgment, in low-validity domains, with structured, algorithmic, or checklist-based procedures wherever possible.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 claim generalizes poorly to high-validity, regular-feedback domains (chess, firefighting, anesthesiology) where Kahneman's own later work with Gary Klein concedes genuine expert intuition can be reliable — the book's message is domain-specific, though it is often popularly remembered as a blanket dismissal of expertise.</w:t>
      </w:r>
    </w:p>
    <w:p>
      <w:pPr>
        <w:pStyle w:val="Heading1"/>
        <w:pBdr>
          <w:bottom w:val="single" w:color="B8B8B8" w:sz="6" w:space="6"/>
        </w:pBdr>
        <w:spacing w:after="200" w:before="480"/>
      </w:pPr>
      <w:r>
        <w:rPr>
          <w:rFonts w:ascii="Calibri" w:cs="Calibri" w:eastAsia="Calibri" w:hAnsi="Calibri"/>
          <w:b/>
          <w:bCs/>
          <w:color w:val="8A1F1F"/>
          <w:sz w:val="27"/>
          <w:szCs w:val="27"/>
        </w:rPr>
        <w:t xml:space="preserve">6. </w:t>
      </w:r>
      <w:r>
        <w:rPr>
          <w:rFonts w:ascii="Calibri" w:cs="Calibri" w:eastAsia="Calibri" w:hAnsi="Calibri"/>
          <w:b/>
          <w:bCs/>
          <w:color w:val="1A1A1A"/>
          <w:sz w:val="27"/>
          <w:szCs w:val="27"/>
        </w:rPr>
        <w:t xml:space="preserve">The Book's Main Arguments</w:t>
      </w:r>
    </w:p>
    <w:p>
      <w:pPr>
        <w:spacing w:after="80" w:before="200"/>
      </w:pPr>
      <w:r>
        <w:rPr>
          <w:rFonts w:ascii="Calibri" w:cs="Calibri" w:eastAsia="Calibri" w:hAnsi="Calibri"/>
          <w:b/>
          <w:bCs/>
          <w:color w:val="8A1F1F"/>
          <w:sz w:val="21"/>
          <w:szCs w:val="21"/>
        </w:rPr>
        <w:t xml:space="preserve">Argument 1 — Judgment under uncertainty is heuristic, not statistical</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People do not intuitively reason using probability theory; they substitute similarity- and availability-based shortcuts for statistical reasoning.</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Experimental tasks (e.g., estimating the likelihood of categories from small or biased samples) show subjects systematically ignoring base rates and sample size in favor of the vividness or representativeness of the case in front of them.</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Because this substitution is consistent across contexts and populations, it should be modeled as a stable feature of cognition, not an occasional lapse — which licenses building institutional correctives rather than trusting self-correction.</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Some later replications suggest that ambiguous question-wording, rather than a pure reasoning failure, drives part of the effect (this is the crux of the Gigerenzer critique addressed in Section 9); the size of the effect may be somewhat overstated relative to real-world stakes where people have skin in the game.</w:t>
      </w:r>
    </w:p>
    <w:p>
      <w:pPr>
        <w:spacing w:after="80" w:before="200"/>
      </w:pPr>
      <w:r>
        <w:rPr>
          <w:rFonts w:ascii="Calibri" w:cs="Calibri" w:eastAsia="Calibri" w:hAnsi="Calibri"/>
          <w:b/>
          <w:bCs/>
          <w:color w:val="8A1F1F"/>
          <w:sz w:val="21"/>
          <w:szCs w:val="21"/>
        </w:rPr>
        <w:t xml:space="preserve">Argument 2 — Loss aversion explains anomalies expected-utility theory cannot</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Classical economic models assume stable, context-independent preferences over final wealth states; real preferences are reference-dependent and loss-averse.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Framing experiments show that logically identical decisions (e.g., the same medical outcome described as a survival rate vs. a mortality rate) produce different choices, which is incompatible with a rational, frame-invariant utility maximizer.</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Prospect theory offers a better descriptive (though explicitly not normative) account of actual choice behavior, justifying its influence across economics, policy design, and law.</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Prospect theory is a description of behavior, not a decision-theoretic ideal to aspire to; treating loss aversion as something to always accommodate (rather than sometimes correct for) can itself lead to suboptimal choices — a distinction the book flags but that is easy to lose in application.</w:t>
      </w:r>
    </w:p>
    <w:p>
      <w:pPr>
        <w:spacing w:after="80" w:before="200"/>
      </w:pPr>
      <w:r>
        <w:rPr>
          <w:rFonts w:ascii="Calibri" w:cs="Calibri" w:eastAsia="Calibri" w:hAnsi="Calibri"/>
          <w:b/>
          <w:bCs/>
          <w:color w:val="8A1F1F"/>
          <w:sz w:val="21"/>
          <w:szCs w:val="21"/>
        </w:rPr>
        <w:t xml:space="preserve">Argument 3 — Confidence is a poor guide to accuracy, especially among experts</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Subjective certainty is generated by the coherence of the story System 1 builds, not by the statistical reliability of the underlying evidence.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Studies of forecasters, clinicians, and financial professionals in low-validity, low-feedback environments show high self-reported confidence with performance at or near chance, while simple statistical models often outperform expert judgment (the “clinical vs. actuarial” literature Kahneman draws on, notably Paul Meehl's work).</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In such domains, algorithms, checklists, and structured protocols should be trusted over individual expert intuition, and confidence should not be used as a proxy for competence.</w:t>
      </w:r>
    </w:p>
    <w:p>
      <w:pPr>
        <w:spacing w:after="120" w:before="0"/>
        <w:jc w:val="left"/>
      </w:pPr>
      <w:r>
        <w:rPr>
          <w:rFonts w:ascii="Georgia" w:cs="Georgia" w:eastAsia="Georgia" w:hAnsi="Georgia"/>
          <w:b w:val="false"/>
          <w:bCs w:val="false"/>
          <w:i w:val="false"/>
          <w:iCs w:val="false"/>
          <w:color w:val="1A1A1A"/>
          <w:sz w:val="21"/>
          <w:szCs w:val="21"/>
        </w:rPr>
      </w:r>
      <w:r>
        <w:rPr>
          <w:rFonts w:ascii="Georgia" w:cs="Georgia" w:eastAsia="Georgia" w:hAnsi="Georgia"/>
          <w:b w:val="false"/>
          <w:bCs w:val="false"/>
          <w:i w:val="false"/>
          <w:iCs w:val="false"/>
          <w:color w:val="1A1A1A"/>
          <w:sz w:val="21"/>
          <w:szCs w:val="21"/>
        </w:rPr>
        <w:t xml:space="preserve">The argument's force depends heavily on environment validity; applied indiscriminately, it risks under-crediting genuine expertise in high-validity domains, a nuance the book addresses (via the Klein collaboration) but that is easy to over-generalize from the more memorable examples.</w:t>
      </w:r>
    </w:p>
    <w:p>
      <w:pPr>
        <w:pStyle w:val="Heading1"/>
        <w:pBdr>
          <w:bottom w:val="single" w:color="B8B8B8" w:sz="6" w:space="6"/>
        </w:pBdr>
        <w:spacing w:after="200" w:before="480"/>
      </w:pPr>
      <w:r>
        <w:rPr>
          <w:rFonts w:ascii="Calibri" w:cs="Calibri" w:eastAsia="Calibri" w:hAnsi="Calibri"/>
          <w:b/>
          <w:bCs/>
          <w:color w:val="8A1F1F"/>
          <w:sz w:val="27"/>
          <w:szCs w:val="27"/>
        </w:rPr>
        <w:t xml:space="preserve">7. </w:t>
      </w:r>
      <w:r>
        <w:rPr>
          <w:rFonts w:ascii="Calibri" w:cs="Calibri" w:eastAsia="Calibri" w:hAnsi="Calibri"/>
          <w:b/>
          <w:bCs/>
          <w:color w:val="1A1A1A"/>
          <w:sz w:val="27"/>
          <w:szCs w:val="27"/>
        </w:rPr>
        <w:t xml:space="preserve">Practical Framework</w:t>
      </w:r>
    </w:p>
    <w:tbl>
      <w:tblPr>
        <w:tblW w:type="dxa" w:w="9350"/>
        <w:tblBorders>
          <w:top w:val="single" w:color="B8B8B8" w:sz="4"/>
          <w:left w:val="single" w:color="B8B8B8" w:sz="4"/>
          <w:bottom w:val="single" w:color="B8B8B8" w:sz="4"/>
          <w:right w:val="single" w:color="B8B8B8" w:sz="4"/>
          <w:insideH w:val="single" w:color="B8B8B8" w:sz="2"/>
          <w:insideV w:val="single" w:color="B8B8B8" w:sz="2"/>
        </w:tblBorders>
        <w:tblLayout w:type="fixed"/>
      </w:tblPr>
      <w:tblGrid>
        <w:gridCol w:w="2100"/>
        <w:gridCol w:w="2600"/>
        <w:gridCol w:w="2350"/>
        <w:gridCol w:w="2300"/>
      </w:tblGrid>
      <w:tr>
        <w:tc>
          <w:tcPr>
            <w:tcW w:type="dxa" w:w="21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Principle</w:t>
            </w:r>
          </w:p>
        </w:tc>
        <w:tc>
          <w:tcPr>
            <w:tcW w:type="dxa" w:w="26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Method</w:t>
            </w:r>
          </w:p>
        </w:tc>
        <w:tc>
          <w:tcPr>
            <w:tcW w:type="dxa" w:w="235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Application</w:t>
            </w:r>
          </w:p>
        </w:tc>
        <w:tc>
          <w:tcPr>
            <w:tcW w:type="dxa" w:w="23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Expected effect</w:t>
            </w:r>
          </w:p>
        </w:tc>
      </w:tr>
      <w:tr>
        <w:tc>
          <w:tcPr>
            <w:tcW w:type="dxa" w:w="21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System 1 defaults to the easy question.</w:t>
            </w:r>
          </w:p>
        </w:tc>
        <w:tc>
          <w:tcPr>
            <w:tcW w:type="dxa" w:w="26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Explicitly restate the actual (hard) question before answering, especially under time pressure.</w:t>
            </w:r>
          </w:p>
        </w:tc>
        <w:tc>
          <w:tcPr>
            <w:tcW w:type="dxa" w:w="2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High-stakes judgments: hiring, forecasting, risk assessment.</w:t>
            </w:r>
          </w:p>
        </w:tc>
        <w:tc>
          <w:tcPr>
            <w:tcW w:type="dxa" w:w="23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Reduces substitution errors; does not eliminate them.</w:t>
            </w:r>
          </w:p>
        </w:tc>
      </w:tr>
      <w:tr>
        <w:tc>
          <w:tcPr>
            <w:tcW w:type="dxa" w:w="21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Confidence tracks coherence, not accuracy.</w:t>
            </w:r>
          </w:p>
        </w:tc>
        <w:tc>
          <w:tcPr>
            <w:tcW w:type="dxa" w:w="26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The “premortem”: before finalizing a decision, imagine it has already failed and write down why.</w:t>
            </w:r>
          </w:p>
        </w:tc>
        <w:tc>
          <w:tcPr>
            <w:tcW w:type="dxa" w:w="2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Strategic planning, project approval, investment decisions.</w:t>
            </w:r>
          </w:p>
        </w:tc>
        <w:tc>
          <w:tcPr>
            <w:tcW w:type="dxa" w:w="23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Surfaces risks that group consensus and confidence otherwise suppress (legitimizes dissent).</w:t>
            </w:r>
          </w:p>
        </w:tc>
      </w:tr>
      <w:tr>
        <w:tc>
          <w:tcPr>
            <w:tcW w:type="dxa" w:w="21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Individual expert judgment is noisy and overconfident in low-validity domains.</w:t>
            </w:r>
          </w:p>
        </w:tc>
        <w:tc>
          <w:tcPr>
            <w:tcW w:type="dxa" w:w="26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Prefer simple, validated statistical/algorithmic models or structured checklists over unaided clinical judgment where such models exist.</w:t>
            </w:r>
          </w:p>
        </w:tc>
        <w:tc>
          <w:tcPr>
            <w:tcW w:type="dxa" w:w="2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Selection decisions, diagnosis, forecasting.</w:t>
            </w:r>
          </w:p>
        </w:tc>
        <w:tc>
          <w:tcPr>
            <w:tcW w:type="dxa" w:w="23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Generally improves average accuracy and consistency; may sacrifice some case-specific nuance.</w:t>
            </w:r>
          </w:p>
        </w:tc>
      </w:tr>
      <w:tr>
        <w:tc>
          <w:tcPr>
            <w:tcW w:type="dxa" w:w="21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Framing changes choice without changing substance.</w:t>
            </w:r>
          </w:p>
        </w:tc>
        <w:tc>
          <w:tcPr>
            <w:tcW w:type="dxa" w:w="26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Evaluate significant decisions under at least two different framings (gain vs. loss; absolute vs. relative) before committing.</w:t>
            </w:r>
          </w:p>
        </w:tc>
        <w:tc>
          <w:tcPr>
            <w:tcW w:type="dxa" w:w="2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Any decision involving risk, especially financial or medical.</w:t>
            </w:r>
          </w:p>
        </w:tc>
        <w:tc>
          <w:tcPr>
            <w:tcW w:type="dxa" w:w="23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Reduces (but does not remove) frame-dependent inconsistency.</w:t>
            </w:r>
          </w:p>
        </w:tc>
      </w:tr>
      <w:tr>
        <w:tc>
          <w:tcPr>
            <w:tcW w:type="dxa" w:w="21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Anchors bias estimates even when known to be irrelevant.</w:t>
            </w:r>
          </w:p>
        </w:tc>
        <w:tc>
          <w:tcPr>
            <w:tcW w:type="dxa" w:w="26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Generate an independent estimate before exposure to any suggested number, quote, or precedent.</w:t>
            </w:r>
          </w:p>
        </w:tc>
        <w:tc>
          <w:tcPr>
            <w:tcW w:type="dxa" w:w="2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Negotiation, budgeting, estimation tasks.</w:t>
            </w:r>
          </w:p>
        </w:tc>
        <w:tc>
          <w:tcPr>
            <w:tcW w:type="dxa" w:w="23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Weakens (does not neutralize) anchoring bias.</w:t>
            </w:r>
          </w:p>
        </w:tc>
      </w:tr>
      <w:tr>
        <w:tc>
          <w:tcPr>
            <w:tcW w:type="dxa" w:w="21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The experiencing and remembering selves diverge.</w:t>
            </w:r>
          </w:p>
        </w:tc>
        <w:tc>
          <w:tcPr>
            <w:tcW w:type="dxa" w:w="26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When designing or evaluating an experience for someone (including yourself), separately consider its moment-to-moment quality and its likely ending/peak.</w:t>
            </w:r>
          </w:p>
        </w:tc>
        <w:tc>
          <w:tcPr>
            <w:tcW w:type="dxa" w:w="2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Service design, vacation planning, medical procedure sequencing.</w:t>
            </w:r>
          </w:p>
        </w:tc>
        <w:tc>
          <w:tcPr>
            <w:tcW w:type="dxa" w:w="23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Improves alignment between decisions and actual lived experience, at the cost of remembered satisfaction in some cases.</w:t>
            </w:r>
          </w:p>
        </w:tc>
      </w:tr>
    </w:tbl>
    <w:p>
      <w:pPr>
        <w:pStyle w:val="Heading1"/>
        <w:pBdr>
          <w:bottom w:val="single" w:color="B8B8B8" w:sz="6" w:space="6"/>
        </w:pBdr>
        <w:spacing w:after="200" w:before="480"/>
      </w:pPr>
      <w:r>
        <w:rPr>
          <w:rFonts w:ascii="Calibri" w:cs="Calibri" w:eastAsia="Calibri" w:hAnsi="Calibri"/>
          <w:b/>
          <w:bCs/>
          <w:color w:val="8A1F1F"/>
          <w:sz w:val="27"/>
          <w:szCs w:val="27"/>
        </w:rPr>
        <w:t xml:space="preserve">8. </w:t>
      </w:r>
      <w:r>
        <w:rPr>
          <w:rFonts w:ascii="Calibri" w:cs="Calibri" w:eastAsia="Calibri" w:hAnsi="Calibri"/>
          <w:b/>
          <w:bCs/>
          <w:color w:val="1A1A1A"/>
          <w:sz w:val="27"/>
          <w:szCs w:val="27"/>
        </w:rPr>
        <w:t xml:space="preserve">What the Book Gets Right</w:t>
      </w:r>
    </w:p>
    <w:p>
      <w:pPr>
        <w:spacing w:after="80" w:before="200"/>
      </w:pPr>
      <w:r>
        <w:rPr>
          <w:rFonts w:ascii="Calibri" w:cs="Calibri" w:eastAsia="Calibri" w:hAnsi="Calibri"/>
          <w:b/>
          <w:bCs/>
          <w:color w:val="8A1F1F"/>
          <w:sz w:val="21"/>
          <w:szCs w:val="21"/>
        </w:rPr>
        <w:t xml:space="preserve">Historically insightful</w:t>
      </w:r>
    </w:p>
    <w:p>
      <w:pPr>
        <w:pStyle w:val="ListParagraph"/>
        <w:numPr>
          <w:ilvl w:val="0"/>
          <w:numId w:val="2"/>
        </w:numPr>
        <w:spacing w:after="80"/>
      </w:pPr>
      <w:r>
        <w:rPr>
          <w:rFonts w:ascii="Georgia" w:cs="Georgia" w:eastAsia="Georgia" w:hAnsi="Georgia"/>
          <w:color w:val="1A1A1A"/>
          <w:sz w:val="21"/>
          <w:szCs w:val="21"/>
        </w:rPr>
        <w:t xml:space="preserve">Established, with Tversky, that judgment biases are systematic and predictable rather than random noise — a foundational move that created behavioral economics as a field and directly informed Kahneman's 2002 Nobel Prize in Economic Sciences.</w:t>
      </w:r>
    </w:p>
    <w:p>
      <w:pPr>
        <w:pStyle w:val="ListParagraph"/>
        <w:numPr>
          <w:ilvl w:val="0"/>
          <w:numId w:val="2"/>
        </w:numPr>
        <w:spacing w:after="80"/>
      </w:pPr>
      <w:r>
        <w:rPr>
          <w:rFonts w:ascii="Georgia" w:cs="Georgia" w:eastAsia="Georgia" w:hAnsi="Georgia"/>
          <w:color w:val="1A1A1A"/>
          <w:sz w:val="21"/>
          <w:szCs w:val="21"/>
        </w:rPr>
        <w:t xml:space="preserve">The clinical-vs-actuarial argument (drawing on Paul Meehl's earlier work) that simple statistical models frequently outperform expert judgment remains one of the most robust findings in applied psychology.</w:t>
      </w:r>
    </w:p>
    <w:p>
      <w:pPr>
        <w:spacing w:after="80" w:before="200"/>
      </w:pPr>
      <w:r>
        <w:rPr>
          <w:rFonts w:ascii="Calibri" w:cs="Calibri" w:eastAsia="Calibri" w:hAnsi="Calibri"/>
          <w:b/>
          <w:bCs/>
          <w:color w:val="8A1F1F"/>
          <w:sz w:val="21"/>
          <w:szCs w:val="21"/>
        </w:rPr>
        <w:t xml:space="preserve">Psychologically useful</w:t>
      </w:r>
    </w:p>
    <w:p>
      <w:pPr>
        <w:pStyle w:val="ListParagraph"/>
        <w:numPr>
          <w:ilvl w:val="0"/>
          <w:numId w:val="2"/>
        </w:numPr>
        <w:spacing w:after="80"/>
      </w:pPr>
      <w:r>
        <w:rPr>
          <w:rFonts w:ascii="Georgia" w:cs="Georgia" w:eastAsia="Georgia" w:hAnsi="Georgia"/>
          <w:color w:val="1A1A1A"/>
          <w:sz w:val="21"/>
          <w:szCs w:val="21"/>
        </w:rPr>
        <w:t xml:space="preserve">The WYSIATI framing gives a durable, memorable handle on why small or biased samples of information feel so persuasive — a genuinely useful debiasing heuristic even absent precise operationalization.</w:t>
      </w:r>
    </w:p>
    <w:p>
      <w:pPr>
        <w:pStyle w:val="ListParagraph"/>
        <w:numPr>
          <w:ilvl w:val="0"/>
          <w:numId w:val="2"/>
        </w:numPr>
        <w:spacing w:after="80"/>
      </w:pPr>
      <w:r>
        <w:rPr>
          <w:rFonts w:ascii="Georgia" w:cs="Georgia" w:eastAsia="Georgia" w:hAnsi="Georgia"/>
          <w:color w:val="1A1A1A"/>
          <w:sz w:val="21"/>
          <w:szCs w:val="21"/>
        </w:rPr>
        <w:t xml:space="preserve">The distinction between experiencing and remembering selves is a genuinely novel and influential reframing of well-being research, still actively used in happiness economics.</w:t>
      </w:r>
    </w:p>
    <w:p>
      <w:pPr>
        <w:spacing w:after="80" w:before="200"/>
      </w:pPr>
      <w:r>
        <w:rPr>
          <w:rFonts w:ascii="Calibri" w:cs="Calibri" w:eastAsia="Calibri" w:hAnsi="Calibri"/>
          <w:b/>
          <w:bCs/>
          <w:color w:val="8A1F1F"/>
          <w:sz w:val="21"/>
          <w:szCs w:val="21"/>
        </w:rPr>
        <w:t xml:space="preserve">Practically useful</w:t>
      </w:r>
    </w:p>
    <w:p>
      <w:pPr>
        <w:pStyle w:val="ListParagraph"/>
        <w:numPr>
          <w:ilvl w:val="0"/>
          <w:numId w:val="2"/>
        </w:numPr>
        <w:spacing w:after="80"/>
      </w:pPr>
      <w:r>
        <w:rPr>
          <w:rFonts w:ascii="Georgia" w:cs="Georgia" w:eastAsia="Georgia" w:hAnsi="Georgia"/>
          <w:color w:val="1A1A1A"/>
          <w:sz w:val="21"/>
          <w:szCs w:val="21"/>
        </w:rPr>
        <w:t xml:space="preserve">The premortem technique and the general call for structured, checklist-based decision procedures over unaided intuition have been adopted widely in medicine, aviation, and project management, with independent evidence of effectiveness in some of those domains.</w:t>
      </w:r>
    </w:p>
    <w:p>
      <w:pPr>
        <w:spacing w:after="80" w:before="200"/>
      </w:pPr>
      <w:r>
        <w:rPr>
          <w:rFonts w:ascii="Calibri" w:cs="Calibri" w:eastAsia="Calibri" w:hAnsi="Calibri"/>
          <w:b/>
          <w:bCs/>
          <w:color w:val="8A1F1F"/>
          <w:sz w:val="21"/>
          <w:szCs w:val="21"/>
        </w:rPr>
        <w:t xml:space="preserve">Later-supported by research</w:t>
      </w:r>
    </w:p>
    <w:p>
      <w:pPr>
        <w:pStyle w:val="ListParagraph"/>
        <w:numPr>
          <w:ilvl w:val="0"/>
          <w:numId w:val="2"/>
        </w:numPr>
        <w:spacing w:after="80"/>
      </w:pPr>
      <w:r>
        <w:rPr>
          <w:rFonts w:ascii="Georgia" w:cs="Georgia" w:eastAsia="Georgia" w:hAnsi="Georgia"/>
          <w:color w:val="1A1A1A"/>
          <w:sz w:val="21"/>
          <w:szCs w:val="21"/>
        </w:rPr>
        <w:t xml:space="preserve">Anchoring effects, framing effects, and loss aversion in controlled experimental settings have replicated widely across decades and cultures, making them among the more durable findings summarized in the book.</w:t>
      </w:r>
    </w:p>
    <w:p>
      <w:pPr>
        <w:pStyle w:val="Heading1"/>
        <w:pBdr>
          <w:bottom w:val="single" w:color="B8B8B8" w:sz="6" w:space="6"/>
        </w:pBdr>
        <w:spacing w:after="200" w:before="480"/>
      </w:pPr>
      <w:r>
        <w:rPr>
          <w:rFonts w:ascii="Calibri" w:cs="Calibri" w:eastAsia="Calibri" w:hAnsi="Calibri"/>
          <w:b/>
          <w:bCs/>
          <w:color w:val="8A1F1F"/>
          <w:sz w:val="27"/>
          <w:szCs w:val="27"/>
        </w:rPr>
        <w:t xml:space="preserve">9. </w:t>
      </w:r>
      <w:r>
        <w:rPr>
          <w:rFonts w:ascii="Calibri" w:cs="Calibri" w:eastAsia="Calibri" w:hAnsi="Calibri"/>
          <w:b/>
          <w:bCs/>
          <w:color w:val="1A1A1A"/>
          <w:sz w:val="27"/>
          <w:szCs w:val="27"/>
        </w:rPr>
        <w:t xml:space="preserve">What the Book Gets Wrong</w:t>
      </w:r>
    </w:p>
    <w:p>
      <w:pPr>
        <w:keepNext w:val="false"/>
        <w:spacing w:after="120" w:before="0"/>
        <w:jc w:val="left"/>
      </w:pPr>
      <w:r>
        <w:rPr>
          <w:rFonts w:ascii="Georgia" w:cs="Georgia" w:eastAsia="Georgia" w:hAnsi="Georgia"/>
          <w:b w:val="false"/>
          <w:bCs w:val="false"/>
          <w:i w:val="false"/>
          <w:iCs w:val="false"/>
          <w:color w:val="1A1A1A"/>
          <w:sz w:val="21"/>
          <w:szCs w:val="21"/>
        </w:rPr>
        <w:t xml:space="preserve">This section applies calibrated language throughout: supported / partially supported / plausible but uncertain / controversial / weakly supported / contradicted by later evidence.</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2015–2018 replication crisis in social psychology directly affected material the book relies on. </w:t>
      </w:r>
      <w:r>
        <w:rPr>
          <w:rFonts w:ascii="Georgia" w:cs="Georgia" w:eastAsia="Georgia" w:hAnsi="Georgia"/>
          <w:b w:val="false"/>
          <w:bCs w:val="false"/>
          <w:i w:val="false"/>
          <w:iCs w:val="false"/>
          <w:color w:val="1A1A1A"/>
          <w:sz w:val="21"/>
          <w:szCs w:val="21"/>
        </w:rPr>
        <w:t xml:space="preserve">Kahneman himself publicly acknowledged in 2017 that some priming research cited in Chapter 4 (“The Associative Machine”) — particularly social-priming studies — had insufficient statistical power and should be read with reduced confidence. Status: </w:t>
      </w:r>
      <w:r>
        <w:rPr>
          <w:rFonts w:ascii="Georgia" w:cs="Georgia" w:eastAsia="Georgia" w:hAnsi="Georgia"/>
          <w:b w:val="false"/>
          <w:bCs w:val="false"/>
          <w:i/>
          <w:iCs/>
          <w:color w:val="1A1A1A"/>
          <w:sz w:val="21"/>
          <w:szCs w:val="21"/>
        </w:rPr>
        <w:t xml:space="preserve">contradicted by later evidence</w:t>
      </w:r>
      <w:r>
        <w:rPr>
          <w:rFonts w:ascii="Georgia" w:cs="Georgia" w:eastAsia="Georgia" w:hAnsi="Georgia"/>
          <w:b w:val="false"/>
          <w:bCs w:val="false"/>
          <w:i w:val="false"/>
          <w:iCs w:val="false"/>
          <w:color w:val="1A1A1A"/>
          <w:sz w:val="21"/>
          <w:szCs w:val="21"/>
        </w:rPr>
        <w:t xml:space="preserve"> for specific priming claims; this is a rare case of author-acknowledged retraction of confidence, not merely external critique.</w:t>
      </w:r>
    </w:p>
    <w:p>
      <w:pPr>
        <w:pStyle w:val="ListParagraph"/>
        <w:numPr>
          <w:ilvl w:val="0"/>
          <w:numId w:val="2"/>
        </w:numPr>
        <w:spacing w:after="80"/>
      </w:pPr>
      <w:r>
        <w:rPr>
          <w:rFonts w:ascii="Georgia" w:cs="Georgia" w:eastAsia="Georgia" w:hAnsi="Georgia"/>
          <w:b/>
          <w:bCs/>
          <w:i w:val="false"/>
          <w:iCs w:val="false"/>
          <w:color w:val="1A1A1A"/>
          <w:sz w:val="21"/>
          <w:szCs w:val="21"/>
        </w:rPr>
        <w:t xml:space="preserve">Ego depletion (limited willpower as a depletable resource), used to explain System 2's fatigue, has faced serious replication failures in subsequent large-scale studies. Status: </w:t>
      </w:r>
      <w:r>
        <w:rPr>
          <w:rFonts w:ascii="Georgia" w:cs="Georgia" w:eastAsia="Georgia" w:hAnsi="Georgia"/>
          <w:b w:val="false"/>
          <w:bCs w:val="false"/>
          <w:i/>
          <w:iCs/>
          <w:color w:val="1A1A1A"/>
          <w:sz w:val="21"/>
          <w:szCs w:val="21"/>
        </w:rPr>
        <w:t xml:space="preserve">weakly supported to contradicted by later evidence</w:t>
      </w:r>
      <w:r>
        <w:rPr>
          <w:rFonts w:ascii="Georgia" w:cs="Georgia" w:eastAsia="Georgia" w:hAnsi="Georgia"/>
          <w:b w:val="false"/>
          <w:bCs w:val="false"/>
          <w:i w:val="false"/>
          <w:iCs w:val="false"/>
          <w:color w:val="1A1A1A"/>
          <w:sz w:val="21"/>
          <w:szCs w:val="21"/>
        </w:rPr>
        <w:t xml:space="preserve"> — a foundational registered replication report (2016) found effects far smaller than originally claimed.</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exact magnitude of loss aversion (often popularly cited as “losses loom roughly twice as large as gains”) is less universal than the book's presentation suggests. Status: </w:t>
      </w:r>
      <w:r>
        <w:rPr>
          <w:rFonts w:ascii="Georgia" w:cs="Georgia" w:eastAsia="Georgia" w:hAnsi="Georgia"/>
          <w:b w:val="false"/>
          <w:bCs w:val="false"/>
          <w:i/>
          <w:iCs/>
          <w:color w:val="1A1A1A"/>
          <w:sz w:val="21"/>
          <w:szCs w:val="21"/>
        </w:rPr>
        <w:t xml:space="preserve">partially supported</w:t>
      </w:r>
      <w:r>
        <w:rPr>
          <w:rFonts w:ascii="Georgia" w:cs="Georgia" w:eastAsia="Georgia" w:hAnsi="Georgia"/>
          <w:b w:val="false"/>
          <w:bCs w:val="false"/>
          <w:i w:val="false"/>
          <w:iCs w:val="false"/>
          <w:color w:val="1A1A1A"/>
          <w:sz w:val="21"/>
          <w:szCs w:val="21"/>
        </w:rPr>
        <w:t xml:space="preserve"> — later meta-analytic work finds substantial context-dependence, with some studies finding much weaker or negligible aversion, especially for small stakes or repeated-play settings.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conjunction fallacy (the “Linda problem”) has been challenged on interpretive grounds. Status: </w:t>
      </w:r>
      <w:r>
        <w:rPr>
          <w:rFonts w:ascii="Georgia" w:cs="Georgia" w:eastAsia="Georgia" w:hAnsi="Georgia"/>
          <w:b w:val="false"/>
          <w:bCs w:val="false"/>
          <w:i/>
          <w:iCs/>
          <w:color w:val="1A1A1A"/>
          <w:sz w:val="21"/>
          <w:szCs w:val="21"/>
        </w:rPr>
        <w:t xml:space="preserve">controversial</w:t>
      </w:r>
      <w:r>
        <w:rPr>
          <w:rFonts w:ascii="Georgia" w:cs="Georgia" w:eastAsia="Georgia" w:hAnsi="Georgia"/>
          <w:b w:val="false"/>
          <w:bCs w:val="false"/>
          <w:i w:val="false"/>
          <w:iCs w:val="false"/>
          <w:color w:val="1A1A1A"/>
          <w:sz w:val="21"/>
          <w:szCs w:val="21"/>
        </w:rPr>
        <w:t xml:space="preserve"> — critics (notably Gerd Gigerenzer) argue the effect partly reflects a pragmatic, conversationally reasonable reading of an ambiguous question rather than a pure logical error, though the core finding has also been defended and partially replicated under improved question wording.</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book sometimes underspecifies when a bias is large enough to matter outside the lab. </w:t>
      </w:r>
      <w:r>
        <w:rPr>
          <w:rFonts w:ascii="Georgia" w:cs="Georgia" w:eastAsia="Georgia" w:hAnsi="Georgia"/>
          <w:b w:val="false"/>
          <w:bCs w:val="false"/>
          <w:i w:val="false"/>
          <w:iCs w:val="false"/>
          <w:color w:val="1A1A1A"/>
          <w:sz w:val="21"/>
          <w:szCs w:val="21"/>
        </w:rPr>
        <w:t xml:space="preserve">Status: </w:t>
      </w:r>
      <w:r>
        <w:rPr>
          <w:rFonts w:ascii="Georgia" w:cs="Georgia" w:eastAsia="Georgia" w:hAnsi="Georgia"/>
          <w:b w:val="false"/>
          <w:bCs w:val="false"/>
          <w:i/>
          <w:iCs/>
          <w:color w:val="1A1A1A"/>
          <w:sz w:val="21"/>
          <w:szCs w:val="21"/>
        </w:rPr>
        <w:t xml:space="preserve">plausible but uncertain</w:t>
      </w:r>
      <w:r>
        <w:rPr>
          <w:rFonts w:ascii="Georgia" w:cs="Georgia" w:eastAsia="Georgia" w:hAnsi="Georgia"/>
          <w:b w:val="false"/>
          <w:bCs w:val="false"/>
          <w:i w:val="false"/>
          <w:iCs w:val="false"/>
          <w:color w:val="1A1A1A"/>
          <w:sz w:val="21"/>
          <w:szCs w:val="21"/>
        </w:rPr>
        <w:t xml:space="preserve"> — many demonstrations use small, immediate, low-stakes decisions; how much these effects persist when people have real expertise, repeated practice, and high stakes is less thoroughly established in the book than the confident narrative tone implies.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System 1 / System 2 dichotomy is a simplifying metaphor, not a neuroscientific model, though it is sometimes read (including by some readers of the book) as describing literal, separable brain systems. </w:t>
      </w:r>
      <w:r>
        <w:rPr>
          <w:rFonts w:ascii="Georgia" w:cs="Georgia" w:eastAsia="Georgia" w:hAnsi="Georgia"/>
          <w:b w:val="false"/>
          <w:bCs w:val="false"/>
          <w:i w:val="false"/>
          <w:iCs w:val="false"/>
          <w:color w:val="1A1A1A"/>
          <w:sz w:val="21"/>
          <w:szCs w:val="21"/>
        </w:rPr>
        <w:t xml:space="preserve">Status: </w:t>
      </w:r>
      <w:r>
        <w:rPr>
          <w:rFonts w:ascii="Georgia" w:cs="Georgia" w:eastAsia="Georgia" w:hAnsi="Georgia"/>
          <w:b w:val="false"/>
          <w:bCs w:val="false"/>
          <w:i/>
          <w:iCs/>
          <w:color w:val="1A1A1A"/>
          <w:sz w:val="21"/>
          <w:szCs w:val="21"/>
        </w:rPr>
        <w:t xml:space="preserve">the metaphor is explicitly acknowledged as such by the author</w:t>
      </w:r>
      <w:r>
        <w:rPr>
          <w:rFonts w:ascii="Georgia" w:cs="Georgia" w:eastAsia="Georgia" w:hAnsi="Georgia"/>
          <w:b w:val="false"/>
          <w:bCs w:val="false"/>
          <w:i w:val="false"/>
          <w:iCs w:val="false"/>
          <w:color w:val="1A1A1A"/>
          <w:sz w:val="21"/>
          <w:szCs w:val="21"/>
        </w:rPr>
        <w:t xml:space="preserve">, but its popularization has outpaced its precision.</w:t>
      </w:r>
    </w:p>
    <w:p>
      <w:pPr>
        <w:pStyle w:val="ListParagraph"/>
        <w:numPr>
          <w:ilvl w:val="0"/>
          <w:numId w:val="2"/>
        </w:numPr>
        <w:spacing w:after="80"/>
      </w:pPr>
      <w:r>
        <w:rPr>
          <w:rFonts w:ascii="Georgia" w:cs="Georgia" w:eastAsia="Georgia" w:hAnsi="Georgia"/>
          <w:b/>
          <w:bCs/>
          <w:i w:val="false"/>
          <w:iCs w:val="false"/>
          <w:color w:val="1A1A1A"/>
          <w:sz w:val="21"/>
          <w:szCs w:val="21"/>
        </w:rPr>
        <w:t xml:space="preserve">Practical debiasing is harder than the book's tone sometimes implies. </w:t>
      </w:r>
      <w:r>
        <w:rPr>
          <w:rFonts w:ascii="Georgia" w:cs="Georgia" w:eastAsia="Georgia" w:hAnsi="Georgia"/>
          <w:b w:val="false"/>
          <w:bCs w:val="false"/>
          <w:i w:val="false"/>
          <w:iCs w:val="false"/>
          <w:color w:val="1A1A1A"/>
          <w:sz w:val="21"/>
          <w:szCs w:val="21"/>
        </w:rPr>
        <w:t xml:space="preserve">Status: </w:t>
      </w:r>
      <w:r>
        <w:rPr>
          <w:rFonts w:ascii="Georgia" w:cs="Georgia" w:eastAsia="Georgia" w:hAnsi="Georgia"/>
          <w:b w:val="false"/>
          <w:bCs w:val="false"/>
          <w:i/>
          <w:iCs/>
          <w:color w:val="1A1A1A"/>
          <w:sz w:val="21"/>
          <w:szCs w:val="21"/>
        </w:rPr>
        <w:t xml:space="preserve">weakly supported</w:t>
      </w:r>
      <w:r>
        <w:rPr>
          <w:rFonts w:ascii="Georgia" w:cs="Georgia" w:eastAsia="Georgia" w:hAnsi="Georgia"/>
          <w:b w:val="false"/>
          <w:bCs w:val="false"/>
          <w:i w:val="false"/>
          <w:iCs w:val="false"/>
          <w:color w:val="1A1A1A"/>
          <w:sz w:val="21"/>
          <w:szCs w:val="21"/>
        </w:rPr>
        <w:t xml:space="preserve"> — Kahneman is candid in the book's conclusion that he himself remains subject to the biases he studies and that awareness rarely produces durable improvement, a caveat that is easy for readers to skip past given the earlier chapters' confident, tool-like presentation of debiasing techniques.</w:t>
      </w:r>
    </w:p>
    <w:p>
      <w:pPr>
        <w:pStyle w:val="Heading1"/>
        <w:pBdr>
          <w:bottom w:val="single" w:color="B8B8B8" w:sz="6" w:space="6"/>
        </w:pBdr>
        <w:spacing w:after="200" w:before="480"/>
      </w:pPr>
      <w:r>
        <w:rPr>
          <w:rFonts w:ascii="Calibri" w:cs="Calibri" w:eastAsia="Calibri" w:hAnsi="Calibri"/>
          <w:b/>
          <w:bCs/>
          <w:color w:val="8A1F1F"/>
          <w:sz w:val="27"/>
          <w:szCs w:val="27"/>
        </w:rPr>
        <w:t xml:space="preserve">10. </w:t>
      </w:r>
      <w:r>
        <w:rPr>
          <w:rFonts w:ascii="Calibri" w:cs="Calibri" w:eastAsia="Calibri" w:hAnsi="Calibri"/>
          <w:b/>
          <w:bCs/>
          <w:color w:val="1A1A1A"/>
          <w:sz w:val="27"/>
          <w:szCs w:val="27"/>
        </w:rPr>
        <w:t xml:space="preserve">Modern Context</w:t>
      </w:r>
    </w:p>
    <w:p>
      <w:pPr>
        <w:pStyle w:val="Heading2"/>
        <w:spacing w:after="120" w:before="300"/>
      </w:pPr>
      <w:r>
        <w:rPr>
          <w:rFonts w:ascii="Calibri" w:cs="Calibri" w:eastAsia="Calibri" w:hAnsi="Calibri"/>
          <w:b/>
          <w:bCs/>
          <w:color w:val="1A1A1A"/>
          <w:sz w:val="23"/>
          <w:szCs w:val="23"/>
        </w:rPr>
        <w:t xml:space="preserve">Behavioral economics</w:t>
      </w:r>
    </w:p>
    <w:p>
      <w:pPr>
        <w:spacing w:after="120" w:before="0"/>
        <w:jc w:val="left"/>
      </w:pPr>
      <w:r>
        <w:rPr>
          <w:rFonts w:ascii="Georgia" w:cs="Georgia" w:eastAsia="Georgia" w:hAnsi="Georgia"/>
          <w:b/>
          <w:bCs/>
          <w:i w:val="false"/>
          <w:iCs w:val="false"/>
          <w:color w:val="8A1F1F"/>
          <w:sz w:val="21"/>
          <w:szCs w:val="21"/>
        </w:rPr>
        <w:t xml:space="preserve">AUTHOR'S ORIGINAL IDEA: </w:t>
      </w:r>
      <w:r>
        <w:rPr>
          <w:rFonts w:ascii="Georgia" w:cs="Georgia" w:eastAsia="Georgia" w:hAnsi="Georgia"/>
          <w:b w:val="false"/>
          <w:bCs w:val="false"/>
          <w:i w:val="false"/>
          <w:iCs w:val="false"/>
          <w:color w:val="1A1A1A"/>
          <w:sz w:val="21"/>
          <w:szCs w:val="21"/>
        </w:rPr>
        <w:t xml:space="preserve">Prospect theory and heuristics-and-biases research as a challenge to rational-agent economic models.</w:t>
      </w:r>
    </w:p>
    <w:p>
      <w:pPr>
        <w:spacing w:after="120" w:before="0"/>
        <w:jc w:val="left"/>
      </w:pPr>
      <w:r>
        <w:rPr>
          <w:rFonts w:ascii="Georgia" w:cs="Georgia" w:eastAsia="Georgia" w:hAnsi="Georgia"/>
          <w:b/>
          <w:bCs/>
          <w:i w:val="false"/>
          <w:iCs w:val="false"/>
          <w:color w:val="8A1F1F"/>
          <w:sz w:val="21"/>
          <w:szCs w:val="21"/>
        </w:rPr>
        <w:t xml:space="preserve">LATER RESEARCH / MODERN INTERPRETATION: </w:t>
      </w:r>
      <w:r>
        <w:rPr>
          <w:rFonts w:ascii="Georgia" w:cs="Georgia" w:eastAsia="Georgia" w:hAnsi="Georgia"/>
          <w:b w:val="false"/>
          <w:bCs w:val="false"/>
          <w:i w:val="false"/>
          <w:iCs w:val="false"/>
          <w:color w:val="1A1A1A"/>
          <w:sz w:val="21"/>
          <w:szCs w:val="21"/>
        </w:rPr>
        <w:t xml:space="preserve">Richard Thaler and others built “nudge” theory and behavioral policy design directly on this foundation; the field is now institutionalized (behavioral insights teams in governments, standard MBA curricula), though contemporary work increasingly stresses context-dependence and smaller effect sizes than early lab studies suggested.</w:t>
      </w:r>
    </w:p>
    <w:p>
      <w:pPr>
        <w:pStyle w:val="Heading2"/>
        <w:spacing w:after="120" w:before="300"/>
      </w:pPr>
      <w:r>
        <w:rPr>
          <w:rFonts w:ascii="Calibri" w:cs="Calibri" w:eastAsia="Calibri" w:hAnsi="Calibri"/>
          <w:b/>
          <w:bCs/>
          <w:color w:val="1A1A1A"/>
          <w:sz w:val="23"/>
          <w:szCs w:val="23"/>
        </w:rPr>
        <w:t xml:space="preserve">Psychology's replication crisis</w:t>
      </w:r>
    </w:p>
    <w:p>
      <w:pPr>
        <w:spacing w:after="120" w:before="0"/>
        <w:jc w:val="left"/>
      </w:pPr>
      <w:r>
        <w:rPr>
          <w:rFonts w:ascii="Georgia" w:cs="Georgia" w:eastAsia="Georgia" w:hAnsi="Georgia"/>
          <w:b/>
          <w:bCs/>
          <w:i w:val="false"/>
          <w:iCs w:val="false"/>
          <w:color w:val="8A1F1F"/>
          <w:sz w:val="21"/>
          <w:szCs w:val="21"/>
        </w:rPr>
        <w:t xml:space="preserve">AUTHOR'S ORIGINAL IDEA: </w:t>
      </w:r>
      <w:r>
        <w:rPr>
          <w:rFonts w:ascii="Georgia" w:cs="Georgia" w:eastAsia="Georgia" w:hAnsi="Georgia"/>
          <w:b w:val="false"/>
          <w:bCs w:val="false"/>
          <w:i w:val="false"/>
          <w:iCs w:val="false"/>
          <w:color w:val="1A1A1A"/>
          <w:sz w:val="21"/>
          <w:szCs w:val="21"/>
        </w:rPr>
        <w:t xml:space="preserve">Confident presentation of priming and ego-depletion research as established science.</w:t>
      </w:r>
    </w:p>
    <w:p>
      <w:pPr>
        <w:spacing w:after="120" w:before="0"/>
        <w:jc w:val="left"/>
      </w:pPr>
      <w:r>
        <w:rPr>
          <w:rFonts w:ascii="Georgia" w:cs="Georgia" w:eastAsia="Georgia" w:hAnsi="Georgia"/>
          <w:b/>
          <w:bCs/>
          <w:i w:val="false"/>
          <w:iCs w:val="false"/>
          <w:color w:val="8A1F1F"/>
          <w:sz w:val="21"/>
          <w:szCs w:val="21"/>
        </w:rPr>
        <w:t xml:space="preserve">LATER RESEARCH / MODERN INTERPRETATION: </w:t>
      </w:r>
      <w:r>
        <w:rPr>
          <w:rFonts w:ascii="Georgia" w:cs="Georgia" w:eastAsia="Georgia" w:hAnsi="Georgia"/>
          <w:b w:val="false"/>
          <w:bCs w:val="false"/>
          <w:i w:val="false"/>
          <w:iCs w:val="false"/>
          <w:color w:val="1A1A1A"/>
          <w:sz w:val="21"/>
          <w:szCs w:val="21"/>
        </w:rPr>
        <w:t xml:space="preserve">Large-scale, pre-registered replication efforts (2015 onward) substantially weakened confidence in several specific studies the book cites, prompting broad recalibration across the field, including from Kahneman himself regarding the priming chapter.</w:t>
      </w:r>
    </w:p>
    <w:p>
      <w:pPr>
        <w:pStyle w:val="Heading2"/>
        <w:spacing w:after="120" w:before="300"/>
      </w:pPr>
      <w:r>
        <w:rPr>
          <w:rFonts w:ascii="Calibri" w:cs="Calibri" w:eastAsia="Calibri" w:hAnsi="Calibri"/>
          <w:b/>
          <w:bCs/>
          <w:color w:val="1A1A1A"/>
          <w:sz w:val="23"/>
          <w:szCs w:val="23"/>
        </w:rPr>
        <w:t xml:space="preserve">Judgment and decision-making</w:t>
      </w:r>
    </w:p>
    <w:p>
      <w:pPr>
        <w:spacing w:after="120" w:before="0"/>
        <w:jc w:val="left"/>
      </w:pPr>
      <w:r>
        <w:rPr>
          <w:rFonts w:ascii="Georgia" w:cs="Georgia" w:eastAsia="Georgia" w:hAnsi="Georgia"/>
          <w:b/>
          <w:bCs/>
          <w:i w:val="false"/>
          <w:iCs w:val="false"/>
          <w:color w:val="8A1F1F"/>
          <w:sz w:val="21"/>
          <w:szCs w:val="21"/>
        </w:rPr>
        <w:t xml:space="preserve">AUTHOR'S ORIGINAL IDEA: </w:t>
      </w:r>
      <w:r>
        <w:rPr>
          <w:rFonts w:ascii="Georgia" w:cs="Georgia" w:eastAsia="Georgia" w:hAnsi="Georgia"/>
          <w:b w:val="false"/>
          <w:bCs w:val="false"/>
          <w:i w:val="false"/>
          <w:iCs w:val="false"/>
          <w:color w:val="1A1A1A"/>
          <w:sz w:val="21"/>
          <w:szCs w:val="21"/>
        </w:rPr>
        <w:t xml:space="preserve">Individual expert judgment is unreliable in low-validity domains; algorithms should be preferred.</w:t>
      </w:r>
    </w:p>
    <w:p>
      <w:pPr>
        <w:spacing w:after="120" w:before="0"/>
        <w:jc w:val="left"/>
      </w:pPr>
      <w:r>
        <w:rPr>
          <w:rFonts w:ascii="Georgia" w:cs="Georgia" w:eastAsia="Georgia" w:hAnsi="Georgia"/>
          <w:b/>
          <w:bCs/>
          <w:i w:val="false"/>
          <w:iCs w:val="false"/>
          <w:color w:val="8A1F1F"/>
          <w:sz w:val="21"/>
          <w:szCs w:val="21"/>
        </w:rPr>
        <w:t xml:space="preserve">LATER RESEARCH / MODERN INTERPRETATION: </w:t>
      </w:r>
      <w:r>
        <w:rPr>
          <w:rFonts w:ascii="Georgia" w:cs="Georgia" w:eastAsia="Georgia" w:hAnsi="Georgia"/>
          <w:b w:val="false"/>
          <w:bCs w:val="false"/>
          <w:i w:val="false"/>
          <w:iCs w:val="false"/>
          <w:color w:val="1A1A1A"/>
          <w:sz w:val="21"/>
          <w:szCs w:val="21"/>
        </w:rPr>
        <w:t xml:space="preserve">Kahneman's own subsequent book, “Noise: A Flaw in Human Judgment” (2021, with Sibony and Sunstein), extends this argument by distinguishing bias (systematic error) from noise (unwanted, unsystematic variability) — a refinement not present in “Thinking, Fast and Slow” itself and worth reading as a direct sequel/correction.</w:t>
      </w:r>
    </w:p>
    <w:p>
      <w:pPr>
        <w:pStyle w:val="Heading1"/>
        <w:pBdr>
          <w:bottom w:val="single" w:color="B8B8B8" w:sz="6" w:space="6"/>
        </w:pBdr>
        <w:spacing w:after="200" w:before="480"/>
      </w:pPr>
      <w:r>
        <w:rPr>
          <w:rFonts w:ascii="Calibri" w:cs="Calibri" w:eastAsia="Calibri" w:hAnsi="Calibri"/>
          <w:b/>
          <w:bCs/>
          <w:color w:val="8A1F1F"/>
          <w:sz w:val="27"/>
          <w:szCs w:val="27"/>
        </w:rPr>
        <w:t xml:space="preserve">11. </w:t>
      </w:r>
      <w:r>
        <w:rPr>
          <w:rFonts w:ascii="Calibri" w:cs="Calibri" w:eastAsia="Calibri" w:hAnsi="Calibri"/>
          <w:b/>
          <w:bCs/>
          <w:color w:val="1A1A1A"/>
          <w:sz w:val="27"/>
          <w:szCs w:val="27"/>
        </w:rPr>
        <w:t xml:space="preserve">What Should Be Taken Literally vs. Metaphorically</w:t>
      </w:r>
    </w:p>
    <w:tbl>
      <w:tblPr>
        <w:tblW w:type="dxa" w:w="9350"/>
        <w:tblBorders>
          <w:top w:val="single" w:color="B8B8B8" w:sz="4"/>
          <w:left w:val="single" w:color="B8B8B8" w:sz="4"/>
          <w:bottom w:val="single" w:color="B8B8B8" w:sz="4"/>
          <w:right w:val="single" w:color="B8B8B8" w:sz="4"/>
          <w:insideH w:val="single" w:color="B8B8B8" w:sz="2"/>
          <w:insideV w:val="single" w:color="B8B8B8" w:sz="2"/>
        </w:tblBorders>
        <w:tblLayout w:type="fixed"/>
      </w:tblPr>
      <w:tblGrid>
        <w:gridCol w:w="3000"/>
        <w:gridCol w:w="1500"/>
        <w:gridCol w:w="4850"/>
      </w:tblGrid>
      <w:tr>
        <w:tc>
          <w:tcPr>
            <w:tcW w:type="dxa" w:w="30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Idea</w:t>
            </w:r>
          </w:p>
        </w:tc>
        <w:tc>
          <w:tcPr>
            <w:tcW w:type="dxa" w:w="15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Literal?</w:t>
            </w:r>
          </w:p>
        </w:tc>
        <w:tc>
          <w:tcPr>
            <w:tcW w:type="dxa" w:w="485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Why</w:t>
            </w:r>
          </w:p>
        </w:tc>
      </w:tr>
      <w:tr>
        <w:tc>
          <w:tcPr>
            <w:tcW w:type="dxa" w:w="3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System 1 and System 2 are two separate brain systems</w:t>
            </w:r>
          </w:p>
        </w:tc>
        <w:tc>
          <w:tcPr>
            <w:tcW w:type="dxa" w:w="15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No</w:t>
            </w:r>
          </w:p>
        </w:tc>
        <w:tc>
          <w:tcPr>
            <w:tcW w:type="dxa" w:w="48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Explicitly presented by the author as a useful fiction / organizing metaphor for two clusters of cognitive processes, not two anatomical modules.</w:t>
            </w:r>
          </w:p>
        </w:tc>
      </w:tr>
      <w:tr>
        <w:tc>
          <w:tcPr>
            <w:tcW w:type="dxa" w:w="3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Biases (anchoring, framing, loss aversion) are real, replicable effects</w:t>
            </w:r>
          </w:p>
        </w:tc>
        <w:tc>
          <w:tcPr>
            <w:tcW w:type="dxa" w:w="15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Partially</w:t>
            </w:r>
          </w:p>
        </w:tc>
        <w:tc>
          <w:tcPr>
            <w:tcW w:type="dxa" w:w="48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Robust as controlled-experiment phenomena; magnitude and real-world applicability vary by context (see Section 9).</w:t>
            </w:r>
          </w:p>
        </w:tc>
      </w:tr>
      <w:tr>
        <w:tc>
          <w:tcPr>
            <w:tcW w:type="dxa" w:w="3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Confidence is unrelated to accuracy</w:t>
            </w:r>
          </w:p>
        </w:tc>
        <w:tc>
          <w:tcPr>
            <w:tcW w:type="dxa" w:w="15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Partially</w:t>
            </w:r>
          </w:p>
        </w:tc>
        <w:tc>
          <w:tcPr>
            <w:tcW w:type="dxa" w:w="48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True mainly in low-validity, low-feedback domains; confidence can track accuracy reasonably well in high-validity, high-feedback domains (expert intuition, per the Kahneman-Klein synthesis).</w:t>
            </w:r>
          </w:p>
        </w:tc>
      </w:tr>
      <w:tr>
        <w:tc>
          <w:tcPr>
            <w:tcW w:type="dxa" w:w="3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The “two selves” are separate psychological agents</w:t>
            </w:r>
          </w:p>
        </w:tc>
        <w:tc>
          <w:tcPr>
            <w:tcW w:type="dxa" w:w="15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No</w:t>
            </w:r>
          </w:p>
        </w:tc>
        <w:tc>
          <w:tcPr>
            <w:tcW w:type="dxa" w:w="48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 conceptual device for analyzing well-being data, not a claim about a literal division of the self or personhood.</w:t>
            </w:r>
          </w:p>
        </w:tc>
      </w:tr>
      <w:tr>
        <w:tc>
          <w:tcPr>
            <w:tcW w:type="dxa" w:w="3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Loss aversion is exactly “twice as strong” as gain-seeking</w:t>
            </w:r>
          </w:p>
        </w:tc>
        <w:tc>
          <w:tcPr>
            <w:tcW w:type="dxa" w:w="15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No</w:t>
            </w:r>
          </w:p>
        </w:tc>
        <w:tc>
          <w:tcPr>
            <w:tcW w:type="dxa" w:w="48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 commonly cited approximate figure from specific early studies, not a universal constant; later work shows wide variation.</w:t>
            </w:r>
          </w:p>
        </w:tc>
      </w:tr>
      <w:tr>
        <w:tc>
          <w:tcPr>
            <w:tcW w:type="dxa" w:w="3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Statistical/algorithmic models often beat unaided expert judgment</w:t>
            </w:r>
          </w:p>
        </w:tc>
        <w:tc>
          <w:tcPr>
            <w:tcW w:type="dxa" w:w="15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Yes</w:t>
            </w:r>
          </w:p>
        </w:tc>
        <w:tc>
          <w:tcPr>
            <w:tcW w:type="dxa" w:w="48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One of the book's best-supported claims, backed by a long independent research tradition (Meehl and successors) predating and outlasting the book.</w:t>
            </w:r>
          </w:p>
        </w:tc>
      </w:tr>
    </w:tbl>
    <w:p>
      <w:pPr>
        <w:pStyle w:val="Heading1"/>
        <w:pBdr>
          <w:bottom w:val="single" w:color="B8B8B8" w:sz="6" w:space="6"/>
        </w:pBdr>
        <w:spacing w:after="200" w:before="480"/>
      </w:pPr>
      <w:r>
        <w:rPr>
          <w:rFonts w:ascii="Calibri" w:cs="Calibri" w:eastAsia="Calibri" w:hAnsi="Calibri"/>
          <w:b/>
          <w:bCs/>
          <w:color w:val="8A1F1F"/>
          <w:sz w:val="27"/>
          <w:szCs w:val="27"/>
        </w:rPr>
        <w:t xml:space="preserve">12. </w:t>
      </w:r>
      <w:r>
        <w:rPr>
          <w:rFonts w:ascii="Calibri" w:cs="Calibri" w:eastAsia="Calibri" w:hAnsi="Calibri"/>
          <w:b/>
          <w:bCs/>
          <w:color w:val="1A1A1A"/>
          <w:sz w:val="27"/>
          <w:szCs w:val="27"/>
        </w:rPr>
        <w:t xml:space="preserve">High-Value Lessons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Two systems, one output. </w:t>
      </w:r>
      <w:r>
        <w:rPr>
          <w:rFonts w:ascii="Georgia" w:cs="Georgia" w:eastAsia="Georgia" w:hAnsi="Georgia"/>
          <w:b w:val="false"/>
          <w:bCs w:val="false"/>
          <w:i w:val="false"/>
          <w:iCs w:val="false"/>
          <w:color w:val="1A1A1A"/>
          <w:sz w:val="21"/>
          <w:szCs w:val="21"/>
        </w:rPr>
        <w:t xml:space="preserve">System 1 generates the default answer to almost everything; System 2 usually just signs off. </w:t>
      </w:r>
      <w:r>
        <w:rPr>
          <w:rFonts w:ascii="Georgia" w:cs="Georgia" w:eastAsia="Georgia" w:hAnsi="Georgia"/>
          <w:b w:val="false"/>
          <w:bCs w:val="false"/>
          <w:i/>
          <w:iCs/>
          <w:color w:val="5B5B5B"/>
          <w:sz w:val="21"/>
          <w:szCs w:val="21"/>
        </w:rPr>
        <w:t xml:space="preserve">Notice when a judgment felt instant — that is exactly when it deserves a second look.</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question you answer may not be the question asked. </w:t>
      </w:r>
      <w:r>
        <w:rPr>
          <w:rFonts w:ascii="Georgia" w:cs="Georgia" w:eastAsia="Georgia" w:hAnsi="Georgia"/>
          <w:b w:val="false"/>
          <w:bCs w:val="false"/>
          <w:i w:val="false"/>
          <w:iCs w:val="false"/>
          <w:color w:val="1A1A1A"/>
          <w:sz w:val="21"/>
          <w:szCs w:val="21"/>
        </w:rPr>
        <w:t xml:space="preserve">Substitution swaps hard questions for easy, related ones without your awareness. </w:t>
      </w:r>
      <w:r>
        <w:rPr>
          <w:rFonts w:ascii="Georgia" w:cs="Georgia" w:eastAsia="Georgia" w:hAnsi="Georgia"/>
          <w:b w:val="false"/>
          <w:bCs w:val="false"/>
          <w:i/>
          <w:iCs/>
          <w:color w:val="5B5B5B"/>
          <w:sz w:val="21"/>
          <w:szCs w:val="21"/>
        </w:rPr>
        <w:t xml:space="preserve">Before answering a consequential question, write down the question itself; check your answer actually addresses it.</w:t>
      </w:r>
    </w:p>
    <w:p>
      <w:pPr>
        <w:pStyle w:val="ListParagraph"/>
        <w:numPr>
          <w:ilvl w:val="0"/>
          <w:numId w:val="2"/>
        </w:numPr>
        <w:spacing w:after="80"/>
      </w:pPr>
      <w:r>
        <w:rPr>
          <w:rFonts w:ascii="Georgia" w:cs="Georgia" w:eastAsia="Georgia" w:hAnsi="Georgia"/>
          <w:b/>
          <w:bCs/>
          <w:i w:val="false"/>
          <w:iCs w:val="false"/>
          <w:color w:val="1A1A1A"/>
          <w:sz w:val="21"/>
          <w:szCs w:val="21"/>
        </w:rPr>
        <w:t xml:space="preserve">Absence of evidence is invisible to intuition. </w:t>
      </w:r>
      <w:r>
        <w:rPr>
          <w:rFonts w:ascii="Georgia" w:cs="Georgia" w:eastAsia="Georgia" w:hAnsi="Georgia"/>
          <w:b w:val="false"/>
          <w:bCs w:val="false"/>
          <w:i w:val="false"/>
          <w:iCs w:val="false"/>
          <w:color w:val="1A1A1A"/>
          <w:sz w:val="21"/>
          <w:szCs w:val="21"/>
        </w:rPr>
        <w:t xml:space="preserve">WYSIATI means confidence doesn't discount for missing information. </w:t>
      </w:r>
      <w:r>
        <w:rPr>
          <w:rFonts w:ascii="Georgia" w:cs="Georgia" w:eastAsia="Georgia" w:hAnsi="Georgia"/>
          <w:b w:val="false"/>
          <w:bCs w:val="false"/>
          <w:i/>
          <w:iCs/>
          <w:color w:val="5B5B5B"/>
          <w:sz w:val="21"/>
          <w:szCs w:val="21"/>
        </w:rPr>
        <w:t xml:space="preserve">Explicitly ask “what don't I know?” before trusting a strong hunch.</w:t>
      </w:r>
    </w:p>
    <w:p>
      <w:pPr>
        <w:pStyle w:val="ListParagraph"/>
        <w:numPr>
          <w:ilvl w:val="0"/>
          <w:numId w:val="2"/>
        </w:numPr>
        <w:spacing w:after="80"/>
      </w:pPr>
      <w:r>
        <w:rPr>
          <w:rFonts w:ascii="Georgia" w:cs="Georgia" w:eastAsia="Georgia" w:hAnsi="Georgia"/>
          <w:b/>
          <w:bCs/>
          <w:i w:val="false"/>
          <w:iCs w:val="false"/>
          <w:color w:val="1A1A1A"/>
          <w:sz w:val="21"/>
          <w:szCs w:val="21"/>
        </w:rPr>
        <w:t xml:space="preserve">Anchors work even when you know they're arbitrary. </w:t>
      </w:r>
      <w:r>
        <w:rPr>
          <w:rFonts w:ascii="Georgia" w:cs="Georgia" w:eastAsia="Georgia" w:hAnsi="Georgia"/>
          <w:b w:val="false"/>
          <w:bCs w:val="false"/>
          <w:i w:val="false"/>
          <w:iCs w:val="false"/>
          <w:color w:val="1A1A1A"/>
          <w:sz w:val="21"/>
          <w:szCs w:val="21"/>
        </w:rPr>
        <w:t xml:space="preserve">Numerical anchoring biases estimates regardless of stated irrelevance. </w:t>
      </w:r>
      <w:r>
        <w:rPr>
          <w:rFonts w:ascii="Georgia" w:cs="Georgia" w:eastAsia="Georgia" w:hAnsi="Georgia"/>
          <w:b w:val="false"/>
          <w:bCs w:val="false"/>
          <w:i/>
          <w:iCs/>
          <w:color w:val="5B5B5B"/>
          <w:sz w:val="21"/>
          <w:szCs w:val="21"/>
        </w:rPr>
        <w:t xml:space="preserve">Form your own estimate before seeing anyone else's number.</w:t>
      </w:r>
    </w:p>
    <w:p>
      <w:pPr>
        <w:pStyle w:val="ListParagraph"/>
        <w:numPr>
          <w:ilvl w:val="0"/>
          <w:numId w:val="2"/>
        </w:numPr>
        <w:spacing w:after="80"/>
      </w:pPr>
      <w:r>
        <w:rPr>
          <w:rFonts w:ascii="Georgia" w:cs="Georgia" w:eastAsia="Georgia" w:hAnsi="Georgia"/>
          <w:b/>
          <w:bCs/>
          <w:i w:val="false"/>
          <w:iCs w:val="false"/>
          <w:color w:val="1A1A1A"/>
          <w:sz w:val="21"/>
          <w:szCs w:val="21"/>
        </w:rPr>
        <w:t xml:space="preserve">Vivid and recent examples feel more probable than they are. </w:t>
      </w:r>
      <w:r>
        <w:rPr>
          <w:rFonts w:ascii="Georgia" w:cs="Georgia" w:eastAsia="Georgia" w:hAnsi="Georgia"/>
          <w:b w:val="false"/>
          <w:bCs w:val="false"/>
          <w:i w:val="false"/>
          <w:iCs w:val="false"/>
          <w:color w:val="1A1A1A"/>
          <w:sz w:val="21"/>
          <w:szCs w:val="21"/>
        </w:rPr>
        <w:t xml:space="preserve">The availability heuristic conflates ease of recall with actual frequency. </w:t>
      </w:r>
      <w:r>
        <w:rPr>
          <w:rFonts w:ascii="Georgia" w:cs="Georgia" w:eastAsia="Georgia" w:hAnsi="Georgia"/>
          <w:b w:val="false"/>
          <w:bCs w:val="false"/>
          <w:i/>
          <w:iCs/>
          <w:color w:val="5B5B5B"/>
          <w:sz w:val="21"/>
          <w:szCs w:val="21"/>
        </w:rPr>
        <w:t xml:space="preserve">For risk judgments, seek base rates rather than trusting memorable cases.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Similarity is not probability. </w:t>
      </w:r>
      <w:r>
        <w:rPr>
          <w:rFonts w:ascii="Georgia" w:cs="Georgia" w:eastAsia="Georgia" w:hAnsi="Georgia"/>
          <w:b w:val="false"/>
          <w:bCs w:val="false"/>
          <w:i w:val="false"/>
          <w:iCs w:val="false"/>
          <w:color w:val="1A1A1A"/>
          <w:sz w:val="21"/>
          <w:szCs w:val="21"/>
        </w:rPr>
        <w:t xml:space="preserve">Representativeness ignores base rates in favor of stereotype-fit. </w:t>
      </w:r>
      <w:r>
        <w:rPr>
          <w:rFonts w:ascii="Georgia" w:cs="Georgia" w:eastAsia="Georgia" w:hAnsi="Georgia"/>
          <w:b w:val="false"/>
          <w:bCs w:val="false"/>
          <w:i/>
          <w:iCs/>
          <w:color w:val="5B5B5B"/>
          <w:sz w:val="21"/>
          <w:szCs w:val="21"/>
        </w:rPr>
        <w:t xml:space="preserve">Explicitly state the base rate before making a category judgment.</w:t>
      </w:r>
    </w:p>
    <w:p>
      <w:pPr>
        <w:pStyle w:val="ListParagraph"/>
        <w:numPr>
          <w:ilvl w:val="0"/>
          <w:numId w:val="2"/>
        </w:numPr>
        <w:spacing w:after="80"/>
      </w:pPr>
      <w:r>
        <w:rPr>
          <w:rFonts w:ascii="Georgia" w:cs="Georgia" w:eastAsia="Georgia" w:hAnsi="Georgia"/>
          <w:b/>
          <w:bCs/>
          <w:i w:val="false"/>
          <w:iCs w:val="false"/>
          <w:color w:val="1A1A1A"/>
          <w:sz w:val="21"/>
          <w:szCs w:val="21"/>
        </w:rPr>
        <w:t xml:space="preserve">Losses hurt more than equivalent gains feel good. </w:t>
      </w:r>
      <w:r>
        <w:rPr>
          <w:rFonts w:ascii="Georgia" w:cs="Georgia" w:eastAsia="Georgia" w:hAnsi="Georgia"/>
          <w:b w:val="false"/>
          <w:bCs w:val="false"/>
          <w:i w:val="false"/>
          <w:iCs w:val="false"/>
          <w:color w:val="1A1A1A"/>
          <w:sz w:val="21"/>
          <w:szCs w:val="21"/>
        </w:rPr>
        <w:t xml:space="preserve">Loss aversion drives risk-seeking to avoid locking in a loss and risk-aversion to protect a gain. </w:t>
      </w:r>
      <w:r>
        <w:rPr>
          <w:rFonts w:ascii="Georgia" w:cs="Georgia" w:eastAsia="Georgia" w:hAnsi="Georgia"/>
          <w:b w:val="false"/>
          <w:bCs w:val="false"/>
          <w:i/>
          <w:iCs/>
          <w:color w:val="5B5B5B"/>
          <w:sz w:val="21"/>
          <w:szCs w:val="21"/>
        </w:rPr>
        <w:t xml:space="preserve">Reframe a decision in both loss and gain terms before choosing, since the frame itself can flip your preference.</w:t>
      </w:r>
    </w:p>
    <w:p>
      <w:pPr>
        <w:pStyle w:val="ListParagraph"/>
        <w:numPr>
          <w:ilvl w:val="0"/>
          <w:numId w:val="2"/>
        </w:numPr>
        <w:spacing w:after="80"/>
      </w:pPr>
      <w:r>
        <w:rPr>
          <w:rFonts w:ascii="Georgia" w:cs="Georgia" w:eastAsia="Georgia" w:hAnsi="Georgia"/>
          <w:b/>
          <w:bCs/>
          <w:i w:val="false"/>
          <w:iCs w:val="false"/>
          <w:color w:val="1A1A1A"/>
          <w:sz w:val="21"/>
          <w:szCs w:val="21"/>
        </w:rPr>
        <w:t xml:space="preserve">Descriptions change decisions, not just perceptions. </w:t>
      </w:r>
      <w:r>
        <w:rPr>
          <w:rFonts w:ascii="Georgia" w:cs="Georgia" w:eastAsia="Georgia" w:hAnsi="Georgia"/>
          <w:b w:val="false"/>
          <w:bCs w:val="false"/>
          <w:i w:val="false"/>
          <w:iCs w:val="false"/>
          <w:color w:val="1A1A1A"/>
          <w:sz w:val="21"/>
          <w:szCs w:val="21"/>
        </w:rPr>
        <w:t xml:space="preserve">Framing effects show logically identical options are not chosen identically. </w:t>
      </w:r>
      <w:r>
        <w:rPr>
          <w:rFonts w:ascii="Georgia" w:cs="Georgia" w:eastAsia="Georgia" w:hAnsi="Georgia"/>
          <w:b w:val="false"/>
          <w:bCs w:val="false"/>
          <w:i/>
          <w:iCs/>
          <w:color w:val="5B5B5B"/>
          <w:sz w:val="21"/>
          <w:szCs w:val="21"/>
        </w:rPr>
        <w:t xml:space="preserve">For any high-stakes choice presented to you, ask how it would look under the opposite frame.</w:t>
      </w:r>
    </w:p>
    <w:p>
      <w:pPr>
        <w:pStyle w:val="ListParagraph"/>
        <w:numPr>
          <w:ilvl w:val="0"/>
          <w:numId w:val="2"/>
        </w:numPr>
        <w:spacing w:after="80"/>
      </w:pPr>
      <w:r>
        <w:rPr>
          <w:rFonts w:ascii="Georgia" w:cs="Georgia" w:eastAsia="Georgia" w:hAnsi="Georgia"/>
          <w:b/>
          <w:bCs/>
          <w:i w:val="false"/>
          <w:iCs w:val="false"/>
          <w:color w:val="1A1A1A"/>
          <w:sz w:val="21"/>
          <w:szCs w:val="21"/>
        </w:rPr>
        <w:t xml:space="preserve">Confidence is a feeling, not a measurement. </w:t>
      </w:r>
      <w:r>
        <w:rPr>
          <w:rFonts w:ascii="Georgia" w:cs="Georgia" w:eastAsia="Georgia" w:hAnsi="Georgia"/>
          <w:b w:val="false"/>
          <w:bCs w:val="false"/>
          <w:i w:val="false"/>
          <w:iCs w:val="false"/>
          <w:color w:val="1A1A1A"/>
          <w:sz w:val="21"/>
          <w:szCs w:val="21"/>
        </w:rPr>
        <w:t xml:space="preserve">Confidence tracks narrative coherence, not evidence quality. </w:t>
      </w:r>
      <w:r>
        <w:rPr>
          <w:rFonts w:ascii="Georgia" w:cs="Georgia" w:eastAsia="Georgia" w:hAnsi="Georgia"/>
          <w:b w:val="false"/>
          <w:bCs w:val="false"/>
          <w:i/>
          <w:iCs/>
          <w:color w:val="5B5B5B"/>
          <w:sz w:val="21"/>
          <w:szCs w:val="21"/>
        </w:rPr>
        <w:t xml:space="preserve">Treat strong personal or expert confidence as a prompt to check evidence, not as evidence itself.</w:t>
      </w:r>
    </w:p>
    <w:p>
      <w:pPr>
        <w:pStyle w:val="ListParagraph"/>
        <w:numPr>
          <w:ilvl w:val="0"/>
          <w:numId w:val="2"/>
        </w:numPr>
        <w:spacing w:after="80"/>
      </w:pPr>
      <w:r>
        <w:rPr>
          <w:rFonts w:ascii="Georgia" w:cs="Georgia" w:eastAsia="Georgia" w:hAnsi="Georgia"/>
          <w:b/>
          <w:bCs/>
          <w:i w:val="false"/>
          <w:iCs w:val="false"/>
          <w:color w:val="1A1A1A"/>
          <w:sz w:val="21"/>
          <w:szCs w:val="21"/>
        </w:rPr>
        <w:t xml:space="preserve">Simple formulas often beat expert intuition — in the right domains. </w:t>
      </w:r>
      <w:r>
        <w:rPr>
          <w:rFonts w:ascii="Georgia" w:cs="Georgia" w:eastAsia="Georgia" w:hAnsi="Georgia"/>
          <w:b w:val="false"/>
          <w:bCs w:val="false"/>
          <w:i w:val="false"/>
          <w:iCs w:val="false"/>
          <w:color w:val="1A1A1A"/>
          <w:sz w:val="21"/>
          <w:szCs w:val="21"/>
        </w:rPr>
        <w:t xml:space="preserve">In low-validity, low-feedback environments, statistical models outperform unaided judgment. </w:t>
      </w:r>
      <w:r>
        <w:rPr>
          <w:rFonts w:ascii="Georgia" w:cs="Georgia" w:eastAsia="Georgia" w:hAnsi="Georgia"/>
          <w:b w:val="false"/>
          <w:bCs w:val="false"/>
          <w:i/>
          <w:iCs/>
          <w:color w:val="5B5B5B"/>
          <w:sz w:val="21"/>
          <w:szCs w:val="21"/>
        </w:rPr>
        <w:t xml:space="preserve">Prefer checklists and structured criteria over gut calls for hiring, diagnosis, or forecasting where a validated model exists.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Expert intuition can be genuinely reliable — in the right domains. </w:t>
      </w:r>
      <w:r>
        <w:rPr>
          <w:rFonts w:ascii="Georgia" w:cs="Georgia" w:eastAsia="Georgia" w:hAnsi="Georgia"/>
          <w:b w:val="false"/>
          <w:bCs w:val="false"/>
          <w:i w:val="false"/>
          <w:iCs w:val="false"/>
          <w:color w:val="1A1A1A"/>
          <w:sz w:val="21"/>
          <w:szCs w:val="21"/>
        </w:rPr>
        <w:t xml:space="preserve">In high-validity, regular-feedback environments, skilled intuition is well-calibrated. </w:t>
      </w:r>
      <w:r>
        <w:rPr>
          <w:rFonts w:ascii="Georgia" w:cs="Georgia" w:eastAsia="Georgia" w:hAnsi="Georgia"/>
          <w:b w:val="false"/>
          <w:bCs w:val="false"/>
          <w:i/>
          <w:iCs/>
          <w:color w:val="5B5B5B"/>
          <w:sz w:val="21"/>
          <w:szCs w:val="21"/>
        </w:rPr>
        <w:t xml:space="preserve">Trust intuition more when the domain has clear rules and fast feedback (e.g., a firefighter reading a room), less when it doesn't (e.g., predicting markets).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Regression to the mean masquerades as cause and effect. </w:t>
      </w:r>
      <w:r>
        <w:rPr>
          <w:rFonts w:ascii="Georgia" w:cs="Georgia" w:eastAsia="Georgia" w:hAnsi="Georgia"/>
          <w:b w:val="false"/>
          <w:bCs w:val="false"/>
          <w:i w:val="false"/>
          <w:iCs w:val="false"/>
          <w:color w:val="1A1A1A"/>
          <w:sz w:val="21"/>
          <w:szCs w:val="21"/>
        </w:rPr>
        <w:t xml:space="preserve">Extreme results tend to be followed by average ones for purely statistical reasons. </w:t>
      </w:r>
      <w:r>
        <w:rPr>
          <w:rFonts w:ascii="Georgia" w:cs="Georgia" w:eastAsia="Georgia" w:hAnsi="Georgia"/>
          <w:b w:val="false"/>
          <w:bCs w:val="false"/>
          <w:i/>
          <w:iCs/>
          <w:color w:val="5B5B5B"/>
          <w:sz w:val="21"/>
          <w:szCs w:val="21"/>
        </w:rPr>
        <w:t xml:space="preserve">Before crediting or blaming an intervention for a change, check whether regression alone would predict it.</w:t>
      </w:r>
    </w:p>
    <w:p>
      <w:pPr>
        <w:pStyle w:val="ListParagraph"/>
        <w:numPr>
          <w:ilvl w:val="0"/>
          <w:numId w:val="2"/>
        </w:numPr>
        <w:spacing w:after="80"/>
      </w:pPr>
      <w:r>
        <w:rPr>
          <w:rFonts w:ascii="Georgia" w:cs="Georgia" w:eastAsia="Georgia" w:hAnsi="Georgia"/>
          <w:b/>
          <w:bCs/>
          <w:i w:val="false"/>
          <w:iCs w:val="false"/>
          <w:color w:val="1A1A1A"/>
          <w:sz w:val="21"/>
          <w:szCs w:val="21"/>
        </w:rPr>
        <w:t xml:space="preserve">Premortems legitimize dissent before it's too late. </w:t>
      </w:r>
      <w:r>
        <w:rPr>
          <w:rFonts w:ascii="Georgia" w:cs="Georgia" w:eastAsia="Georgia" w:hAnsi="Georgia"/>
          <w:b w:val="false"/>
          <w:bCs w:val="false"/>
          <w:i w:val="false"/>
          <w:iCs w:val="false"/>
          <w:color w:val="1A1A1A"/>
          <w:sz w:val="21"/>
          <w:szCs w:val="21"/>
        </w:rPr>
        <w:t xml:space="preserve">Imagining a plan has already failed makes it socially acceptable to voice doubts that consensus otherwise suppresses. </w:t>
      </w:r>
      <w:r>
        <w:rPr>
          <w:rFonts w:ascii="Georgia" w:cs="Georgia" w:eastAsia="Georgia" w:hAnsi="Georgia"/>
          <w:b w:val="false"/>
          <w:bCs w:val="false"/>
          <w:i/>
          <w:iCs/>
          <w:color w:val="5B5B5B"/>
          <w:sz w:val="21"/>
          <w:szCs w:val="21"/>
        </w:rPr>
        <w:t xml:space="preserve">Run a premortem before finalizing any consequential group decision.</w:t>
      </w:r>
    </w:p>
    <w:p>
      <w:pPr>
        <w:pStyle w:val="ListParagraph"/>
        <w:numPr>
          <w:ilvl w:val="0"/>
          <w:numId w:val="2"/>
        </w:numPr>
        <w:spacing w:after="80"/>
      </w:pPr>
      <w:r>
        <w:rPr>
          <w:rFonts w:ascii="Georgia" w:cs="Georgia" w:eastAsia="Georgia" w:hAnsi="Georgia"/>
          <w:b/>
          <w:bCs/>
          <w:i w:val="false"/>
          <w:iCs w:val="false"/>
          <w:color w:val="1A1A1A"/>
          <w:sz w:val="21"/>
          <w:szCs w:val="21"/>
        </w:rPr>
        <w:t xml:space="preserve">Endings and peaks dominate memory; duration barely registers. </w:t>
      </w:r>
      <w:r>
        <w:rPr>
          <w:rFonts w:ascii="Georgia" w:cs="Georgia" w:eastAsia="Georgia" w:hAnsi="Georgia"/>
          <w:b w:val="false"/>
          <w:bCs w:val="false"/>
          <w:i w:val="false"/>
          <w:iCs w:val="false"/>
          <w:color w:val="1A1A1A"/>
          <w:sz w:val="21"/>
          <w:szCs w:val="21"/>
        </w:rPr>
        <w:t xml:space="preserve">The remembering self encodes experiences via the peak-end rule, not their total quality over time. </w:t>
      </w:r>
      <w:r>
        <w:rPr>
          <w:rFonts w:ascii="Georgia" w:cs="Georgia" w:eastAsia="Georgia" w:hAnsi="Georgia"/>
          <w:b w:val="false"/>
          <w:bCs w:val="false"/>
          <w:i/>
          <w:iCs/>
          <w:color w:val="5B5B5B"/>
          <w:sz w:val="21"/>
          <w:szCs w:val="21"/>
        </w:rPr>
        <w:t xml:space="preserve">When planning an experience you'll evaluate later, pay disproportionate attention to how it ends.</w:t>
      </w:r>
    </w:p>
    <w:p>
      <w:pPr>
        <w:pStyle w:val="ListParagraph"/>
        <w:numPr>
          <w:ilvl w:val="0"/>
          <w:numId w:val="2"/>
        </w:numPr>
        <w:spacing w:after="80"/>
      </w:pPr>
      <w:r>
        <w:rPr>
          <w:rFonts w:ascii="Georgia" w:cs="Georgia" w:eastAsia="Georgia" w:hAnsi="Georgia"/>
          <w:b/>
          <w:bCs/>
          <w:i w:val="false"/>
          <w:iCs w:val="false"/>
          <w:color w:val="1A1A1A"/>
          <w:sz w:val="21"/>
          <w:szCs w:val="21"/>
        </w:rPr>
        <w:t xml:space="preserve">The good life and the well-remembered life are not the same thing. </w:t>
      </w:r>
      <w:r>
        <w:rPr>
          <w:rFonts w:ascii="Georgia" w:cs="Georgia" w:eastAsia="Georgia" w:hAnsi="Georgia"/>
          <w:b w:val="false"/>
          <w:bCs w:val="false"/>
          <w:i w:val="false"/>
          <w:iCs w:val="false"/>
          <w:color w:val="1A1A1A"/>
          <w:sz w:val="21"/>
          <w:szCs w:val="21"/>
        </w:rPr>
        <w:t xml:space="preserve">Experiencing and remembering selves can disagree about which choice was better. </w:t>
      </w:r>
      <w:r>
        <w:rPr>
          <w:rFonts w:ascii="Georgia" w:cs="Georgia" w:eastAsia="Georgia" w:hAnsi="Georgia"/>
          <w:b w:val="false"/>
          <w:bCs w:val="false"/>
          <w:i/>
          <w:iCs/>
          <w:color w:val="5B5B5B"/>
          <w:sz w:val="21"/>
          <w:szCs w:val="21"/>
        </w:rPr>
        <w:t xml:space="preserve">When it matters, ask explicitly whether you're optimizing for how something will feel, or for how you'll remember it.</w:t>
      </w:r>
    </w:p>
    <w:p>
      <w:pPr>
        <w:pStyle w:val="Heading1"/>
        <w:pBdr>
          <w:bottom w:val="single" w:color="B8B8B8" w:sz="6" w:space="6"/>
        </w:pBdr>
        <w:spacing w:after="200" w:before="480"/>
      </w:pPr>
      <w:r>
        <w:rPr>
          <w:rFonts w:ascii="Calibri" w:cs="Calibri" w:eastAsia="Calibri" w:hAnsi="Calibri"/>
          <w:b/>
          <w:bCs/>
          <w:color w:val="8A1F1F"/>
          <w:sz w:val="27"/>
          <w:szCs w:val="27"/>
        </w:rPr>
        <w:t xml:space="preserve">13. </w:t>
      </w:r>
      <w:r>
        <w:rPr>
          <w:rFonts w:ascii="Calibri" w:cs="Calibri" w:eastAsia="Calibri" w:hAnsi="Calibri"/>
          <w:b/>
          <w:bCs/>
          <w:color w:val="1A1A1A"/>
          <w:sz w:val="27"/>
          <w:szCs w:val="27"/>
        </w:rPr>
        <w:t xml:space="preserve">The Book in One Mental Model</w:t>
      </w:r>
    </w:p>
    <w:p>
      <w:pPr>
        <w:spacing w:after="100" w:before="100"/>
        <w:jc w:val="center"/>
      </w:pPr>
      <w:r>
        <w:rPr>
          <w:rFonts w:ascii="Calibri" w:cs="Calibri" w:eastAsia="Calibri" w:hAnsi="Calibri"/>
          <w:b/>
          <w:bCs/>
          <w:sz w:val="21"/>
          <w:szCs w:val="21"/>
        </w:rPr>
        <w:t xml:space="preserve">Cognitive architecture (System 1 fast / System 2 slow, effortful)</w:t>
      </w:r>
    </w:p>
    <w:p>
      <w:pPr>
        <w:spacing w:after="60"/>
        <w:jc w:val="center"/>
      </w:pPr>
      <w:r>
        <w:rPr>
          <w:b/>
          <w:bCs/>
          <w:color w:val="8A1F1F"/>
          <w:sz w:val="24"/>
          <w:szCs w:val="24"/>
        </w:rPr>
        <w:t xml:space="preserve">↓</w:t>
      </w:r>
    </w:p>
    <w:p>
      <w:pPr>
        <w:spacing w:after="100"/>
        <w:jc w:val="center"/>
      </w:pPr>
      <w:r>
        <w:rPr>
          <w:rFonts w:ascii="Calibri" w:cs="Calibri" w:eastAsia="Calibri" w:hAnsi="Calibri"/>
          <w:sz w:val="21"/>
          <w:szCs w:val="21"/>
        </w:rPr>
        <w:t xml:space="preserve">System 1 substitutes easy heuristics (anchoring, availability, representativeness) for hard statistical judgment</w:t>
      </w:r>
    </w:p>
    <w:p>
      <w:pPr>
        <w:spacing w:after="60"/>
        <w:jc w:val="center"/>
      </w:pPr>
      <w:r>
        <w:rPr>
          <w:b/>
          <w:bCs/>
          <w:color w:val="8A1F1F"/>
          <w:sz w:val="24"/>
          <w:szCs w:val="24"/>
        </w:rPr>
        <w:t xml:space="preserve">↓</w:t>
      </w:r>
    </w:p>
    <w:p>
      <w:pPr>
        <w:spacing w:after="100"/>
        <w:jc w:val="center"/>
      </w:pPr>
      <w:r>
        <w:rPr>
          <w:rFonts w:ascii="Calibri" w:cs="Calibri" w:eastAsia="Calibri" w:hAnsi="Calibri"/>
          <w:sz w:val="21"/>
          <w:szCs w:val="21"/>
        </w:rPr>
        <w:t xml:space="preserve">WYSIATI generates coherent, overconfident narratives from incomplete evidence; System 2 rarely intervenes</w:t>
      </w:r>
    </w:p>
    <w:p>
      <w:pPr>
        <w:spacing w:after="60"/>
        <w:jc w:val="center"/>
      </w:pPr>
      <w:r>
        <w:rPr>
          <w:b/>
          <w:bCs/>
          <w:color w:val="8A1F1F"/>
          <w:sz w:val="24"/>
          <w:szCs w:val="24"/>
        </w:rPr>
        <w:t xml:space="preserve">↓</w:t>
      </w:r>
    </w:p>
    <w:p>
      <w:pPr>
        <w:spacing w:after="100"/>
        <w:jc w:val="center"/>
      </w:pPr>
      <w:r>
        <w:rPr>
          <w:rFonts w:ascii="Calibri" w:cs="Calibri" w:eastAsia="Calibri" w:hAnsi="Calibri"/>
          <w:sz w:val="21"/>
          <w:szCs w:val="21"/>
        </w:rPr>
        <w:t xml:space="preserve">Under risk, reference-dependent evaluation (Prospect Theory) makes losses loom larger than gains and framing decisive</w:t>
      </w:r>
    </w:p>
    <w:p>
      <w:pPr>
        <w:spacing w:after="60"/>
        <w:jc w:val="center"/>
      </w:pPr>
      <w:r>
        <w:rPr>
          <w:b/>
          <w:bCs/>
          <w:color w:val="8A1F1F"/>
          <w:sz w:val="24"/>
          <w:szCs w:val="24"/>
        </w:rPr>
        <w:t xml:space="preserve">↓</w:t>
      </w:r>
    </w:p>
    <w:p>
      <w:pPr>
        <w:spacing w:after="100"/>
        <w:jc w:val="center"/>
      </w:pPr>
      <w:r>
        <w:rPr>
          <w:rFonts w:ascii="Calibri" w:cs="Calibri" w:eastAsia="Calibri" w:hAnsi="Calibri"/>
          <w:sz w:val="21"/>
          <w:szCs w:val="21"/>
        </w:rPr>
        <w:t xml:space="preserve">Individual judgment is often unreliable in low-validity domains → prefer structured/algorithmic correctives</w:t>
      </w:r>
    </w:p>
    <w:p>
      <w:pPr>
        <w:spacing w:after="60"/>
        <w:jc w:val="center"/>
      </w:pPr>
      <w:r>
        <w:rPr>
          <w:b/>
          <w:bCs/>
          <w:color w:val="8A1F1F"/>
          <w:sz w:val="24"/>
          <w:szCs w:val="24"/>
        </w:rPr>
        <w:t xml:space="preserve">↓</w:t>
      </w:r>
    </w:p>
    <w:p>
      <w:pPr>
        <w:spacing w:after="200"/>
        <w:jc w:val="center"/>
      </w:pPr>
      <w:r>
        <w:rPr>
          <w:rFonts w:ascii="Calibri" w:cs="Calibri" w:eastAsia="Calibri" w:hAnsi="Calibri"/>
          <w:sz w:val="21"/>
          <w:szCs w:val="21"/>
        </w:rPr>
        <w:t xml:space="preserve">Separately: the remembering self (not the experiencing self) drives most retrospective and future-planning decisions about well-being</w:t>
      </w:r>
    </w:p>
    <w:p>
      <w:pPr>
        <w:pStyle w:val="Heading1"/>
        <w:pBdr>
          <w:bottom w:val="single" w:color="B8B8B8" w:sz="6" w:space="6"/>
        </w:pBdr>
        <w:spacing w:after="200" w:before="480"/>
      </w:pPr>
      <w:r>
        <w:rPr>
          <w:rFonts w:ascii="Calibri" w:cs="Calibri" w:eastAsia="Calibri" w:hAnsi="Calibri"/>
          <w:b/>
          <w:bCs/>
          <w:color w:val="8A1F1F"/>
          <w:sz w:val="27"/>
          <w:szCs w:val="27"/>
        </w:rPr>
        <w:t xml:space="preserve">14. </w:t>
      </w:r>
      <w:r>
        <w:rPr>
          <w:rFonts w:ascii="Calibri" w:cs="Calibri" w:eastAsia="Calibri" w:hAnsi="Calibri"/>
          <w:b/>
          <w:bCs/>
          <w:color w:val="1A1A1A"/>
          <w:sz w:val="27"/>
          <w:szCs w:val="27"/>
        </w:rPr>
        <w:t xml:space="preserve">What to Remember</w:t>
      </w:r>
    </w:p>
    <w:p>
      <w:pPr>
        <w:pStyle w:val="Heading2"/>
        <w:spacing w:after="120" w:before="300"/>
      </w:pPr>
      <w:r>
        <w:rPr>
          <w:rFonts w:ascii="Calibri" w:cs="Calibri" w:eastAsia="Calibri" w:hAnsi="Calibri"/>
          <w:b/>
          <w:bCs/>
          <w:color w:val="1A1A1A"/>
          <w:sz w:val="23"/>
          <w:szCs w:val="23"/>
        </w:rPr>
        <w:t xml:space="preserve">The 10 Things Worth Remembering</w:t>
      </w:r>
    </w:p>
    <w:p>
      <w:pPr>
        <w:spacing w:after="100" w:before="0"/>
        <w:jc w:val="left"/>
      </w:pPr>
      <w:r>
        <w:rPr>
          <w:rFonts w:ascii="Georgia" w:cs="Georgia" w:eastAsia="Georgia" w:hAnsi="Georgia"/>
          <w:b/>
          <w:bCs/>
          <w:i w:val="false"/>
          <w:iCs w:val="false"/>
          <w:color w:val="8A1F1F"/>
          <w:sz w:val="21"/>
          <w:szCs w:val="21"/>
        </w:rPr>
        <w:t xml:space="preserve">1. </w:t>
      </w:r>
      <w:r>
        <w:rPr>
          <w:rFonts w:ascii="Georgia" w:cs="Georgia" w:eastAsia="Georgia" w:hAnsi="Georgia"/>
          <w:b w:val="false"/>
          <w:bCs w:val="false"/>
          <w:i w:val="false"/>
          <w:iCs w:val="false"/>
          <w:color w:val="1A1A1A"/>
          <w:sz w:val="21"/>
          <w:szCs w:val="21"/>
        </w:rPr>
        <w:t xml:space="preserve">Two systems: fast/automatic (System 1) generates almost everything; slow/effortful (System 2) rarely checks it.</w:t>
      </w:r>
    </w:p>
    <w:p>
      <w:pPr>
        <w:spacing w:after="100" w:before="0"/>
        <w:jc w:val="left"/>
      </w:pPr>
      <w:r>
        <w:rPr>
          <w:rFonts w:ascii="Georgia" w:cs="Georgia" w:eastAsia="Georgia" w:hAnsi="Georgia"/>
          <w:b/>
          <w:bCs/>
          <w:i w:val="false"/>
          <w:iCs w:val="false"/>
          <w:color w:val="8A1F1F"/>
          <w:sz w:val="21"/>
          <w:szCs w:val="21"/>
        </w:rPr>
        <w:t xml:space="preserve">2. </w:t>
      </w:r>
      <w:r>
        <w:rPr>
          <w:rFonts w:ascii="Georgia" w:cs="Georgia" w:eastAsia="Georgia" w:hAnsi="Georgia"/>
          <w:b w:val="false"/>
          <w:bCs w:val="false"/>
          <w:i w:val="false"/>
          <w:iCs w:val="false"/>
          <w:color w:val="1A1A1A"/>
          <w:sz w:val="21"/>
          <w:szCs w:val="21"/>
        </w:rPr>
        <w:t xml:space="preserve">Substitution: hard questions get silently swapped for easy ones.</w:t>
      </w:r>
    </w:p>
    <w:p>
      <w:pPr>
        <w:spacing w:after="100" w:before="0"/>
        <w:jc w:val="left"/>
      </w:pPr>
      <w:r>
        <w:rPr>
          <w:rFonts w:ascii="Georgia" w:cs="Georgia" w:eastAsia="Georgia" w:hAnsi="Georgia"/>
          <w:b/>
          <w:bCs/>
          <w:i w:val="false"/>
          <w:iCs w:val="false"/>
          <w:color w:val="8A1F1F"/>
          <w:sz w:val="21"/>
          <w:szCs w:val="21"/>
        </w:rPr>
        <w:t xml:space="preserve">3. </w:t>
      </w:r>
      <w:r>
        <w:rPr>
          <w:rFonts w:ascii="Georgia" w:cs="Georgia" w:eastAsia="Georgia" w:hAnsi="Georgia"/>
          <w:b w:val="false"/>
          <w:bCs w:val="false"/>
          <w:i w:val="false"/>
          <w:iCs w:val="false"/>
          <w:color w:val="1A1A1A"/>
          <w:sz w:val="21"/>
          <w:szCs w:val="21"/>
        </w:rPr>
        <w:t xml:space="preserve">WYSIATI: confidence doesn't discount for missing evidence.</w:t>
      </w:r>
    </w:p>
    <w:p>
      <w:pPr>
        <w:spacing w:after="100" w:before="0"/>
        <w:jc w:val="left"/>
      </w:pPr>
      <w:r>
        <w:rPr>
          <w:rFonts w:ascii="Georgia" w:cs="Georgia" w:eastAsia="Georgia" w:hAnsi="Georgia"/>
          <w:b/>
          <w:bCs/>
          <w:i w:val="false"/>
          <w:iCs w:val="false"/>
          <w:color w:val="8A1F1F"/>
          <w:sz w:val="21"/>
          <w:szCs w:val="21"/>
        </w:rPr>
        <w:t xml:space="preserve">4. </w:t>
      </w:r>
      <w:r>
        <w:rPr>
          <w:rFonts w:ascii="Georgia" w:cs="Georgia" w:eastAsia="Georgia" w:hAnsi="Georgia"/>
          <w:b w:val="false"/>
          <w:bCs w:val="false"/>
          <w:i w:val="false"/>
          <w:iCs w:val="false"/>
          <w:color w:val="1A1A1A"/>
          <w:sz w:val="21"/>
          <w:szCs w:val="21"/>
        </w:rPr>
        <w:t xml:space="preserve">Anchoring, availability, and representativeness are the three core heuristics generating most listed biases.</w:t>
      </w:r>
    </w:p>
    <w:p>
      <w:pPr>
        <w:spacing w:after="100" w:before="0"/>
        <w:jc w:val="left"/>
      </w:pPr>
      <w:r>
        <w:rPr>
          <w:rFonts w:ascii="Georgia" w:cs="Georgia" w:eastAsia="Georgia" w:hAnsi="Georgia"/>
          <w:b/>
          <w:bCs/>
          <w:i w:val="false"/>
          <w:iCs w:val="false"/>
          <w:color w:val="8A1F1F"/>
          <w:sz w:val="21"/>
          <w:szCs w:val="21"/>
        </w:rPr>
        <w:t xml:space="preserve">5. </w:t>
      </w:r>
      <w:r>
        <w:rPr>
          <w:rFonts w:ascii="Georgia" w:cs="Georgia" w:eastAsia="Georgia" w:hAnsi="Georgia"/>
          <w:b w:val="false"/>
          <w:bCs w:val="false"/>
          <w:i w:val="false"/>
          <w:iCs w:val="false"/>
          <w:color w:val="1A1A1A"/>
          <w:sz w:val="21"/>
          <w:szCs w:val="21"/>
        </w:rPr>
        <w:t xml:space="preserve">Prospect Theory: choices are reference-dependent, and losses loom about twice as large as equivalent gains (though the exact ratio varies by context).</w:t>
      </w:r>
    </w:p>
    <w:p>
      <w:pPr>
        <w:spacing w:after="100" w:before="0"/>
        <w:jc w:val="left"/>
      </w:pPr>
      <w:r>
        <w:rPr>
          <w:rFonts w:ascii="Georgia" w:cs="Georgia" w:eastAsia="Georgia" w:hAnsi="Georgia"/>
          <w:b/>
          <w:bCs/>
          <w:i w:val="false"/>
          <w:iCs w:val="false"/>
          <w:color w:val="8A1F1F"/>
          <w:sz w:val="21"/>
          <w:szCs w:val="21"/>
        </w:rPr>
        <w:t xml:space="preserve">6. </w:t>
      </w:r>
      <w:r>
        <w:rPr>
          <w:rFonts w:ascii="Georgia" w:cs="Georgia" w:eastAsia="Georgia" w:hAnsi="Georgia"/>
          <w:b w:val="false"/>
          <w:bCs w:val="false"/>
          <w:i w:val="false"/>
          <w:iCs w:val="false"/>
          <w:color w:val="1A1A1A"/>
          <w:sz w:val="21"/>
          <w:szCs w:val="21"/>
        </w:rPr>
        <w:t xml:space="preserve">Framing changes decisions even when the underlying facts don't change.</w:t>
      </w:r>
    </w:p>
    <w:p>
      <w:pPr>
        <w:spacing w:after="100" w:before="0"/>
        <w:jc w:val="left"/>
      </w:pPr>
      <w:r>
        <w:rPr>
          <w:rFonts w:ascii="Georgia" w:cs="Georgia" w:eastAsia="Georgia" w:hAnsi="Georgia"/>
          <w:b/>
          <w:bCs/>
          <w:i w:val="false"/>
          <w:iCs w:val="false"/>
          <w:color w:val="8A1F1F"/>
          <w:sz w:val="21"/>
          <w:szCs w:val="21"/>
        </w:rPr>
        <w:t xml:space="preserve">7. </w:t>
      </w:r>
      <w:r>
        <w:rPr>
          <w:rFonts w:ascii="Georgia" w:cs="Georgia" w:eastAsia="Georgia" w:hAnsi="Georgia"/>
          <w:b w:val="false"/>
          <w:bCs w:val="false"/>
          <w:i w:val="false"/>
          <w:iCs w:val="false"/>
          <w:color w:val="1A1A1A"/>
          <w:sz w:val="21"/>
          <w:szCs w:val="21"/>
        </w:rPr>
        <w:t xml:space="preserve">Confidence tracks narrative coherence, not accuracy — especially dangerous among experts in low-validity domains.</w:t>
      </w:r>
    </w:p>
    <w:p>
      <w:pPr>
        <w:spacing w:after="100" w:before="0"/>
        <w:jc w:val="left"/>
      </w:pPr>
      <w:r>
        <w:rPr>
          <w:rFonts w:ascii="Georgia" w:cs="Georgia" w:eastAsia="Georgia" w:hAnsi="Georgia"/>
          <w:b/>
          <w:bCs/>
          <w:i w:val="false"/>
          <w:iCs w:val="false"/>
          <w:color w:val="8A1F1F"/>
          <w:sz w:val="21"/>
          <w:szCs w:val="21"/>
        </w:rPr>
        <w:t xml:space="preserve">8. </w:t>
      </w:r>
      <w:r>
        <w:rPr>
          <w:rFonts w:ascii="Georgia" w:cs="Georgia" w:eastAsia="Georgia" w:hAnsi="Georgia"/>
          <w:b w:val="false"/>
          <w:bCs w:val="false"/>
          <w:i w:val="false"/>
          <w:iCs w:val="false"/>
          <w:color w:val="1A1A1A"/>
          <w:sz w:val="21"/>
          <w:szCs w:val="21"/>
        </w:rPr>
        <w:t xml:space="preserve">Simple statistical models frequently outperform unaided expert judgment where validated models exist; expert intuition is trustworthy mainly in high-validity, fast-feedback domains.</w:t>
      </w:r>
    </w:p>
    <w:p>
      <w:pPr>
        <w:spacing w:after="100" w:before="0"/>
        <w:jc w:val="left"/>
      </w:pPr>
      <w:r>
        <w:rPr>
          <w:rFonts w:ascii="Georgia" w:cs="Georgia" w:eastAsia="Georgia" w:hAnsi="Georgia"/>
          <w:b/>
          <w:bCs/>
          <w:i w:val="false"/>
          <w:iCs w:val="false"/>
          <w:color w:val="8A1F1F"/>
          <w:sz w:val="21"/>
          <w:szCs w:val="21"/>
        </w:rPr>
        <w:t xml:space="preserve">9. </w:t>
      </w:r>
      <w:r>
        <w:rPr>
          <w:rFonts w:ascii="Georgia" w:cs="Georgia" w:eastAsia="Georgia" w:hAnsi="Georgia"/>
          <w:b w:val="false"/>
          <w:bCs w:val="false"/>
          <w:i w:val="false"/>
          <w:iCs w:val="false"/>
          <w:color w:val="1A1A1A"/>
          <w:sz w:val="21"/>
          <w:szCs w:val="21"/>
        </w:rPr>
        <w:t xml:space="preserve">Regression to the mean is routinely mistaken for causation.</w:t>
      </w:r>
    </w:p>
    <w:p>
      <w:pPr>
        <w:spacing w:after="100" w:before="0"/>
        <w:jc w:val="left"/>
      </w:pPr>
      <w:r>
        <w:rPr>
          <w:rFonts w:ascii="Georgia" w:cs="Georgia" w:eastAsia="Georgia" w:hAnsi="Georgia"/>
          <w:b/>
          <w:bCs/>
          <w:i w:val="false"/>
          <w:iCs w:val="false"/>
          <w:color w:val="8A1F1F"/>
          <w:sz w:val="21"/>
          <w:szCs w:val="21"/>
        </w:rPr>
        <w:t xml:space="preserve">10. </w:t>
      </w:r>
      <w:r>
        <w:rPr>
          <w:rFonts w:ascii="Georgia" w:cs="Georgia" w:eastAsia="Georgia" w:hAnsi="Georgia"/>
          <w:b w:val="false"/>
          <w:bCs w:val="false"/>
          <w:i w:val="false"/>
          <w:iCs w:val="false"/>
          <w:color w:val="1A1A1A"/>
          <w:sz w:val="21"/>
          <w:szCs w:val="21"/>
        </w:rPr>
        <w:t xml:space="preserve">The experiencing self and the remembering self disagree about what makes an experience good, with memory dominated by peaks and endings, not duration.</w:t>
      </w:r>
    </w:p>
    <w:p>
      <w:pPr>
        <w:pStyle w:val="Heading1"/>
        <w:pBdr>
          <w:bottom w:val="single" w:color="B8B8B8" w:sz="6" w:space="6"/>
        </w:pBdr>
        <w:spacing w:after="200" w:before="480"/>
      </w:pPr>
      <w:r>
        <w:rPr>
          <w:rFonts w:ascii="Calibri" w:cs="Calibri" w:eastAsia="Calibri" w:hAnsi="Calibri"/>
          <w:b/>
          <w:bCs/>
          <w:color w:val="8A1F1F"/>
          <w:sz w:val="27"/>
          <w:szCs w:val="27"/>
        </w:rPr>
        <w:t xml:space="preserve">15. </w:t>
      </w:r>
      <w:r>
        <w:rPr>
          <w:rFonts w:ascii="Calibri" w:cs="Calibri" w:eastAsia="Calibri" w:hAnsi="Calibri"/>
          <w:b/>
          <w:bCs/>
          <w:color w:val="1A1A1A"/>
          <w:sz w:val="27"/>
          <w:szCs w:val="27"/>
        </w:rPr>
        <w:t xml:space="preserve">Final Assessment</w:t>
      </w:r>
    </w:p>
    <w:tbl>
      <w:tblPr>
        <w:tblW w:type="dxa" w:w="9350"/>
        <w:tblBorders>
          <w:top w:val="single" w:color="B8B8B8" w:sz="4"/>
          <w:left w:val="single" w:color="B8B8B8" w:sz="4"/>
          <w:bottom w:val="single" w:color="B8B8B8" w:sz="4"/>
          <w:right w:val="single" w:color="B8B8B8" w:sz="4"/>
          <w:insideH w:val="single" w:color="B8B8B8" w:sz="2"/>
          <w:insideV w:val="single" w:color="B8B8B8" w:sz="2"/>
        </w:tblBorders>
        <w:tblLayout w:type="fixed"/>
      </w:tblPr>
      <w:tblGrid>
        <w:gridCol w:w="4000"/>
        <w:gridCol w:w="5350"/>
      </w:tblGrid>
      <w:tr>
        <w:tc>
          <w:tcPr>
            <w:tcW w:type="dxa" w:w="40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Dimension</w:t>
            </w:r>
          </w:p>
        </w:tc>
        <w:tc>
          <w:tcPr>
            <w:tcW w:type="dxa" w:w="535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Rating</w:t>
            </w:r>
          </w:p>
        </w:tc>
      </w:tr>
      <w:tr>
        <w:tc>
          <w:tcPr>
            <w:tcW w:type="dxa" w:w="4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Intellectual depth</w:t>
            </w:r>
          </w:p>
        </w:tc>
        <w:tc>
          <w:tcPr>
            <w:tcW w:type="dxa" w:w="5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9/10</w:t>
            </w:r>
          </w:p>
        </w:tc>
      </w:tr>
      <w:tr>
        <w:tc>
          <w:tcPr>
            <w:tcW w:type="dxa" w:w="4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Practical usefulness</w:t>
            </w:r>
          </w:p>
        </w:tc>
        <w:tc>
          <w:tcPr>
            <w:tcW w:type="dxa" w:w="5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7/10</w:t>
            </w:r>
          </w:p>
        </w:tc>
      </w:tr>
      <w:tr>
        <w:tc>
          <w:tcPr>
            <w:tcW w:type="dxa" w:w="4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Evidence quality</w:t>
            </w:r>
          </w:p>
        </w:tc>
        <w:tc>
          <w:tcPr>
            <w:tcW w:type="dxa" w:w="5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6/10 — strong for core heuristics and prospect theory; weakened by post-2011 replication issues in priming and ego-depletion material</w:t>
            </w:r>
          </w:p>
        </w:tc>
      </w:tr>
      <w:tr>
        <w:tc>
          <w:tcPr>
            <w:tcW w:type="dxa" w:w="4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Originality</w:t>
            </w:r>
          </w:p>
        </w:tc>
        <w:tc>
          <w:tcPr>
            <w:tcW w:type="dxa" w:w="5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9/10 — synthesizes a genuinely field-founding research program</w:t>
            </w:r>
          </w:p>
        </w:tc>
      </w:tr>
      <w:tr>
        <w:tc>
          <w:tcPr>
            <w:tcW w:type="dxa" w:w="4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Modern relevance</w:t>
            </w:r>
          </w:p>
        </w:tc>
        <w:tc>
          <w:tcPr>
            <w:tcW w:type="dxa" w:w="5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8/10 — core framework still standard; some specific studies now superseded, including by the author's own later work</w:t>
            </w:r>
          </w:p>
        </w:tc>
      </w:tr>
      <w:tr>
        <w:tc>
          <w:tcPr>
            <w:tcW w:type="dxa" w:w="40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Overall value</w:t>
            </w:r>
          </w:p>
        </w:tc>
        <w:tc>
          <w:tcPr>
            <w:tcW w:type="dxa" w:w="53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8/10</w:t>
            </w:r>
          </w:p>
        </w:tc>
      </w:tr>
    </w:tbl>
    <w:p>
      <w:pPr>
        <w:spacing w:after="200" w:before="200"/>
      </w:pPr>
    </w:p>
    <w:p>
      <w:pPr>
        <w:spacing w:after="120" w:before="0"/>
        <w:jc w:val="left"/>
      </w:pPr>
      <w:r>
        <w:rPr>
          <w:rFonts w:ascii="Georgia" w:cs="Georgia" w:eastAsia="Georgia" w:hAnsi="Georgia"/>
          <w:b/>
          <w:bCs/>
          <w:i w:val="false"/>
          <w:iCs w:val="false"/>
          <w:color w:val="1A1A1A"/>
          <w:sz w:val="21"/>
          <w:szCs w:val="21"/>
        </w:rPr>
        <w:t xml:space="preserve">Who should read this book: </w:t>
      </w:r>
      <w:r>
        <w:rPr>
          <w:rFonts w:ascii="Georgia" w:cs="Georgia" w:eastAsia="Georgia" w:hAnsi="Georgia"/>
          <w:b w:val="false"/>
          <w:bCs w:val="false"/>
          <w:i w:val="false"/>
          <w:iCs w:val="false"/>
          <w:color w:val="1A1A1A"/>
          <w:sz w:val="21"/>
          <w:szCs w:val="21"/>
        </w:rPr>
        <w:t xml:space="preserve">Anyone making consequential decisions under uncertainty (managers, clinicians, investors, policymakers, designers) and anyone seeking a rigorous, field-founding account of judgment psychology rather than a popularized derivative of it.</w:t>
      </w:r>
    </w:p>
    <w:p>
      <w:pPr>
        <w:spacing w:after="120" w:before="0"/>
        <w:jc w:val="left"/>
      </w:pPr>
      <w:r>
        <w:rPr>
          <w:rFonts w:ascii="Georgia" w:cs="Georgia" w:eastAsia="Georgia" w:hAnsi="Georgia"/>
          <w:b/>
          <w:bCs/>
          <w:i w:val="false"/>
          <w:iCs w:val="false"/>
          <w:color w:val="1A1A1A"/>
          <w:sz w:val="21"/>
          <w:szCs w:val="21"/>
        </w:rPr>
        <w:t xml:space="preserve">Who probably doesn't need to read it: </w:t>
      </w:r>
      <w:r>
        <w:rPr>
          <w:rFonts w:ascii="Georgia" w:cs="Georgia" w:eastAsia="Georgia" w:hAnsi="Georgia"/>
          <w:b w:val="false"/>
          <w:bCs w:val="false"/>
          <w:i w:val="false"/>
          <w:iCs w:val="false"/>
          <w:color w:val="1A1A1A"/>
          <w:sz w:val="21"/>
          <w:szCs w:val="21"/>
        </w:rPr>
        <w:t xml:space="preserve">Readers who have already read multiple behavioral-economics popularizations (Thaler, Ariely, Gigerenzer) may find much of the content familiar, since it has heavily influenced the genre it helped create; those readers may prefer Kahneman's more recent “Noise” for material not covered here.</w:t>
      </w:r>
    </w:p>
    <w:p>
      <w:pPr>
        <w:pStyle w:val="Heading1"/>
        <w:pBdr>
          <w:bottom w:val="single" w:color="B8B8B8" w:sz="6" w:space="6"/>
        </w:pBdr>
        <w:spacing w:after="200" w:before="480"/>
      </w:pPr>
      <w:r>
        <w:rPr>
          <w:rFonts w:ascii="Calibri" w:cs="Calibri" w:eastAsia="Calibri" w:hAnsi="Calibri"/>
          <w:b/>
          <w:bCs/>
          <w:color w:val="8A1F1F"/>
          <w:sz w:val="27"/>
          <w:szCs w:val="27"/>
        </w:rPr>
        <w:t xml:space="preserve"/>
      </w:r>
      <w:r>
        <w:rPr>
          <w:rFonts w:ascii="Calibri" w:cs="Calibri" w:eastAsia="Calibri" w:hAnsi="Calibri"/>
          <w:b/>
          <w:bCs/>
          <w:color w:val="1A1A1A"/>
          <w:sz w:val="27"/>
          <w:szCs w:val="27"/>
        </w:rPr>
        <w:t xml:space="preserve">Appendix: Chapter-to-Concept Map</w:t>
      </w:r>
    </w:p>
    <w:tbl>
      <w:tblPr>
        <w:tblW w:type="dxa" w:w="9350"/>
        <w:tblBorders>
          <w:top w:val="single" w:color="B8B8B8" w:sz="4"/>
          <w:left w:val="single" w:color="B8B8B8" w:sz="4"/>
          <w:bottom w:val="single" w:color="B8B8B8" w:sz="4"/>
          <w:right w:val="single" w:color="B8B8B8" w:sz="4"/>
          <w:insideH w:val="single" w:color="B8B8B8" w:sz="2"/>
          <w:insideV w:val="single" w:color="B8B8B8" w:sz="2"/>
        </w:tblBorders>
        <w:tblLayout w:type="fixed"/>
      </w:tblPr>
      <w:tblGrid>
        <w:gridCol w:w="2800"/>
        <w:gridCol w:w="6550"/>
      </w:tblGrid>
      <w:tr>
        <w:tc>
          <w:tcPr>
            <w:tcW w:type="dxa" w:w="280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Book Part</w:t>
            </w:r>
          </w:p>
        </w:tc>
        <w:tc>
          <w:tcPr>
            <w:tcW w:type="dxa" w:w="6550"/>
            <w:shd w:fill="E8E8E8" w:val="clear"/>
            <w:tcMar>
              <w:top w:type="dxa" w:w="100"/>
              <w:left w:type="dxa" w:w="120"/>
              <w:bottom w:type="dxa" w:w="100"/>
              <w:right w:type="dxa" w:w="120"/>
            </w:tcMar>
            <w:vAlign w:val="top"/>
          </w:tcPr>
          <w:p>
            <w:pPr>
              <w:jc w:val="left"/>
            </w:pPr>
            <w:r>
              <w:rPr>
                <w:rFonts w:ascii="Calibri" w:cs="Calibri" w:eastAsia="Calibri" w:hAnsi="Calibri"/>
                <w:b/>
                <w:bCs/>
                <w:i w:val="false"/>
                <w:iCs w:val="false"/>
                <w:color w:val="1A1A1A"/>
                <w:sz w:val="19"/>
                <w:szCs w:val="19"/>
              </w:rPr>
              <w:t xml:space="preserve">Primary concepts introduced</w:t>
            </w:r>
          </w:p>
        </w:tc>
      </w:tr>
      <w:tr>
        <w:tc>
          <w:tcPr>
            <w:tcW w:type="dxa" w:w="28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 I — Two Systems</w:t>
            </w:r>
          </w:p>
        </w:tc>
        <w:tc>
          <w:tcPr>
            <w:tcW w:type="dxa" w:w="65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System 1 / System 2; associative coherence; cognitive ease; the lazy controller</w:t>
            </w:r>
          </w:p>
        </w:tc>
      </w:tr>
      <w:tr>
        <w:tc>
          <w:tcPr>
            <w:tcW w:type="dxa" w:w="28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 II — Heuristics and Biases</w:t>
            </w:r>
          </w:p>
        </w:tc>
        <w:tc>
          <w:tcPr>
            <w:tcW w:type="dxa" w:w="65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Anchoring; availability; representativeness; substitution; WYSIATI; regression to the mean; the illusion of validity</w:t>
            </w:r>
          </w:p>
        </w:tc>
      </w:tr>
      <w:tr>
        <w:tc>
          <w:tcPr>
            <w:tcW w:type="dxa" w:w="28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 III — Overconfidence</w:t>
            </w:r>
          </w:p>
        </w:tc>
        <w:tc>
          <w:tcPr>
            <w:tcW w:type="dxa" w:w="65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Narrative fallacy; hindsight bias; illusion of skill; clinical vs. algorithmic prediction; the outside view</w:t>
            </w:r>
          </w:p>
        </w:tc>
      </w:tr>
      <w:tr>
        <w:tc>
          <w:tcPr>
            <w:tcW w:type="dxa" w:w="28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 IV — Choices</w:t>
            </w:r>
          </w:p>
        </w:tc>
        <w:tc>
          <w:tcPr>
            <w:tcW w:type="dxa" w:w="65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Prospect theory; loss aversion; framing effects; the endowment effect; risk attitudes in gains vs. losses</w:t>
            </w:r>
          </w:p>
        </w:tc>
      </w:tr>
      <w:tr>
        <w:tc>
          <w:tcPr>
            <w:tcW w:type="dxa" w:w="280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Part V — Two Selves</w:t>
            </w:r>
          </w:p>
        </w:tc>
        <w:tc>
          <w:tcPr>
            <w:tcW w:type="dxa" w:w="6550"/>
            <w:tcMar>
              <w:top w:type="dxa" w:w="100"/>
              <w:left w:type="dxa" w:w="120"/>
              <w:bottom w:type="dxa" w:w="100"/>
              <w:right w:type="dxa" w:w="120"/>
            </w:tcMar>
            <w:vAlign w:val="top"/>
          </w:tcPr>
          <w:p>
            <w:pPr>
              <w:jc w:val="left"/>
            </w:pPr>
            <w:r>
              <w:rPr>
                <w:rFonts w:ascii="Calibri" w:cs="Calibri" w:eastAsia="Calibri" w:hAnsi="Calibri"/>
                <w:b w:val="false"/>
                <w:bCs w:val="false"/>
                <w:i w:val="false"/>
                <w:iCs w:val="false"/>
                <w:color w:val="1A1A1A"/>
                <w:sz w:val="19"/>
                <w:szCs w:val="19"/>
              </w:rPr>
              <w:t xml:space="preserve">Experiencing self vs. remembering self; peak-end rule; duration neglect; well-being measurement</w:t>
            </w:r>
          </w:p>
        </w:tc>
      </w:tr>
    </w:tbl>
    <w:sectPr>
      <w:headerReference w:type="default" r:id="rId7"/>
      <w:footerReference w:type="default" r:id="rId8"/>
      <w:pgSz w:w="12240" w:h="15840" w:orient="portrait"/>
      <w:pgMar w:top="1152"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B5B"/>
        <w:sz w:val="15"/>
        <w:szCs w:val="15"/>
      </w:rPr>
      <w:t xml:space="preserve">Page </w:t>
    </w:r>
    <w:r>
      <w:rPr>
        <w:rFonts w:ascii="Calibri" w:cs="Calibri" w:eastAsia="Calibri" w:hAnsi="Calibri"/>
        <w:color w:val="5B5B5B"/>
        <w:sz w:val="15"/>
        <w:szCs w:val="15"/>
      </w:rPr>
      <w:fldChar w:fldCharType="begin"/>
      <w:instrText xml:space="preserve">PAGE</w:instrText>
      <w:fldChar w:fldCharType="separate"/>
      <w:fldChar w:fldCharType="end"/>
    </w:r>
    <w:r>
      <w:rPr>
        <w:rFonts w:ascii="Calibri" w:cs="Calibri" w:eastAsia="Calibri" w:hAnsi="Calibri"/>
        <w:color w:val="5B5B5B"/>
        <w:sz w:val="15"/>
        <w:szCs w:val="15"/>
      </w:rPr>
      <w:t xml:space="preserve"> of </w:t>
    </w:r>
    <w:r>
      <w:rPr>
        <w:rFonts w:ascii="Calibri" w:cs="Calibri" w:eastAsia="Calibri" w:hAnsi="Calibri"/>
        <w:color w:val="5B5B5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B8B8" w:sz="4" w:space="4"/>
      </w:pBdr>
      <w:jc w:val="right"/>
    </w:pPr>
    <w:r>
      <w:rPr>
        <w:rFonts w:ascii="Calibri" w:cs="Calibri" w:eastAsia="Calibri" w:hAnsi="Calibri"/>
        <w:color w:val="5B5B5B"/>
        <w:sz w:val="15"/>
        <w:szCs w:val="15"/>
      </w:rPr>
      <w:t xml:space="preserve">THINKING, FAST AND SLOW — CRITICAL PRACTICAL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Calibri" w:cs="Calibri" w:eastAsia="Calibri" w:hAnsi="Calibri"/>
      <w:b/>
      <w:bCs/>
      <w:color w:val="1A1A1A"/>
      <w:sz w:val="27"/>
      <w:szCs w:val="27"/>
    </w:rPr>
  </w:style>
  <w:style w:type="paragraph" w:styleId="Heading2">
    <w:name w:val="Heading 2"/>
    <w:basedOn w:val="Normal"/>
    <w:next w:val="Normal"/>
    <w:qFormat/>
    <w:pPr>
      <w:spacing w:after="120" w:before="30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2026-08-26T13:29:55.867Z</dcterms:created>
  <dcterms:modified xsi:type="dcterms:W3CDTF">2026-08-26T13:29:55.882Z</dcterms:modified>
</cp:coreProperties>
</file>

<file path=docProps/custom.xml><?xml version="1.0" encoding="utf-8"?>
<Properties xmlns="http://schemas.openxmlformats.org/officeDocument/2006/custom-properties" xmlns:vt="http://schemas.openxmlformats.org/officeDocument/2006/docPropsVTypes"/>
</file>