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/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วันที่15เดือนมีนาคมพ.ศ.2568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ผู้เสียหายถูกทำร้ายภายในสถานบันเทิงหลังจากเกิดการกระทบกระทั่งเล็กน้อยเรื่องการเดินชนกัน ผู้ต้องหาใช้หมัดต่อยและเตะซ้ำหลายครั้งแม้ผู้เสียหายจะล้มลงแล้ว ส่งผลให้มีอาการบาดเจ็บที่ใบหน้า ฟกช้ำตามร่างกาย และซี่โครงร้าว มีพยานหลายคนเห็นเหตุการณ์และกล้องวงจรปิดสามารถบันทึกภาพได้ชัดเจน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ประมวลกฎหมายอาญา มาตรา 295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เห็นควรสั่งฟ้อง เนื่องจากพฤติการณ์รุนแรงและมีหลักฐานชัดเจน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