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ทำร้ายร่างกาย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วันที่19เดือนมกราคมพ.ศ.2568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เหตุเกิดภายในร้านอาหาร ผู้เสียหายเป็นลูกค้าที่เข้ามาใช้บริการ เกิดความเข้าใจผิดเรื่องการคิดเงินกับผู้ต้องหา ซึ่งเป็นลูกค้ารายอื่น ทำให้มีการโต้เถียงกันอย่างรุนแรง ผู้ต้องหาได้ใช้ขวดแก้วฟาดศีรษะผู้เสียหายจนแตกและมีเลือดไหลจำนวนมาก พนักงานร้านและลูกค้าหลายคนเป็นพยาน และมีภาพจากกล้องวงจรปิดบันทึกเหตุการณ์ไว้ครบถ้วน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295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เนื่องจากมีหลักฐานภาพและพยานบุคคลสนับสนุนอย่างชัดเจน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