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2026-04-07 เวลา 09:23 น.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ผู้ต้องหาใช้อาวุธมีดขู่และทำร้ายผู้เสียหายในบ้านพัก จนได้รับบาดเจ็บเล็กน้อยจากการถูกของมีคม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295 และมาตรา 371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ควรสั่งฟ้อง เนื่องจากมีหลักฐานทางการแพทย์และคำให้การสอดคล้องกัน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