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2025-03-12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ผู้ต้องหาใช้กำลังชกต่อยผู้เสียหายบริเวณหน้าร้านสะดวกซื้อ หลังเกิดการโต้เถียงเรื่องที่จอดรถ ส่งผลให้ผู้เสียหายได้รับบาดเจ็บที่ใบหน้าและลำตัว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295 ฐานทำร้ายร่างกายผู้อื่นจนเป็นเหตุให้เกิดอันตรายแก่กาย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เนื่องจากมีพยานบุคคลและภาพจากกล้องวงจรปิดยืนยันการกระทำผิด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