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2026-04-07 เวลา 11:46 น.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</w:t>
        <w:br/>
        <w:t xml:space="preserve"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ป.อาญา มาตรา 288: ฐานฆ่าผู้อื่น (โทษประหารชีวิต จำคุกตลอดชีวิต หรือจำคุก 15-20 ปี)</w:t>
        <w:br/>
        <w:t xml:space="preserve">พ.ร.บ.อาวุธปืนฯ: ครอบครองและใช้ปืนผิดกฎหมาย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ความเห็น: สั่งฟ้อง</w:t>
        <w:br/>
        <w:t xml:space="preserve">เหตุผล: พยานหลักฐานมัดตัวแน่นหนา ทั้งอาวุธปืนของกลาง คราบเขม่าปืนบนมือผู้ต้องหา และคำให้การรับสารภาพในชั้นสอบสวน พฤติการณ์เป็นการใช้ประทุษร้ายต่อชีวิตโดยเจตนาเล็งเห็นผล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