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นายสมชาย ใจดี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นายวิทยา แข็งแรง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วันที่15เดือนมกราคมพ.ศ.2568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เมื่อวันที่เกิดเหตุ ผู้ต้องหาและผู้เสียหายได้มีปากเสียงทะเลาะกันภายในร้านอาหารแห่งหนึ่ง เนื่องจากความขัดแย้งเรื่องหนี้สินส่วนตัว ต่อมาผู้ต้องหาเกิดความโมโห ใช้ขวดแก้วตีเข้าที่ศีรษะของผู้เสียหายอย่างรุนแรงหลายครั้งจนแตก ส่งผลให้ผู้เสียหายได้รับบาดเจ็บสาหัส มีบาดแผลฉีกขาดและเลือดออกจำนวนมาก ต้องเข้ารับการรักษาในโรงพยาบาลเป็นเวลาหลายวัน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ความผิดฐานทำร้ายร่างกายผู้อื่นจนเป็นเหตุให้ได้รับอันตรายสาหัส ตามประมวลกฎหมายอาญา มาตรา 297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พยานหลักฐานมีน้ำหนักเพียงพอ ทั้งพยานบุคคลในที่เกิดเหตุ กล้องวงจรปิด และรายงานแพทย์ เห็นควรสั่งฟ้องผู้ต้องหาต่อศาล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  <dc:identifier/>
  <dc:language/>
</cp:coreProperties>
</file>