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นายสมชาย ใจดี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นายวิชัย กล้าหาญ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2026-03-15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เมื่อวันที่ 15 มีนาคม 2569 เวลาประมาณ 20.30 น. ผู้ต้องหาได้มีปากเสียงกับผู้เสียหายบริเวณหน้าร้านสะดวกซื้อ ก่อนจะใช้อาวุธมีดทำร้ายผู้เสียหายบริเวณแขนขวา ทำให้ได้รับบาดเจ็บ ต้องเข้ารับการรักษาที่โรงพยาบาล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ความผิดฐานทำร้ายร่างกายผู้อื่นจนเป็นเหตุให้เกิดอันตรายแก่กาย ตามประมวลกฎหมายอาญา มาตรา 295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เห็นควรสั่งฟ้อง เนื่องจากพยานหลักฐานเพียงพอว่าผู้ต้องหาได้กระทำความผิดตามข้อกล่าวหา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