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2026-01-30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ผู้ต้องหาได้ใช้เท้าเตะผู้เสียหายหลายครั้ง ขณะมีการทะเลาะวิวาทกันบริเวณสนามกีฬา ทำให้ผู้เสียหายซี่โครงร้าว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ความผิดฐานทำร้ายร่างกายจนเป็นเหตุให้เกิดอันตรายแก่กาย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เนื่องจากมีรายงานแพทย์และพยานในที่เกิดเหตุ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