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นายณัฐพล อินทร์แก้ว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นายปรีชา ทองดี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2026-01-30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ผู้ต้องหาได้ใช้เท้าเตะผู้เสียหายหลายครั้ง ขณะมีการทะเลาะวิวาทกันบริเวณสนามกีฬา ทำให้ผู้เสียหายซี่โครงร้าว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ความผิดฐานทำร้ายร่างกายจนเป็นเหตุให้เกิดอันตรายแก่กาย ตามประมวลกฎหมายอาญา มาตรา 295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เนื่องจากมีรายงานแพทย์และพยานในที่เกิดเหตุ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