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2026-03-15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เมื่อวันที่ 15 มีนาคม 2569 เวลาประมาณ 20.30 น. ผู้ต้องหาได้มีปากเสียงกับผู้เสียหายบริเวณหน้าร้านสะดวกซื้อ ก่อนจะใช้อาวุธมีดทำร้ายผู้เสียหายบริเวณแขนขวา ทำให้ได้รับบาดเจ็บ ต้องเข้ารับการรักษาที่โรงพยาบาล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ความผิดฐานทำร้ายร่างกายผู้อื่นจนเป็นเหตุให้เกิดอันตรายแก่กาย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เนื่องจากพยานหลักฐานเพียงพอว่าผู้ต้องหาได้กระทำความผิดตามข้อกล่าวหา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