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นางสาวพิมพ์ชนก แสงทอง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นายธนพล ใจร้อน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2026-02-10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ผู้ต้องหาได้ใช้กำลังชกต่อยผู้เสียหายภายในสถานบันเทิงแห่งหนึ่ง หลังเกิดการโต้เถียงกัน ทำให้ผู้เสียหายมีบาดแผลฟกช้ำบริเวณใบหน้าและลำตัว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เนื่องจากมีพยานบุคคลและกล้องวงจรปิดยืนยันเหตุการณ์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