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2026-02-10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ผู้ต้องหาได้ใช้กำลังชกต่อยผู้เสียหายภายในสถานบันเทิงแห่งหนึ่ง หลังเกิดการโต้เถียงกัน ทำให้ผู้เสียหายมีบาดแผลฟกช้ำบริเวณใบหน้าและลำตัว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ความผิดฐานทำร้ายร่างกาย ตามประมวลกฎหมายอาญา มาตรา 295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ควรสั่งฟ้อง เนื่องจากมีพยานบุคคลและกล้องวงจรปิดยืนยันเหตุการณ์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