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นางสาวสุภาวดี รุ่งเรือง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นายกิตติชัย ใจเด็ด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2026-03-01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ผู้ต้องหาได้ผลักผู้เสียหายล้มลงระหว่างมีปากเสียงกันในตลาด ส่งผลให้ผู้เสียหายแขนหักและต้องเข้ารับการรักษา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ความผิดฐานทำร้ายร่างกายเป็นเหตุให้เกิดอันตรายแก่กาย ตามประมวลกฎหมายอาญา มาตรา 295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ควรสั่งฟ้อง เนื่องจากพยานหลักฐานครบถ้วนและมีรายงานแพทย์ยืนยันการบาดเจ็บ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