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2026-03-01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ผู้ต้องหาได้ผลักผู้เสียหายล้มลงระหว่างมีปากเสียงกันในตลาด ส่งผลให้ผู้เสียหายแขนหักและต้องเข้ารับการรักษา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ความผิดฐานทำร้ายร่างกายเป็นเหตุให้เกิดอันตรายแก่กาย ตามประมวลกฎหมายอาญา มาตรา 295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เนื่องจากพยานหลักฐานครบถ้วนและมีรายงานแพทย์ยืนยันการบาดเจ็บ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