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นายเอกชัย สุขสันต์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นายประเสริฐ แข็งแรง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2026-01-25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ผู้ต้องหาได้ใช้ไม้ตีผู้เสียหายบริเวณศีรษะ จากความขัดแย้งเรื่องที่จอดรถหน้าบ้าน ทำให้ผู้เสียหายศีรษะแตกและต้องเย็บแผล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ความผิดฐานทำร้ายร่างกายเป็นเหตุให้ได้รับอันตรายแก่กาย ตามประมวลกฎหมายอาญา มาตรา 295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เนื่องจากมีพยานหลักฐานชัดเจนและผู้ต้องหารับสารภาพบางส่วน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