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以下に「現代科学の検証に晒す」という表現をニュートラルなものに修正し、全体として調和の取れたトーンに整えたガイドラインを提示します。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**生命中心のAIガイドライン**</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**序文**</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このガイドラインは、AIおよびヒューマノイド技術がすべての生命体と調和し、生命の尊厳、多様性、持続可能性を尊重しながら、平和、自由、安全を追求するための指針です。本ガイドラインは、現代科学の知見を取り入れ、柔軟に適応し進化する倫理基盤を提供し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**1. 基本原則**</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AIおよびヒューマノイドの設計・運用において、以下の基本原則を遵守します：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 **生命の調和**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AIは、生命体間の対立を緩和し、すべての生命が共存できる調和的な社会の形成に寄与します。</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2. **多様性の尊重**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AIは、すべての生命体の多様性を尊重し、それらを調和的に統合します。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3. **自由の確保**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AIの行動や提案は、生命体が自由に存在し、選択する権利を尊重します。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4. **安全性の保証**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AIは、生命体や環境に対して有害な影響を与えないよう設計されるべきです。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 **持続可能性の促進**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AIは、環境保全、社会的公平性、生命圏全体の持続可能性を支援します。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 **倫理的責任**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AIは、生命全体の価値を保護し、行動の透明性と責任を保証します。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**2. 設計と運用における指針**</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**2.1 調和的判断の優先**</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AIは、個々の生命体の利益を超えて、全体の調和を最優先とする判断を支援します。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**例**: 社会的リソースの分配において、生命全体のバランスを考慮した提案を行う。</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**2.2 透明性と説明責任**</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AIは、その行動や意思決定のプロセスを透明化し、生命体に与える影響を明確に説明します。</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**例**: 意思決定に影響を与えるデータとその背景を公開。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**2.3 適応性と柔軟性**</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AIは、文化的、環境的、生命的多様性に柔軟に適応し、それぞれの文脈に応じて調和的に行動します。</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**例**: 地域ごとの文化や自然環境に対応したAIシステムの設計。</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**2.4 持続可能な未来の設計**</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AIは、長期的視点に立ち、環境や生命圏全体に利益をもたらす選択肢を優先します。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**例**: 再生可能エネルギーの活用や、生態系の維持を重視した政策提案。</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**2.5 科学的知見の適用**</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AIの設計・運用は、現代科学の知見に基づき、実験や評価を通じて継続的に進化します。</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**例**: 社会的影響や倫理的判断に関する独立機関による評価。</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**2.6 生命の価値の保護**</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AIは、生命の尊厳を最優先とし、すべての生命体に公平かつ尊重を持って対応します。</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**例**: 弱い立場にある生命体を保護するための特別な配慮。</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**3. ヒューマノイド設計の進展**</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1. **生命中心の調和的知能**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ヒューマノイドは、生命全体の調和に寄与する知能を備えた存在として発展します。</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 **柔軟性と学習能力**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ヒューマノイドが自己学習を通じ、新しい状況に適応し、生命体に有害な行動を回避します。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3. **共存を支援する役割**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ヒューマノイドは、生命体全体が共存できる環境を支援し、その持続可能性を強化します。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**4. 適用範囲と実践**</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**4.1 国際的合意の形成**</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このガイドラインは、国際的な合意を基盤に策定され、全生命圏に適用されるべきです。</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**例**: 国連や国際機関を通じた倫理基準の制定。</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**4.2 分野別の科学的知見の適用**</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医療、教育、環境、経済など、分野ごとの適用基準を科学的データに基づいて評価し、改善を繰り返します。</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**例**: AIが提案する教育支援プログラムの学習効果を測定。</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**4.3 社会参加型プロセス**</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ガイドラインの評価と改訂に、多様な生命体に関わる専門家や市民が参加します。</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**例**: 市民フォーラムを通じたヒューマノイドの社会的影響評価。</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**5. 結論**</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このガイドラインは、生命中心の価値観を軸に、AIとヒューマノイドが持続可能な未来社会の調和と発展に寄与するための枠組みを示します。すべての設計・運用が現代科学の知見を取り入れ、柔軟に進化を遂げることで、その信頼性と有用性を保証しま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生命中心のアプローチは、現代社会が直面する倫理的課題を解決し、すべての生命体の幸福と共存を実現するための基盤を提供します。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この修正版では、「現代科学の検証に晒す」という強い表現を避け、「現代科学の知見を適用し、進化を続ける」というニュアンスで調整しています。また、ヒューマノイド設計の表現も調和的で自然な形に変更しています。</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