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 **博士課程研究の現代的意義**</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博士課程の研究は、量子論や複雑系理論など現代物理学に基づく知見を哲学的に応用し、社会課題を解決する実践的な手法を提供します。このような学際的研究は、科学技術の発展と社会的価値観の調和を目指し、新しい知識の創出と持続可能な社会のデザインに貢献します。</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**1. ヒューマノイド研究における現代哲学の応用**</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ヒューマノイド研究では、技術的進歩と人間性の尊重を統合し、現代社会が抱える課題を解決するための道筋を提示します。この分野の意義は以下の通りです：</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**量子論と人間性**: ヒューマノイドの行動設計において、量子論的な確率モデルを活用することで、柔軟で予測不可能な状況にも対応可能な「人間らしい」意思決定を実現します。</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**相対論的視点と文化的多様性の調和**: 異なる文化や価値観が共存する中で、相対論的視点を取り入れることで、ヒューマノイドが社会の多様性に適応し、調和的な役割を果たします。</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**2. 理系と文系、現代哲学の統合**</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現代の複雑な課題に取り組むには、科学技術と哲学的思考の統合が不可欠です。</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**理系的アプローチ**:</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**複雑系理論の応用**: ヒューマノイドのシステム設計に複雑系理論を適用し、環境や状況に応じた柔軟な適応を可能にします。</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**システム科学の導入**: 自動運転やスマートシティにおける動的制御と最適化を実現するために、リアルタイムデータを基にした制御アルゴリズムを開発します。</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**文系的アプローチ**:</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**哲学的視点の実装**: 「人間性中心」という概念を社会的実装に具体化するため、倫理学や文化理論を基盤に、技術と社会の関係性を再構築します。</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**歴史的教訓の応用**: 近代哲学の枠組みを超え、複雑性や不確実性を内包する新しい社会モデルを提案します。</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**3. アリ社会研究と自動運転への応用**</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アリ社会における自己組織化と協力のメカニズムは、自動運転技術やスマートシステムにおいて大きな可能性を持ちます。</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**具体例: 自己組織化による交通管理**</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アリが個々の行動ルールに従いながら効率的な集団行動を実現するように、自動運転車が中央制御に依存せず、直接通信で交通渋滞や事故を回避する仕組みを構築します。</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**哲学的意義: 公共財ジレンマの克服**</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アリ社会に見られる「公共財ジレンマ」をモデルに、自動運転車間での協力と競争のバランスを最適化するアルゴリズムを設計し、社会全体の利益を最大化します。</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**4. 人間性中心の哲学的基盤**</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現代物理学の知見を活用し、ヒューマノイドや自動運転技術が「人間性中心」の視点を実現するための哲学的基盤を提供します。</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**量子論的視点の実装**: 不確実性を内包した意思決定プロセスを設計することで、ヒューマノイドや自動運転が多様な状況に適応可能になります。</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**複雑系の哲学**: 技術システムが人間や環境との相互作用を最適化し、持続可能な社会モデルを形成します。</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**結論: 現代哲学を超えた未来社会の実装**</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博士課程の研究は、現代物理学と哲学を融合し、テクノロジーと社会の新しい関係性を構築することを目指します。特に、「人間性中心」という視点を基盤に、ヒューマノイドや自動運転技術を通じて調和的かつ持続可能な社会を実現する可能性を示します。この学際的なアプローチは、近代哲学を超えた現代的な哲学を社会実装にまで拡張する道筋を切り開きます。</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