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2B781" w14:textId="77777777" w:rsidR="00560970" w:rsidRDefault="00560970">
      <w:pPr>
        <w:pStyle w:val="BodyText"/>
        <w:spacing w:after="0" w:line="240" w:lineRule="auto"/>
        <w:jc w:val="center"/>
        <w:rPr>
          <w:rFonts w:ascii="Titillium Web" w:hAnsi="Titillium Web"/>
          <w:b/>
          <w:bCs/>
          <w:sz w:val="28"/>
          <w:szCs w:val="28"/>
        </w:rPr>
      </w:pPr>
    </w:p>
    <w:p w14:paraId="4BE699F8" w14:textId="77777777" w:rsidR="00560970" w:rsidRDefault="00332CE7">
      <w:pPr>
        <w:pStyle w:val="BodyText"/>
        <w:spacing w:after="0" w:line="240" w:lineRule="auto"/>
        <w:jc w:val="center"/>
        <w:rPr>
          <w:rFonts w:ascii="Titillium Web" w:hAnsi="Titillium Web"/>
          <w:b/>
          <w:bCs/>
          <w:sz w:val="30"/>
          <w:szCs w:val="30"/>
        </w:rPr>
      </w:pPr>
      <w:r>
        <w:rPr>
          <w:rFonts w:ascii="Titillium Web" w:hAnsi="Titillium Web"/>
          <w:b/>
          <w:bCs/>
          <w:sz w:val="30"/>
          <w:szCs w:val="30"/>
        </w:rPr>
        <w:t>JELURIDA PUBLIC LICENSE FOR THE RYA</w:t>
      </w:r>
      <w:r>
        <w:rPr>
          <w:rFonts w:ascii="Titillium Web" w:hAnsi="Titillium Web"/>
          <w:b/>
          <w:bCs/>
          <w:sz w:val="30"/>
          <w:szCs w:val="30"/>
        </w:rPr>
        <w:t xml:space="preserve"> PLATFORM</w:t>
      </w:r>
    </w:p>
    <w:p w14:paraId="68AD8B38" w14:textId="77777777" w:rsidR="00560970" w:rsidRDefault="00560970">
      <w:pPr>
        <w:pStyle w:val="BodyText"/>
        <w:spacing w:after="0" w:line="240" w:lineRule="auto"/>
        <w:jc w:val="both"/>
        <w:rPr>
          <w:rFonts w:ascii="Titillium Web" w:hAnsi="Titillium Web"/>
          <w:b/>
          <w:bCs/>
          <w:sz w:val="28"/>
          <w:szCs w:val="28"/>
        </w:rPr>
      </w:pPr>
    </w:p>
    <w:p w14:paraId="64C2D229" w14:textId="77777777" w:rsidR="00560970" w:rsidRDefault="00560970">
      <w:pPr>
        <w:pStyle w:val="BodyText"/>
        <w:spacing w:after="0" w:line="240" w:lineRule="auto"/>
        <w:jc w:val="both"/>
        <w:rPr>
          <w:rFonts w:ascii="Titillium Web" w:hAnsi="Titillium Web"/>
          <w:b/>
          <w:bCs/>
          <w:sz w:val="28"/>
          <w:szCs w:val="28"/>
        </w:rPr>
      </w:pPr>
    </w:p>
    <w:p w14:paraId="21056189" w14:textId="77777777" w:rsidR="00560970" w:rsidRDefault="00332CE7">
      <w:pPr>
        <w:pStyle w:val="BodyText"/>
        <w:spacing w:after="0" w:line="240" w:lineRule="auto"/>
        <w:jc w:val="both"/>
      </w:pPr>
      <w:r>
        <w:rPr>
          <w:rFonts w:ascii="Titillium Web" w:hAnsi="Titillium Web"/>
          <w:b/>
          <w:bCs/>
          <w:sz w:val="28"/>
          <w:szCs w:val="28"/>
        </w:rPr>
        <w:t>TERMS AND CONDITIONS</w:t>
      </w:r>
    </w:p>
    <w:p w14:paraId="667B9B29" w14:textId="77777777" w:rsidR="00560970" w:rsidRDefault="00560970">
      <w:pPr>
        <w:pStyle w:val="BodyText"/>
        <w:spacing w:after="0" w:line="240" w:lineRule="auto"/>
        <w:jc w:val="both"/>
        <w:rPr>
          <w:rFonts w:ascii="Titillium Web" w:hAnsi="Titillium Web"/>
        </w:rPr>
      </w:pPr>
    </w:p>
    <w:p w14:paraId="2EFC5E4B" w14:textId="77777777" w:rsidR="00560970" w:rsidRDefault="00332CE7">
      <w:pPr>
        <w:pStyle w:val="BodyText"/>
        <w:spacing w:after="0" w:line="240" w:lineRule="auto"/>
        <w:jc w:val="both"/>
      </w:pPr>
      <w:r>
        <w:rPr>
          <w:rFonts w:ascii="Titillium Web" w:hAnsi="Titillium Web"/>
          <w:b/>
          <w:bCs/>
          <w:sz w:val="26"/>
          <w:szCs w:val="26"/>
        </w:rPr>
        <w:t>I. General Conditions</w:t>
      </w:r>
    </w:p>
    <w:p w14:paraId="22BA3A64" w14:textId="77777777" w:rsidR="00560970" w:rsidRDefault="00560970">
      <w:pPr>
        <w:pStyle w:val="BodyText"/>
        <w:spacing w:after="0" w:line="240" w:lineRule="auto"/>
        <w:jc w:val="both"/>
        <w:rPr>
          <w:rFonts w:ascii="Titillium Web" w:hAnsi="Titillium Web"/>
        </w:rPr>
      </w:pPr>
    </w:p>
    <w:p w14:paraId="5D5ECB51" w14:textId="77777777" w:rsidR="00560970" w:rsidRDefault="00332CE7">
      <w:pPr>
        <w:pStyle w:val="BodyText"/>
        <w:spacing w:after="0" w:line="240" w:lineRule="auto"/>
        <w:jc w:val="both"/>
      </w:pPr>
      <w:r>
        <w:rPr>
          <w:rFonts w:ascii="Titillium Web" w:hAnsi="Titillium Web"/>
          <w:b/>
          <w:bCs/>
          <w:i/>
          <w:iCs/>
        </w:rPr>
        <w:t>Introduction</w:t>
      </w:r>
    </w:p>
    <w:p w14:paraId="18AADD16" w14:textId="77777777" w:rsidR="00560970" w:rsidRDefault="00560970">
      <w:pPr>
        <w:pStyle w:val="BodyText"/>
        <w:spacing w:after="0" w:line="240" w:lineRule="auto"/>
        <w:jc w:val="both"/>
        <w:rPr>
          <w:rFonts w:ascii="Titillium Web" w:hAnsi="Titillium Web"/>
        </w:rPr>
      </w:pPr>
    </w:p>
    <w:p w14:paraId="6DF055BA" w14:textId="77777777" w:rsidR="00560970" w:rsidRDefault="00332CE7">
      <w:pPr>
        <w:pStyle w:val="BodyText"/>
        <w:spacing w:after="0" w:line="240" w:lineRule="auto"/>
        <w:jc w:val="both"/>
      </w:pPr>
      <w:r>
        <w:rPr>
          <w:rFonts w:ascii="Titillium Web" w:hAnsi="Titillium Web"/>
          <w:i/>
          <w:iCs/>
        </w:rPr>
        <w:t xml:space="preserve">The existent </w:t>
      </w:r>
      <w:proofErr w:type="spellStart"/>
      <w:r>
        <w:rPr>
          <w:rFonts w:ascii="Titillium Web" w:hAnsi="Titillium Web"/>
          <w:i/>
          <w:iCs/>
        </w:rPr>
        <w:t>copyleft</w:t>
      </w:r>
      <w:proofErr w:type="spellEnd"/>
      <w:r>
        <w:rPr>
          <w:rFonts w:ascii="Titillium Web" w:hAnsi="Titillium Web"/>
          <w:i/>
          <w:iCs/>
        </w:rPr>
        <w:t xml:space="preserve"> licensing models were designed to protect the value of the </w:t>
      </w:r>
      <w:proofErr w:type="gramStart"/>
      <w:r>
        <w:rPr>
          <w:rFonts w:ascii="Titillium Web" w:hAnsi="Titillium Web"/>
          <w:i/>
          <w:iCs/>
        </w:rPr>
        <w:t>code which</w:t>
      </w:r>
      <w:proofErr w:type="gramEnd"/>
      <w:r>
        <w:rPr>
          <w:rFonts w:ascii="Titillium Web" w:hAnsi="Titillium Web"/>
          <w:i/>
          <w:iCs/>
        </w:rPr>
        <w:t xml:space="preserve"> is created in open source projects. They make sure anyone who builds on top of this code also releases their code under the same </w:t>
      </w:r>
      <w:proofErr w:type="spellStart"/>
      <w:r>
        <w:rPr>
          <w:rFonts w:ascii="Titillium Web" w:hAnsi="Titillium Web"/>
          <w:i/>
          <w:iCs/>
        </w:rPr>
        <w:t>copyleft</w:t>
      </w:r>
      <w:proofErr w:type="spellEnd"/>
      <w:r>
        <w:rPr>
          <w:rFonts w:ascii="Titillium Web" w:hAnsi="Titillium Web"/>
          <w:i/>
          <w:iCs/>
        </w:rPr>
        <w:t xml:space="preserve"> license, thus sharing back with the community a</w:t>
      </w:r>
      <w:r>
        <w:rPr>
          <w:rFonts w:ascii="Titillium Web" w:hAnsi="Titillium Web"/>
          <w:i/>
          <w:iCs/>
        </w:rPr>
        <w:t>nd the developers of the original project the added value of the derived work.</w:t>
      </w:r>
    </w:p>
    <w:p w14:paraId="3815BE60" w14:textId="77777777" w:rsidR="00560970" w:rsidRDefault="00332CE7">
      <w:pPr>
        <w:pStyle w:val="BodyText"/>
        <w:spacing w:after="0" w:line="240" w:lineRule="auto"/>
        <w:jc w:val="both"/>
      </w:pPr>
      <w:proofErr w:type="spellStart"/>
      <w:r>
        <w:rPr>
          <w:rFonts w:ascii="Titillium Web" w:hAnsi="Titillium Web"/>
          <w:i/>
          <w:iCs/>
        </w:rPr>
        <w:t>Copyleft</w:t>
      </w:r>
      <w:proofErr w:type="spellEnd"/>
      <w:r>
        <w:rPr>
          <w:rFonts w:ascii="Titillium Web" w:hAnsi="Titillium Web"/>
          <w:i/>
          <w:iCs/>
        </w:rPr>
        <w:t xml:space="preserve"> licenses however were created long before crypto currency and </w:t>
      </w:r>
      <w:proofErr w:type="spellStart"/>
      <w:r>
        <w:rPr>
          <w:rFonts w:ascii="Titillium Web" w:hAnsi="Titillium Web"/>
          <w:i/>
          <w:iCs/>
        </w:rPr>
        <w:t>blockchain</w:t>
      </w:r>
      <w:proofErr w:type="spellEnd"/>
      <w:r>
        <w:rPr>
          <w:rFonts w:ascii="Titillium Web" w:hAnsi="Titillium Web"/>
          <w:i/>
          <w:iCs/>
        </w:rPr>
        <w:t xml:space="preserve"> technologies appeared, and could not have anticipated the fact that today the value of an open </w:t>
      </w:r>
      <w:r>
        <w:rPr>
          <w:rFonts w:ascii="Titillium Web" w:hAnsi="Titillium Web"/>
          <w:i/>
          <w:iCs/>
        </w:rPr>
        <w:t xml:space="preserve">source distributed ledger project is contained not only in the program code being written, but in the unique public </w:t>
      </w:r>
      <w:proofErr w:type="spellStart"/>
      <w:r>
        <w:rPr>
          <w:rFonts w:ascii="Titillium Web" w:hAnsi="Titillium Web"/>
          <w:i/>
          <w:iCs/>
        </w:rPr>
        <w:t>blockchain</w:t>
      </w:r>
      <w:proofErr w:type="spellEnd"/>
      <w:r>
        <w:rPr>
          <w:rFonts w:ascii="Titillium Web" w:hAnsi="Titillium Web"/>
          <w:i/>
          <w:iCs/>
        </w:rPr>
        <w:t xml:space="preserve"> instance or crypto currency token, maintained by this project, with its developers, community and holders sharing the common inte</w:t>
      </w:r>
      <w:r>
        <w:rPr>
          <w:rFonts w:ascii="Titillium Web" w:hAnsi="Titillium Web"/>
          <w:i/>
          <w:iCs/>
        </w:rPr>
        <w:t xml:space="preserve">rest to preserve and increase the value of this </w:t>
      </w:r>
      <w:proofErr w:type="spellStart"/>
      <w:r>
        <w:rPr>
          <w:rFonts w:ascii="Titillium Web" w:hAnsi="Titillium Web"/>
          <w:i/>
          <w:iCs/>
        </w:rPr>
        <w:t>blockchain</w:t>
      </w:r>
      <w:proofErr w:type="spellEnd"/>
      <w:r>
        <w:rPr>
          <w:rFonts w:ascii="Titillium Web" w:hAnsi="Titillium Web"/>
          <w:i/>
          <w:iCs/>
        </w:rPr>
        <w:t xml:space="preserve"> token.</w:t>
      </w:r>
    </w:p>
    <w:p w14:paraId="353541D1" w14:textId="77777777" w:rsidR="00560970" w:rsidRDefault="00332CE7">
      <w:pPr>
        <w:pStyle w:val="BodyText"/>
        <w:spacing w:after="0" w:line="240" w:lineRule="auto"/>
        <w:jc w:val="both"/>
      </w:pPr>
      <w:r>
        <w:rPr>
          <w:rFonts w:ascii="Titillium Web" w:hAnsi="Titillium Web"/>
          <w:i/>
          <w:iCs/>
        </w:rPr>
        <w:t xml:space="preserve">Crypto currency tokens today have value of their own, people can buy, sell and invest in them and the unlimited permission of cloning the existing </w:t>
      </w:r>
      <w:proofErr w:type="spellStart"/>
      <w:r>
        <w:rPr>
          <w:rFonts w:ascii="Titillium Web" w:hAnsi="Titillium Web"/>
          <w:i/>
          <w:iCs/>
        </w:rPr>
        <w:t>blockchain</w:t>
      </w:r>
      <w:proofErr w:type="spellEnd"/>
      <w:r>
        <w:rPr>
          <w:rFonts w:ascii="Titillium Web" w:hAnsi="Titillium Web"/>
          <w:i/>
          <w:iCs/>
        </w:rPr>
        <w:t xml:space="preserve"> platforms and creating new coins</w:t>
      </w:r>
      <w:r>
        <w:rPr>
          <w:rFonts w:ascii="Titillium Web" w:hAnsi="Titillium Web"/>
          <w:i/>
          <w:iCs/>
        </w:rPr>
        <w:t xml:space="preserve"> inevitably results in decreasing the value of the original tokens.</w:t>
      </w:r>
    </w:p>
    <w:p w14:paraId="572AB9B4" w14:textId="77777777" w:rsidR="00560970" w:rsidRDefault="00332CE7">
      <w:pPr>
        <w:pStyle w:val="BodyText"/>
        <w:spacing w:after="0" w:line="240" w:lineRule="auto"/>
        <w:jc w:val="both"/>
      </w:pPr>
      <w:r>
        <w:rPr>
          <w:rFonts w:ascii="Titillium Web" w:hAnsi="Titillium Web"/>
          <w:i/>
          <w:iCs/>
        </w:rPr>
        <w:t xml:space="preserve">Crypto currency tokens are also </w:t>
      </w:r>
      <w:proofErr w:type="gramStart"/>
      <w:r>
        <w:rPr>
          <w:rFonts w:ascii="Titillium Web" w:hAnsi="Titillium Web"/>
          <w:i/>
          <w:iCs/>
        </w:rPr>
        <w:t>an inseparable</w:t>
      </w:r>
      <w:proofErr w:type="gramEnd"/>
      <w:r>
        <w:rPr>
          <w:rFonts w:ascii="Titillium Web" w:hAnsi="Titillium Web"/>
          <w:i/>
          <w:iCs/>
        </w:rPr>
        <w:t xml:space="preserve"> part of each distributed ledger software, without which such software cannot really be used. Ensuring that a clone project shares back the mo</w:t>
      </w:r>
      <w:r>
        <w:rPr>
          <w:rFonts w:ascii="Titillium Web" w:hAnsi="Titillium Web"/>
          <w:i/>
          <w:iCs/>
        </w:rPr>
        <w:t xml:space="preserve">dified source code is no longer sufficient to allow the users of the original project access to that derived work, unless they are also allocated some of the newly created tokens in the clone </w:t>
      </w:r>
      <w:proofErr w:type="spellStart"/>
      <w:r>
        <w:rPr>
          <w:rFonts w:ascii="Titillium Web" w:hAnsi="Titillium Web"/>
          <w:i/>
          <w:iCs/>
        </w:rPr>
        <w:t>blockchain</w:t>
      </w:r>
      <w:proofErr w:type="spellEnd"/>
      <w:r>
        <w:rPr>
          <w:rFonts w:ascii="Titillium Web" w:hAnsi="Titillium Web"/>
          <w:i/>
          <w:iCs/>
        </w:rPr>
        <w:t xml:space="preserve"> instance. Thus such allocation is important in order </w:t>
      </w:r>
      <w:r>
        <w:rPr>
          <w:rFonts w:ascii="Titillium Web" w:hAnsi="Titillium Web"/>
          <w:i/>
          <w:iCs/>
        </w:rPr>
        <w:t>to preserve not only the value of the original tokens, but also to preserve the users freedom to use any works derived from the original software.</w:t>
      </w:r>
    </w:p>
    <w:p w14:paraId="1D2312DF" w14:textId="77777777" w:rsidR="00560970" w:rsidRDefault="00332CE7">
      <w:pPr>
        <w:pStyle w:val="BodyText"/>
        <w:spacing w:after="0" w:line="240" w:lineRule="auto"/>
        <w:jc w:val="both"/>
      </w:pPr>
      <w:r>
        <w:rPr>
          <w:rFonts w:ascii="Titillium Web" w:hAnsi="Titillium Web"/>
          <w:i/>
          <w:iCs/>
        </w:rPr>
        <w:t>With the above being said, the terms and conditions for using, copying and modification of distributed ledger</w:t>
      </w:r>
      <w:r>
        <w:rPr>
          <w:rFonts w:ascii="Titillium Web" w:hAnsi="Titillium Web"/>
          <w:i/>
          <w:iCs/>
        </w:rPr>
        <w:t xml:space="preserve"> software programs are outlined below, called the </w:t>
      </w:r>
      <w:proofErr w:type="spellStart"/>
      <w:r>
        <w:rPr>
          <w:rFonts w:ascii="Titillium Web" w:hAnsi="Titillium Web"/>
          <w:i/>
          <w:iCs/>
        </w:rPr>
        <w:t>Jelurida</w:t>
      </w:r>
      <w:proofErr w:type="spellEnd"/>
      <w:r>
        <w:rPr>
          <w:rFonts w:ascii="Titillium Web" w:hAnsi="Titillium Web"/>
          <w:i/>
          <w:iCs/>
        </w:rPr>
        <w:t xml:space="preserve"> Public License (JPL). The JPL is inspired by the GNU General Public License versions 2 and 3, with adaptations specifically aimed at application of the license to distributed ledger software progra</w:t>
      </w:r>
      <w:r>
        <w:rPr>
          <w:rFonts w:ascii="Titillium Web" w:hAnsi="Titillium Web"/>
          <w:i/>
          <w:iCs/>
        </w:rPr>
        <w:t>ms; as such the GNU General Public License and any other license terms and conditions other than this JPL are explicitly excluded.</w:t>
      </w:r>
    </w:p>
    <w:p w14:paraId="6597BEBD" w14:textId="77777777" w:rsidR="00560970" w:rsidRDefault="00560970">
      <w:pPr>
        <w:pStyle w:val="BodyText"/>
        <w:spacing w:after="0" w:line="240" w:lineRule="auto"/>
        <w:jc w:val="both"/>
        <w:rPr>
          <w:rFonts w:ascii="Titillium Web" w:hAnsi="Titillium Web"/>
        </w:rPr>
      </w:pPr>
    </w:p>
    <w:p w14:paraId="097D4EAD" w14:textId="77777777" w:rsidR="00560970" w:rsidRDefault="00560970">
      <w:pPr>
        <w:pStyle w:val="BodyText"/>
        <w:spacing w:after="0" w:line="240" w:lineRule="auto"/>
        <w:jc w:val="both"/>
        <w:rPr>
          <w:rFonts w:ascii="Titillium Web" w:hAnsi="Titillium Web"/>
        </w:rPr>
      </w:pPr>
    </w:p>
    <w:p w14:paraId="273FF98C" w14:textId="77777777" w:rsidR="00560970" w:rsidRDefault="00332CE7">
      <w:pPr>
        <w:pStyle w:val="BodyText"/>
        <w:spacing w:after="0" w:line="240" w:lineRule="auto"/>
        <w:jc w:val="both"/>
      </w:pPr>
      <w:r>
        <w:rPr>
          <w:rFonts w:ascii="Titillium Web" w:hAnsi="Titillium Web"/>
          <w:i/>
          <w:iCs/>
        </w:rPr>
        <w:t>JPL version: 1.1</w:t>
      </w:r>
    </w:p>
    <w:p w14:paraId="5C553A43" w14:textId="77777777" w:rsidR="00560970" w:rsidRDefault="00560970">
      <w:pPr>
        <w:pStyle w:val="BodyText"/>
        <w:spacing w:after="0" w:line="240" w:lineRule="auto"/>
        <w:jc w:val="both"/>
        <w:rPr>
          <w:rFonts w:ascii="Titillium Web" w:hAnsi="Titillium Web"/>
        </w:rPr>
      </w:pPr>
    </w:p>
    <w:p w14:paraId="4CA90457" w14:textId="77777777" w:rsidR="00560970" w:rsidRDefault="00332CE7">
      <w:pPr>
        <w:pStyle w:val="BodyText"/>
        <w:spacing w:after="0" w:line="240" w:lineRule="auto"/>
        <w:jc w:val="both"/>
      </w:pPr>
      <w:r>
        <w:rPr>
          <w:rFonts w:ascii="Titillium Web" w:hAnsi="Titillium Web"/>
          <w:b/>
          <w:bCs/>
        </w:rPr>
        <w:t>Article 0. Definitions:</w:t>
      </w:r>
    </w:p>
    <w:p w14:paraId="0B185BF2" w14:textId="77777777" w:rsidR="00560970" w:rsidRDefault="00560970">
      <w:pPr>
        <w:pStyle w:val="BodyText"/>
        <w:spacing w:after="0" w:line="240" w:lineRule="auto"/>
        <w:jc w:val="both"/>
        <w:rPr>
          <w:rFonts w:ascii="Titillium Web" w:hAnsi="Titillium Web"/>
        </w:rPr>
      </w:pPr>
    </w:p>
    <w:p w14:paraId="408BFA54" w14:textId="77777777" w:rsidR="00560970" w:rsidRDefault="00332CE7">
      <w:pPr>
        <w:pStyle w:val="BodyText"/>
        <w:spacing w:after="0" w:line="240" w:lineRule="auto"/>
        <w:jc w:val="both"/>
      </w:pPr>
      <w:r>
        <w:rPr>
          <w:rFonts w:ascii="Titillium Web" w:hAnsi="Titillium Web"/>
          <w:b/>
          <w:bCs/>
        </w:rPr>
        <w:t>“</w:t>
      </w:r>
      <w:proofErr w:type="gramStart"/>
      <w:r>
        <w:rPr>
          <w:rFonts w:ascii="Titillium Web" w:hAnsi="Titillium Web"/>
          <w:b/>
          <w:bCs/>
        </w:rPr>
        <w:t>based</w:t>
      </w:r>
      <w:proofErr w:type="gramEnd"/>
      <w:r>
        <w:rPr>
          <w:rFonts w:ascii="Titillium Web" w:hAnsi="Titillium Web"/>
          <w:b/>
          <w:bCs/>
        </w:rPr>
        <w:t xml:space="preserve"> on [the Program/Covered Work/…]” </w:t>
      </w:r>
      <w:r>
        <w:rPr>
          <w:rFonts w:ascii="Titillium Web" w:hAnsi="Titillium Web"/>
          <w:bCs/>
        </w:rPr>
        <w:t xml:space="preserve">means derived from the original Covered </w:t>
      </w:r>
      <w:r>
        <w:rPr>
          <w:rFonts w:ascii="Titillium Web" w:hAnsi="Titillium Web"/>
          <w:bCs/>
        </w:rPr>
        <w:t>Work (or part thereof) by the act(s) of copying it, modifying it, including it (in whole or in part) or by linking to the original Covered Work (or part thereof).</w:t>
      </w:r>
    </w:p>
    <w:p w14:paraId="550F30D2" w14:textId="77777777" w:rsidR="00560970" w:rsidRDefault="00560970">
      <w:pPr>
        <w:pStyle w:val="BodyText"/>
        <w:spacing w:after="0" w:line="240" w:lineRule="auto"/>
        <w:jc w:val="both"/>
        <w:rPr>
          <w:rFonts w:ascii="Titillium Web" w:hAnsi="Titillium Web"/>
        </w:rPr>
      </w:pPr>
    </w:p>
    <w:p w14:paraId="42D0CCFE" w14:textId="77777777" w:rsidR="00560970" w:rsidRDefault="00332CE7">
      <w:pPr>
        <w:pStyle w:val="BodyText"/>
        <w:spacing w:after="0" w:line="240" w:lineRule="auto"/>
        <w:jc w:val="both"/>
      </w:pPr>
      <w:r>
        <w:rPr>
          <w:rFonts w:ascii="Titillium Web" w:hAnsi="Titillium Web"/>
          <w:b/>
          <w:bCs/>
        </w:rPr>
        <w:t>“</w:t>
      </w:r>
      <w:proofErr w:type="gramStart"/>
      <w:r>
        <w:rPr>
          <w:rFonts w:ascii="Titillium Web" w:hAnsi="Titillium Web"/>
          <w:b/>
          <w:bCs/>
        </w:rPr>
        <w:t>to</w:t>
      </w:r>
      <w:proofErr w:type="gramEnd"/>
      <w:r>
        <w:rPr>
          <w:rFonts w:ascii="Titillium Web" w:hAnsi="Titillium Web"/>
          <w:b/>
          <w:bCs/>
        </w:rPr>
        <w:t xml:space="preserve"> convey”: </w:t>
      </w:r>
      <w:r>
        <w:rPr>
          <w:rFonts w:ascii="Titillium Web" w:hAnsi="Titillium Web"/>
        </w:rPr>
        <w:t>To convey a work means any kind of propagation that enables other parties to ma</w:t>
      </w:r>
      <w:r>
        <w:rPr>
          <w:rFonts w:ascii="Titillium Web" w:hAnsi="Titillium Web"/>
        </w:rPr>
        <w:t>ke or receive copies. Mere interaction with a user through a computer network, with no transfer of a copy, is not conveying.</w:t>
      </w:r>
    </w:p>
    <w:p w14:paraId="5F550AE8" w14:textId="77777777" w:rsidR="00560970" w:rsidRDefault="00560970">
      <w:pPr>
        <w:pStyle w:val="BodyText"/>
        <w:spacing w:after="0" w:line="240" w:lineRule="auto"/>
        <w:jc w:val="both"/>
        <w:rPr>
          <w:rFonts w:ascii="Titillium Web" w:hAnsi="Titillium Web"/>
        </w:rPr>
      </w:pPr>
    </w:p>
    <w:p w14:paraId="5C904FEE" w14:textId="77777777" w:rsidR="00560970" w:rsidRDefault="00332CE7">
      <w:pPr>
        <w:pStyle w:val="BodyText"/>
        <w:spacing w:after="0" w:line="240" w:lineRule="auto"/>
        <w:jc w:val="both"/>
      </w:pPr>
      <w:r>
        <w:rPr>
          <w:rFonts w:ascii="Titillium Web" w:hAnsi="Titillium Web"/>
          <w:b/>
          <w:bCs/>
        </w:rPr>
        <w:t xml:space="preserve">Copyright Holder, Licensor: </w:t>
      </w:r>
      <w:r>
        <w:rPr>
          <w:rFonts w:ascii="Titillium Web" w:hAnsi="Titillium Web"/>
        </w:rPr>
        <w:t>The owner of the IP rights over the software as determined by applicable national law and internationa</w:t>
      </w:r>
      <w:r>
        <w:rPr>
          <w:rFonts w:ascii="Titillium Web" w:hAnsi="Titillium Web"/>
        </w:rPr>
        <w:t xml:space="preserve">l treaty provisions regulating this subject matter. </w:t>
      </w:r>
    </w:p>
    <w:p w14:paraId="27573BA6" w14:textId="77777777" w:rsidR="00560970" w:rsidRDefault="00560970">
      <w:pPr>
        <w:pStyle w:val="BodyText"/>
        <w:spacing w:after="0" w:line="240" w:lineRule="auto"/>
        <w:jc w:val="both"/>
        <w:rPr>
          <w:rFonts w:ascii="Titillium Web" w:hAnsi="Titillium Web"/>
        </w:rPr>
      </w:pPr>
    </w:p>
    <w:p w14:paraId="58980F24" w14:textId="77777777" w:rsidR="00560970" w:rsidRDefault="00332CE7">
      <w:pPr>
        <w:pStyle w:val="BodyText"/>
        <w:spacing w:after="0" w:line="240" w:lineRule="auto"/>
        <w:jc w:val="both"/>
      </w:pPr>
      <w:r>
        <w:rPr>
          <w:rFonts w:ascii="Titillium Web" w:hAnsi="Titillium Web"/>
          <w:b/>
          <w:bCs/>
        </w:rPr>
        <w:t>Corresponding Source:</w:t>
      </w:r>
      <w:r>
        <w:rPr>
          <w:rFonts w:ascii="Titillium Web" w:hAnsi="Titillium Web"/>
        </w:rPr>
        <w:t xml:space="preserve"> The Corresponding Source for a work in Object Code form means all the Source Code needed to generate, install, and (for an executable work) run the Object Code and to modify the wo</w:t>
      </w:r>
      <w:r>
        <w:rPr>
          <w:rFonts w:ascii="Titillium Web" w:hAnsi="Titillium Web"/>
        </w:rPr>
        <w:t xml:space="preserve">rk, including scripts to control those activities. However, it does not include the work's System Libraries, or general-purpose tools or generally available free </w:t>
      </w:r>
      <w:proofErr w:type="gramStart"/>
      <w:r>
        <w:rPr>
          <w:rFonts w:ascii="Titillium Web" w:hAnsi="Titillium Web"/>
        </w:rPr>
        <w:t>programs which are used</w:t>
      </w:r>
      <w:proofErr w:type="gramEnd"/>
      <w:r>
        <w:rPr>
          <w:rFonts w:ascii="Titillium Web" w:hAnsi="Titillium Web"/>
        </w:rPr>
        <w:t xml:space="preserve"> unmodified in performing those activities but which are not part of th</w:t>
      </w:r>
      <w:r>
        <w:rPr>
          <w:rFonts w:ascii="Titillium Web" w:hAnsi="Titillium Web"/>
        </w:rPr>
        <w:t xml:space="preserve">e work. For example, Corresponding Source includes interface definition files associated with source files for the work, and the Source Code for shared libraries and dynamically linked subprograms that the work is specifically designed to require, such as </w:t>
      </w:r>
      <w:r>
        <w:rPr>
          <w:rFonts w:ascii="Titillium Web" w:hAnsi="Titillium Web"/>
        </w:rPr>
        <w:t>by intimate data communication or control flow between those subprograms and other parts of the work. The Corresponding Source need not include anything that users can regenerate automatically from other parts of the Corresponding Source. The Corresponding</w:t>
      </w:r>
      <w:r>
        <w:rPr>
          <w:rFonts w:ascii="Titillium Web" w:hAnsi="Titillium Web"/>
        </w:rPr>
        <w:t xml:space="preserve"> Source for a work in Source Code form is that same work.</w:t>
      </w:r>
    </w:p>
    <w:p w14:paraId="5C89CEFD" w14:textId="77777777" w:rsidR="00560970" w:rsidRDefault="00560970">
      <w:pPr>
        <w:pStyle w:val="BodyText"/>
        <w:spacing w:after="0" w:line="240" w:lineRule="auto"/>
        <w:jc w:val="both"/>
        <w:rPr>
          <w:rFonts w:ascii="Titillium Web" w:hAnsi="Titillium Web"/>
        </w:rPr>
      </w:pPr>
    </w:p>
    <w:p w14:paraId="2DD6A3DE" w14:textId="77777777" w:rsidR="00560970" w:rsidRDefault="00332CE7">
      <w:pPr>
        <w:pStyle w:val="BodyText"/>
        <w:spacing w:after="0" w:line="240" w:lineRule="auto"/>
        <w:jc w:val="both"/>
      </w:pPr>
      <w:r>
        <w:rPr>
          <w:rFonts w:ascii="Titillium Web" w:hAnsi="Titillium Web"/>
          <w:b/>
          <w:bCs/>
        </w:rPr>
        <w:t>Covered Work:</w:t>
      </w:r>
      <w:r>
        <w:rPr>
          <w:rFonts w:ascii="Titillium Web" w:hAnsi="Titillium Web"/>
        </w:rPr>
        <w:t xml:space="preserve"> </w:t>
      </w:r>
      <w:proofErr w:type="gramStart"/>
      <w:r>
        <w:rPr>
          <w:rFonts w:ascii="Titillium Web" w:hAnsi="Titillium Web"/>
        </w:rPr>
        <w:t>A</w:t>
      </w:r>
      <w:r>
        <w:rPr>
          <w:rFonts w:ascii="Titillium Web" w:hAnsi="Titillium Web"/>
          <w:bCs/>
        </w:rPr>
        <w:t xml:space="preserve"> </w:t>
      </w:r>
      <w:r>
        <w:rPr>
          <w:rFonts w:ascii="Titillium Web" w:hAnsi="Titillium Web"/>
        </w:rPr>
        <w:t>DLT</w:t>
      </w:r>
      <w:proofErr w:type="gramEnd"/>
      <w:r>
        <w:rPr>
          <w:rFonts w:ascii="Titillium Web" w:hAnsi="Titillium Web"/>
          <w:bCs/>
        </w:rPr>
        <w:t xml:space="preserve"> Software or another Program based on a DLT or otherwise, or based on another Covered Work, their Object Code and Source Code, and any other work covered by this License according to their terms.</w:t>
      </w:r>
    </w:p>
    <w:p w14:paraId="1E593AF7" w14:textId="77777777" w:rsidR="00560970" w:rsidRDefault="00560970">
      <w:pPr>
        <w:pStyle w:val="BodyText"/>
        <w:spacing w:after="0" w:line="240" w:lineRule="auto"/>
        <w:jc w:val="both"/>
        <w:rPr>
          <w:rFonts w:ascii="Titillium Web" w:hAnsi="Titillium Web"/>
        </w:rPr>
      </w:pPr>
    </w:p>
    <w:p w14:paraId="6037DBDD" w14:textId="77777777" w:rsidR="00560970" w:rsidRDefault="00332CE7">
      <w:pPr>
        <w:pStyle w:val="BodyText"/>
        <w:spacing w:after="0" w:line="240" w:lineRule="auto"/>
        <w:jc w:val="both"/>
      </w:pPr>
      <w:r>
        <w:rPr>
          <w:rFonts w:ascii="Titillium Web" w:hAnsi="Titillium Web"/>
          <w:b/>
          <w:bCs/>
        </w:rPr>
        <w:t>DLT Instance:</w:t>
      </w:r>
      <w:r>
        <w:rPr>
          <w:rFonts w:ascii="Titillium Web" w:hAnsi="Titillium Web"/>
        </w:rPr>
        <w:t xml:space="preserve"> Unique instance of distributed ledger consist</w:t>
      </w:r>
      <w:r>
        <w:rPr>
          <w:rFonts w:ascii="Titillium Web" w:hAnsi="Titillium Web"/>
        </w:rPr>
        <w:t xml:space="preserve">ing of a network of one or more participants (nodes) running </w:t>
      </w:r>
      <w:proofErr w:type="gramStart"/>
      <w:r>
        <w:rPr>
          <w:rFonts w:ascii="Titillium Web" w:hAnsi="Titillium Web"/>
        </w:rPr>
        <w:t>a particular</w:t>
      </w:r>
      <w:proofErr w:type="gramEnd"/>
      <w:r>
        <w:rPr>
          <w:rFonts w:ascii="Titillium Web" w:hAnsi="Titillium Web"/>
        </w:rPr>
        <w:t xml:space="preserve"> DLT Software and which nodes are in a state of consensus with each other within the permitted tolerances of the applicable consensus algorithm. An example of such DLT instance is the</w:t>
      </w:r>
      <w:r>
        <w:rPr>
          <w:rFonts w:ascii="Titillium Web" w:hAnsi="Titillium Web"/>
        </w:rPr>
        <w:t xml:space="preserve"> </w:t>
      </w:r>
      <w:proofErr w:type="spellStart"/>
      <w:r>
        <w:rPr>
          <w:rFonts w:ascii="Titillium Web" w:hAnsi="Titillium Web"/>
        </w:rPr>
        <w:t>Nxt</w:t>
      </w:r>
      <w:proofErr w:type="spellEnd"/>
      <w:r>
        <w:rPr>
          <w:rFonts w:ascii="Titillium Web" w:hAnsi="Titillium Web"/>
        </w:rPr>
        <w:t xml:space="preserve"> public </w:t>
      </w:r>
      <w:proofErr w:type="spellStart"/>
      <w:r>
        <w:rPr>
          <w:rFonts w:ascii="Titillium Web" w:hAnsi="Titillium Web"/>
        </w:rPr>
        <w:t>blockchain</w:t>
      </w:r>
      <w:proofErr w:type="spellEnd"/>
      <w:r>
        <w:rPr>
          <w:rFonts w:ascii="Titillium Web" w:hAnsi="Titillium Web"/>
        </w:rPr>
        <w:t>.</w:t>
      </w:r>
    </w:p>
    <w:p w14:paraId="59FA87B9" w14:textId="77777777" w:rsidR="00560970" w:rsidRDefault="00560970">
      <w:pPr>
        <w:pStyle w:val="BodyText"/>
        <w:spacing w:after="0" w:line="240" w:lineRule="auto"/>
        <w:jc w:val="both"/>
        <w:rPr>
          <w:rFonts w:ascii="Titillium Web" w:hAnsi="Titillium Web"/>
        </w:rPr>
      </w:pPr>
    </w:p>
    <w:p w14:paraId="7B35A742" w14:textId="77777777" w:rsidR="00560970" w:rsidRDefault="00332CE7">
      <w:pPr>
        <w:pStyle w:val="BodyText"/>
        <w:spacing w:after="0" w:line="240" w:lineRule="auto"/>
        <w:jc w:val="both"/>
      </w:pPr>
      <w:r>
        <w:rPr>
          <w:rFonts w:ascii="Titillium Web" w:hAnsi="Titillium Web"/>
          <w:b/>
          <w:bCs/>
        </w:rPr>
        <w:t>DLT Software:</w:t>
      </w:r>
      <w:r>
        <w:rPr>
          <w:rFonts w:ascii="Titillium Web" w:hAnsi="Titillium Web"/>
        </w:rPr>
        <w:t xml:space="preserve"> Any distributed ledger computer technology including but not limited to </w:t>
      </w:r>
      <w:proofErr w:type="spellStart"/>
      <w:r>
        <w:rPr>
          <w:rFonts w:ascii="Titillium Web" w:hAnsi="Titillium Web"/>
        </w:rPr>
        <w:t>blockchain</w:t>
      </w:r>
      <w:proofErr w:type="spellEnd"/>
      <w:r>
        <w:rPr>
          <w:rFonts w:ascii="Titillium Web" w:hAnsi="Titillium Web"/>
        </w:rPr>
        <w:t xml:space="preserve"> technology regardless of the way the consensus is established.</w:t>
      </w:r>
    </w:p>
    <w:p w14:paraId="545E9420" w14:textId="77777777" w:rsidR="00560970" w:rsidRDefault="00560970">
      <w:pPr>
        <w:pStyle w:val="BodyText"/>
        <w:spacing w:after="0" w:line="240" w:lineRule="auto"/>
        <w:jc w:val="both"/>
        <w:rPr>
          <w:rFonts w:ascii="Titillium Web" w:hAnsi="Titillium Web"/>
        </w:rPr>
      </w:pPr>
    </w:p>
    <w:p w14:paraId="4B6560EC" w14:textId="77777777" w:rsidR="00560970" w:rsidRDefault="00332CE7">
      <w:pPr>
        <w:pStyle w:val="BodyText"/>
        <w:spacing w:after="0" w:line="240" w:lineRule="auto"/>
        <w:jc w:val="both"/>
      </w:pPr>
      <w:r>
        <w:rPr>
          <w:rFonts w:ascii="Titillium Web" w:hAnsi="Titillium Web"/>
          <w:b/>
          <w:bCs/>
        </w:rPr>
        <w:t xml:space="preserve">General Conditions: </w:t>
      </w:r>
      <w:r>
        <w:rPr>
          <w:rFonts w:ascii="Titillium Web" w:hAnsi="Titillium Web"/>
          <w:bCs/>
        </w:rPr>
        <w:t>C</w:t>
      </w:r>
      <w:r>
        <w:rPr>
          <w:rFonts w:ascii="Titillium Web" w:hAnsi="Titillium Web"/>
        </w:rPr>
        <w:t>hapter I. General Conditions of this License.</w:t>
      </w:r>
    </w:p>
    <w:p w14:paraId="0B441AA6" w14:textId="77777777" w:rsidR="00560970" w:rsidRDefault="00560970">
      <w:pPr>
        <w:pStyle w:val="BodyText"/>
        <w:spacing w:after="0" w:line="240" w:lineRule="auto"/>
        <w:jc w:val="both"/>
        <w:rPr>
          <w:rFonts w:ascii="Titillium Web" w:hAnsi="Titillium Web"/>
        </w:rPr>
      </w:pPr>
    </w:p>
    <w:p w14:paraId="4EBF0EC5" w14:textId="77777777" w:rsidR="00560970" w:rsidRDefault="00332CE7">
      <w:pPr>
        <w:pStyle w:val="BodyText"/>
        <w:spacing w:after="0" w:line="240" w:lineRule="auto"/>
        <w:jc w:val="both"/>
      </w:pPr>
      <w:r>
        <w:rPr>
          <w:rFonts w:ascii="Titillium Web" w:hAnsi="Titillium Web"/>
          <w:b/>
          <w:bCs/>
        </w:rPr>
        <w:t>License:</w:t>
      </w:r>
      <w:r>
        <w:rPr>
          <w:rFonts w:ascii="Titillium Web" w:hAnsi="Titillium Web"/>
        </w:rPr>
        <w:t xml:space="preserve"> This </w:t>
      </w:r>
      <w:proofErr w:type="spellStart"/>
      <w:r>
        <w:rPr>
          <w:rFonts w:ascii="Titillium Web" w:hAnsi="Titillium Web"/>
        </w:rPr>
        <w:t>Jelurida</w:t>
      </w:r>
      <w:proofErr w:type="spellEnd"/>
      <w:r>
        <w:rPr>
          <w:rFonts w:ascii="Titillium Web" w:hAnsi="Titillium Web"/>
        </w:rPr>
        <w:t xml:space="preserve"> Public License (</w:t>
      </w:r>
      <w:r>
        <w:rPr>
          <w:rFonts w:ascii="Titillium Web" w:hAnsi="Titillium Web"/>
          <w:b/>
        </w:rPr>
        <w:t>JPL</w:t>
      </w:r>
      <w:r>
        <w:rPr>
          <w:rFonts w:ascii="Titillium Web" w:hAnsi="Titillium Web"/>
        </w:rPr>
        <w:t>) consisting of both General Conditions and Special Conditions.</w:t>
      </w:r>
    </w:p>
    <w:p w14:paraId="12A68BD0" w14:textId="77777777" w:rsidR="00560970" w:rsidRDefault="00560970">
      <w:pPr>
        <w:pStyle w:val="BodyText"/>
        <w:spacing w:after="0" w:line="240" w:lineRule="auto"/>
        <w:jc w:val="both"/>
        <w:rPr>
          <w:rFonts w:ascii="Titillium Web" w:hAnsi="Titillium Web"/>
        </w:rPr>
      </w:pPr>
    </w:p>
    <w:p w14:paraId="1A4E61CA" w14:textId="77777777" w:rsidR="00560970" w:rsidRDefault="00332CE7">
      <w:pPr>
        <w:pStyle w:val="BodyText"/>
        <w:spacing w:after="0" w:line="240" w:lineRule="auto"/>
        <w:jc w:val="both"/>
      </w:pPr>
      <w:r>
        <w:rPr>
          <w:rFonts w:ascii="Titillium Web" w:hAnsi="Titillium Web"/>
          <w:b/>
          <w:bCs/>
        </w:rPr>
        <w:t>Licensee, You:</w:t>
      </w:r>
      <w:r>
        <w:rPr>
          <w:rFonts w:ascii="Titillium Web" w:hAnsi="Titillium Web"/>
        </w:rPr>
        <w:t xml:space="preserve"> Eve</w:t>
      </w:r>
      <w:bookmarkStart w:id="0" w:name="_GoBack"/>
      <w:r>
        <w:rPr>
          <w:rFonts w:ascii="Titillium Web" w:hAnsi="Titillium Web"/>
        </w:rPr>
        <w:t>ryo</w:t>
      </w:r>
      <w:bookmarkEnd w:id="0"/>
      <w:r>
        <w:rPr>
          <w:rFonts w:ascii="Titillium Web" w:hAnsi="Titillium Web"/>
        </w:rPr>
        <w:t>ne (natural person or legal entity) who wants to use, copy, distribute, modify or build on top of the Program.</w:t>
      </w:r>
    </w:p>
    <w:p w14:paraId="4C0A30D7" w14:textId="77777777" w:rsidR="00560970" w:rsidRDefault="00560970">
      <w:pPr>
        <w:pStyle w:val="BodyText"/>
        <w:spacing w:after="0" w:line="240" w:lineRule="auto"/>
        <w:jc w:val="both"/>
        <w:rPr>
          <w:rFonts w:ascii="Titillium Web" w:hAnsi="Titillium Web"/>
        </w:rPr>
      </w:pPr>
    </w:p>
    <w:p w14:paraId="3E007342" w14:textId="77777777" w:rsidR="00560970" w:rsidRDefault="00332CE7">
      <w:pPr>
        <w:pStyle w:val="BodyText"/>
        <w:spacing w:after="0" w:line="240" w:lineRule="auto"/>
        <w:jc w:val="both"/>
      </w:pPr>
      <w:r>
        <w:rPr>
          <w:rFonts w:ascii="Titillium Web" w:hAnsi="Titillium Web"/>
          <w:b/>
          <w:bCs/>
        </w:rPr>
        <w:t>“</w:t>
      </w:r>
      <w:proofErr w:type="gramStart"/>
      <w:r>
        <w:rPr>
          <w:rFonts w:ascii="Titillium Web" w:hAnsi="Titillium Web"/>
          <w:b/>
          <w:bCs/>
        </w:rPr>
        <w:t>to</w:t>
      </w:r>
      <w:proofErr w:type="gramEnd"/>
      <w:r>
        <w:rPr>
          <w:rFonts w:ascii="Titillium Web" w:hAnsi="Titillium Web"/>
          <w:b/>
          <w:bCs/>
        </w:rPr>
        <w:t xml:space="preserve"> modify”: </w:t>
      </w:r>
      <w:r>
        <w:rPr>
          <w:rFonts w:ascii="Titillium Web" w:hAnsi="Titillium Web"/>
        </w:rPr>
        <w:t xml:space="preserve">To </w:t>
      </w:r>
      <w:r>
        <w:rPr>
          <w:rFonts w:ascii="Titillium Web" w:hAnsi="Titillium Web"/>
        </w:rPr>
        <w:t xml:space="preserve">modify a work means to copy from or adapt all or part of the work in a fashion requiring copyright permission, other than the making of an exact copy. The resulting work is called a </w:t>
      </w:r>
      <w:r>
        <w:rPr>
          <w:rFonts w:ascii="Titillium Web" w:hAnsi="Titillium Web"/>
          <w:b/>
          <w:bCs/>
        </w:rPr>
        <w:t>“modified version”</w:t>
      </w:r>
      <w:r>
        <w:rPr>
          <w:rFonts w:ascii="Titillium Web" w:hAnsi="Titillium Web"/>
        </w:rPr>
        <w:t xml:space="preserve"> of the earlier work or a </w:t>
      </w:r>
      <w:r>
        <w:rPr>
          <w:rFonts w:ascii="Titillium Web" w:hAnsi="Titillium Web"/>
          <w:b/>
          <w:bCs/>
        </w:rPr>
        <w:t>“work based on”</w:t>
      </w:r>
      <w:r>
        <w:rPr>
          <w:rFonts w:ascii="Titillium Web" w:hAnsi="Titillium Web"/>
        </w:rPr>
        <w:t xml:space="preserve"> the earlier wo</w:t>
      </w:r>
      <w:r>
        <w:rPr>
          <w:rFonts w:ascii="Titillium Web" w:hAnsi="Titillium Web"/>
        </w:rPr>
        <w:t>rk. Modification also includes translation into another programming language or human language.</w:t>
      </w:r>
    </w:p>
    <w:p w14:paraId="32528BEF" w14:textId="77777777" w:rsidR="00560970" w:rsidRDefault="00560970">
      <w:pPr>
        <w:pStyle w:val="BodyText"/>
        <w:spacing w:after="0" w:line="240" w:lineRule="auto"/>
        <w:jc w:val="both"/>
        <w:rPr>
          <w:rFonts w:ascii="Titillium Web" w:hAnsi="Titillium Web"/>
        </w:rPr>
      </w:pPr>
    </w:p>
    <w:p w14:paraId="23CF2B50" w14:textId="77777777" w:rsidR="00560970" w:rsidRDefault="00332CE7">
      <w:pPr>
        <w:pStyle w:val="BodyText"/>
        <w:spacing w:after="0" w:line="240" w:lineRule="auto"/>
        <w:jc w:val="both"/>
      </w:pPr>
      <w:r>
        <w:rPr>
          <w:rFonts w:ascii="Titillium Web" w:hAnsi="Titillium Web"/>
          <w:b/>
          <w:bCs/>
        </w:rPr>
        <w:t xml:space="preserve">Object Code: </w:t>
      </w:r>
      <w:r>
        <w:rPr>
          <w:rFonts w:ascii="Titillium Web" w:hAnsi="Titillium Web"/>
        </w:rPr>
        <w:t>A</w:t>
      </w:r>
      <w:r>
        <w:rPr>
          <w:rFonts w:ascii="Titillium Web" w:hAnsi="Titillium Web"/>
        </w:rPr>
        <w:t>ny non-Source Code form of a work.</w:t>
      </w:r>
    </w:p>
    <w:p w14:paraId="5DBD6D95" w14:textId="77777777" w:rsidR="00560970" w:rsidRDefault="00560970">
      <w:pPr>
        <w:pStyle w:val="BodyText"/>
        <w:spacing w:after="0" w:line="240" w:lineRule="auto"/>
        <w:jc w:val="both"/>
        <w:rPr>
          <w:rFonts w:ascii="Titillium Web" w:hAnsi="Titillium Web"/>
        </w:rPr>
      </w:pPr>
    </w:p>
    <w:p w14:paraId="4721DEF2" w14:textId="77777777" w:rsidR="00560970" w:rsidRDefault="00332CE7">
      <w:pPr>
        <w:pStyle w:val="BodyText"/>
        <w:spacing w:after="0" w:line="240" w:lineRule="auto"/>
        <w:jc w:val="both"/>
      </w:pPr>
      <w:r>
        <w:rPr>
          <w:rFonts w:ascii="Titillium Web" w:hAnsi="Titillium Web"/>
          <w:b/>
          <w:bCs/>
        </w:rPr>
        <w:t xml:space="preserve">Program: </w:t>
      </w:r>
      <w:r>
        <w:rPr>
          <w:rFonts w:ascii="Titillium Web" w:hAnsi="Titillium Web"/>
        </w:rPr>
        <w:t>A</w:t>
      </w:r>
      <w:r>
        <w:rPr>
          <w:rFonts w:ascii="Titillium Web" w:hAnsi="Titillium Web"/>
        </w:rPr>
        <w:t>ny copyrightable work licensed under this License</w:t>
      </w:r>
      <w:r>
        <w:rPr>
          <w:rFonts w:ascii="Titillium Web" w:hAnsi="Titillium Web"/>
        </w:rPr>
        <w:t>.</w:t>
      </w:r>
    </w:p>
    <w:p w14:paraId="7972C061" w14:textId="77777777" w:rsidR="00560970" w:rsidRDefault="00560970">
      <w:pPr>
        <w:pStyle w:val="BodyText"/>
        <w:spacing w:after="0" w:line="240" w:lineRule="auto"/>
        <w:jc w:val="both"/>
        <w:rPr>
          <w:rFonts w:ascii="Titillium Web" w:hAnsi="Titillium Web"/>
        </w:rPr>
      </w:pPr>
    </w:p>
    <w:p w14:paraId="424B3A9B" w14:textId="77777777" w:rsidR="00560970" w:rsidRDefault="00332CE7">
      <w:pPr>
        <w:pStyle w:val="BodyText"/>
        <w:spacing w:after="0" w:line="240" w:lineRule="auto"/>
        <w:jc w:val="both"/>
      </w:pPr>
      <w:r>
        <w:rPr>
          <w:rFonts w:ascii="Titillium Web" w:hAnsi="Titillium Web"/>
          <w:b/>
          <w:bCs/>
        </w:rPr>
        <w:t>“</w:t>
      </w:r>
      <w:proofErr w:type="gramStart"/>
      <w:r>
        <w:rPr>
          <w:rFonts w:ascii="Titillium Web" w:hAnsi="Titillium Web"/>
          <w:b/>
          <w:bCs/>
        </w:rPr>
        <w:t>to</w:t>
      </w:r>
      <w:proofErr w:type="gramEnd"/>
      <w:r>
        <w:rPr>
          <w:rFonts w:ascii="Titillium Web" w:hAnsi="Titillium Web"/>
          <w:b/>
          <w:bCs/>
        </w:rPr>
        <w:t xml:space="preserve"> propagate”: </w:t>
      </w:r>
      <w:r>
        <w:rPr>
          <w:rFonts w:ascii="Titillium Web" w:hAnsi="Titillium Web"/>
        </w:rPr>
        <w:t>To propagate a work means to do</w:t>
      </w:r>
      <w:r>
        <w:rPr>
          <w:rFonts w:ascii="Titillium Web" w:hAnsi="Titillium Web"/>
        </w:rPr>
        <w:t xml:space="preserve"> anything with it that, without permission, would make you directly or secondarily liable for infringement under applicable copyright law, except executing it on a computer or modifying a private copy. Propagation includes copying, distribution (with or wi</w:t>
      </w:r>
      <w:r>
        <w:rPr>
          <w:rFonts w:ascii="Titillium Web" w:hAnsi="Titillium Web"/>
        </w:rPr>
        <w:t>thout modification), making available to the public, and in some countries other activities as well.</w:t>
      </w:r>
    </w:p>
    <w:p w14:paraId="5B141F67" w14:textId="77777777" w:rsidR="00560970" w:rsidRDefault="00560970">
      <w:pPr>
        <w:pStyle w:val="BodyText"/>
        <w:spacing w:after="0" w:line="240" w:lineRule="auto"/>
        <w:jc w:val="both"/>
        <w:rPr>
          <w:rFonts w:ascii="Titillium Web" w:hAnsi="Titillium Web"/>
          <w:b/>
          <w:bCs/>
        </w:rPr>
      </w:pPr>
    </w:p>
    <w:p w14:paraId="2E059D1E" w14:textId="77777777" w:rsidR="00560970" w:rsidRDefault="00332CE7">
      <w:pPr>
        <w:pStyle w:val="BodyText"/>
        <w:spacing w:after="0" w:line="240" w:lineRule="auto"/>
        <w:jc w:val="both"/>
      </w:pPr>
      <w:r>
        <w:rPr>
          <w:rFonts w:ascii="Titillium Web" w:hAnsi="Titillium Web"/>
          <w:b/>
          <w:bCs/>
        </w:rPr>
        <w:t>Source Code:</w:t>
      </w:r>
      <w:r>
        <w:rPr>
          <w:rFonts w:ascii="Titillium Web" w:hAnsi="Titillium Web"/>
        </w:rPr>
        <w:t xml:space="preserve"> The Source Code for a work means the preferred form of the work for making modifications to it.</w:t>
      </w:r>
    </w:p>
    <w:p w14:paraId="2869548D" w14:textId="77777777" w:rsidR="00560970" w:rsidRDefault="00560970">
      <w:pPr>
        <w:pStyle w:val="BodyText"/>
        <w:spacing w:after="0" w:line="240" w:lineRule="auto"/>
        <w:jc w:val="both"/>
        <w:rPr>
          <w:rFonts w:ascii="Titillium Web" w:hAnsi="Titillium Web"/>
          <w:b/>
          <w:bCs/>
        </w:rPr>
      </w:pPr>
    </w:p>
    <w:p w14:paraId="6BDD7817" w14:textId="77777777" w:rsidR="00560970" w:rsidRDefault="00332CE7">
      <w:pPr>
        <w:pStyle w:val="BodyText"/>
        <w:spacing w:after="0" w:line="240" w:lineRule="auto"/>
        <w:jc w:val="both"/>
      </w:pPr>
      <w:r>
        <w:rPr>
          <w:rFonts w:ascii="Titillium Web" w:hAnsi="Titillium Web"/>
          <w:b/>
          <w:bCs/>
        </w:rPr>
        <w:lastRenderedPageBreak/>
        <w:t xml:space="preserve">Special Conditions: </w:t>
      </w:r>
      <w:r>
        <w:rPr>
          <w:rFonts w:ascii="Titillium Web" w:hAnsi="Titillium Web"/>
        </w:rPr>
        <w:t>Chapter II. Special Cond</w:t>
      </w:r>
      <w:r>
        <w:rPr>
          <w:rFonts w:ascii="Titillium Web" w:hAnsi="Titillium Web"/>
        </w:rPr>
        <w:t xml:space="preserve">itions of this </w:t>
      </w:r>
      <w:proofErr w:type="gramStart"/>
      <w:r>
        <w:rPr>
          <w:rFonts w:ascii="Titillium Web" w:hAnsi="Titillium Web"/>
        </w:rPr>
        <w:t>License which contains additional provisions</w:t>
      </w:r>
      <w:proofErr w:type="gramEnd"/>
      <w:r>
        <w:rPr>
          <w:rFonts w:ascii="Titillium Web" w:hAnsi="Titillium Web"/>
        </w:rPr>
        <w:t xml:space="preserve"> required and adapted by the Licensor according to the specific Covered Work they are applicable to.</w:t>
      </w:r>
    </w:p>
    <w:p w14:paraId="2A550683" w14:textId="77777777" w:rsidR="00560970" w:rsidRDefault="00560970">
      <w:pPr>
        <w:pStyle w:val="BodyText"/>
        <w:spacing w:after="0" w:line="240" w:lineRule="auto"/>
        <w:jc w:val="both"/>
        <w:rPr>
          <w:rFonts w:ascii="Titillium Web" w:hAnsi="Titillium Web"/>
        </w:rPr>
      </w:pPr>
    </w:p>
    <w:p w14:paraId="1AE7A8AF" w14:textId="77777777" w:rsidR="00560970" w:rsidRDefault="00332CE7">
      <w:pPr>
        <w:pStyle w:val="BodyText"/>
        <w:spacing w:after="0" w:line="240" w:lineRule="auto"/>
        <w:jc w:val="both"/>
      </w:pPr>
      <w:r>
        <w:rPr>
          <w:rFonts w:ascii="Titillium Web" w:hAnsi="Titillium Web"/>
          <w:b/>
          <w:bCs/>
        </w:rPr>
        <w:t>Standard Interface:</w:t>
      </w:r>
      <w:r>
        <w:rPr>
          <w:rFonts w:ascii="Titillium Web" w:hAnsi="Titillium Web"/>
        </w:rPr>
        <w:t xml:space="preserve"> An interface that either is an official standard defined by a recognized st</w:t>
      </w:r>
      <w:r>
        <w:rPr>
          <w:rFonts w:ascii="Titillium Web" w:hAnsi="Titillium Web"/>
        </w:rPr>
        <w:t>andards body, or, in the case of interfaces specified for a particular programming language, one that is widely used among developers working in that language.</w:t>
      </w:r>
    </w:p>
    <w:p w14:paraId="443EF3ED" w14:textId="77777777" w:rsidR="00560970" w:rsidRDefault="00560970">
      <w:pPr>
        <w:pStyle w:val="BodyText"/>
        <w:spacing w:after="0" w:line="240" w:lineRule="auto"/>
        <w:jc w:val="both"/>
        <w:rPr>
          <w:rFonts w:ascii="Titillium Web" w:hAnsi="Titillium Web"/>
          <w:b/>
          <w:bCs/>
        </w:rPr>
      </w:pPr>
    </w:p>
    <w:p w14:paraId="3E20A756" w14:textId="77777777" w:rsidR="00560970" w:rsidRDefault="00332CE7">
      <w:pPr>
        <w:pStyle w:val="BodyText"/>
        <w:spacing w:after="0" w:line="240" w:lineRule="auto"/>
        <w:jc w:val="both"/>
      </w:pPr>
      <w:r>
        <w:rPr>
          <w:rFonts w:ascii="Titillium Web" w:hAnsi="Titillium Web"/>
          <w:b/>
          <w:bCs/>
        </w:rPr>
        <w:t>System Libraries:</w:t>
      </w:r>
      <w:r>
        <w:rPr>
          <w:rFonts w:ascii="Titillium Web" w:hAnsi="Titillium Web"/>
        </w:rPr>
        <w:t xml:space="preserve"> Libraries of an executable work, other than the work as a whole, that (a) are</w:t>
      </w:r>
      <w:r>
        <w:rPr>
          <w:rFonts w:ascii="Titillium Web" w:hAnsi="Titillium Web"/>
        </w:rPr>
        <w:t xml:space="preserve"> included in the normal form of packaging a Major Component, but which are not part of that Major Component, and (b) serve only to enable use of the work with that Major Component, or to implement a Standard Interface for which an implementation is availab</w:t>
      </w:r>
      <w:r>
        <w:rPr>
          <w:rFonts w:ascii="Titillium Web" w:hAnsi="Titillium Web"/>
        </w:rPr>
        <w:t xml:space="preserve">le to the public in Source Code form. A </w:t>
      </w:r>
      <w:r>
        <w:rPr>
          <w:rFonts w:ascii="Titillium Web" w:hAnsi="Titillium Web"/>
          <w:b/>
          <w:bCs/>
        </w:rPr>
        <w:t>Major Component</w:t>
      </w:r>
      <w:r>
        <w:rPr>
          <w:rFonts w:ascii="Titillium Web" w:hAnsi="Titillium Web"/>
        </w:rPr>
        <w:t>, in this context, means a major essential component (kernel, window system, and so on) of the specific operating system (if any) on which the executable work runs, or a compiler used to produce the wo</w:t>
      </w:r>
      <w:r>
        <w:rPr>
          <w:rFonts w:ascii="Titillium Web" w:hAnsi="Titillium Web"/>
        </w:rPr>
        <w:t>rk, or an Object Code interpreter used to run it.</w:t>
      </w:r>
    </w:p>
    <w:p w14:paraId="05C058BA" w14:textId="77777777" w:rsidR="00560970" w:rsidRDefault="00560970">
      <w:pPr>
        <w:pStyle w:val="BodyText"/>
        <w:spacing w:after="0" w:line="240" w:lineRule="auto"/>
        <w:jc w:val="both"/>
        <w:rPr>
          <w:rFonts w:ascii="Titillium Web" w:hAnsi="Titillium Web"/>
        </w:rPr>
      </w:pPr>
    </w:p>
    <w:p w14:paraId="3F1879D0" w14:textId="77777777" w:rsidR="00560970" w:rsidRDefault="00332CE7">
      <w:pPr>
        <w:pStyle w:val="BodyText"/>
        <w:spacing w:after="0" w:line="240" w:lineRule="auto"/>
        <w:jc w:val="both"/>
      </w:pPr>
      <w:r>
        <w:rPr>
          <w:rStyle w:val="StrongEmphasis"/>
          <w:rFonts w:ascii="Titillium Web" w:hAnsi="Titillium Web"/>
        </w:rPr>
        <w:t>Article 1.</w:t>
      </w:r>
      <w:r>
        <w:rPr>
          <w:rFonts w:ascii="Titillium Web" w:hAnsi="Titillium Web"/>
        </w:rPr>
        <w:t xml:space="preserve"> </w:t>
      </w:r>
      <w:r>
        <w:rPr>
          <w:rFonts w:ascii="Titillium Web" w:hAnsi="Titillium Web"/>
          <w:b/>
          <w:bCs/>
        </w:rPr>
        <w:t>Scope of the License:</w:t>
      </w:r>
    </w:p>
    <w:p w14:paraId="2905FAC7" w14:textId="77777777" w:rsidR="00560970" w:rsidRDefault="00560970">
      <w:pPr>
        <w:pStyle w:val="BodyText"/>
        <w:spacing w:after="0" w:line="240" w:lineRule="auto"/>
        <w:jc w:val="both"/>
        <w:rPr>
          <w:rFonts w:ascii="Titillium Web" w:hAnsi="Titillium Web"/>
        </w:rPr>
      </w:pPr>
    </w:p>
    <w:p w14:paraId="65727271" w14:textId="77777777" w:rsidR="00560970" w:rsidRDefault="00332CE7">
      <w:pPr>
        <w:pStyle w:val="BodyText"/>
        <w:spacing w:after="0" w:line="240" w:lineRule="auto"/>
        <w:jc w:val="both"/>
      </w:pPr>
      <w:r>
        <w:rPr>
          <w:rFonts w:ascii="Titillium Web" w:hAnsi="Titillium Web"/>
          <w:b/>
        </w:rPr>
        <w:tab/>
        <w:t>1.1</w:t>
      </w:r>
      <w:r>
        <w:rPr>
          <w:rFonts w:ascii="Titillium Web" w:hAnsi="Titillium Web"/>
        </w:rPr>
        <w:t xml:space="preserve"> This License applies to any Covered Work or other </w:t>
      </w:r>
      <w:proofErr w:type="gramStart"/>
      <w:r>
        <w:rPr>
          <w:rFonts w:ascii="Titillium Web" w:hAnsi="Titillium Web"/>
        </w:rPr>
        <w:t>work which</w:t>
      </w:r>
      <w:proofErr w:type="gramEnd"/>
      <w:r>
        <w:rPr>
          <w:rFonts w:ascii="Titillium Web" w:hAnsi="Titillium Web"/>
        </w:rPr>
        <w:t xml:space="preserve"> contains a notice placed by the Copyright Holder saying it may be used, propagated, conveyed or modified only under the terms of this License. It also applies to any </w:t>
      </w:r>
      <w:proofErr w:type="gramStart"/>
      <w:r>
        <w:rPr>
          <w:rFonts w:ascii="Titillium Web" w:hAnsi="Titillium Web"/>
        </w:rPr>
        <w:t>work which</w:t>
      </w:r>
      <w:proofErr w:type="gramEnd"/>
      <w:r>
        <w:rPr>
          <w:rFonts w:ascii="Titillium Web" w:hAnsi="Titillium Web"/>
        </w:rPr>
        <w:t xml:space="preserve"> is not a DLT per </w:t>
      </w:r>
      <w:r>
        <w:rPr>
          <w:rFonts w:ascii="Titillium Web" w:hAnsi="Titillium Web"/>
        </w:rPr>
        <w:t xml:space="preserve">se but is still a Covered Work because it is based on the covered DLT Software or contains a portion of it. This is to ensure that </w:t>
      </w:r>
      <w:proofErr w:type="gramStart"/>
      <w:r>
        <w:rPr>
          <w:rFonts w:ascii="Titillium Web" w:hAnsi="Titillium Web"/>
        </w:rPr>
        <w:t>if  such</w:t>
      </w:r>
      <w:proofErr w:type="gramEnd"/>
      <w:r>
        <w:rPr>
          <w:rFonts w:ascii="Titillium Web" w:hAnsi="Titillium Web"/>
        </w:rPr>
        <w:t xml:space="preserve"> work is included into another DLT Software that DLT Software must satisfy the below stated airdrop requirement and o</w:t>
      </w:r>
      <w:r>
        <w:rPr>
          <w:rFonts w:ascii="Titillium Web" w:hAnsi="Titillium Web"/>
        </w:rPr>
        <w:t>ther terms of this License.</w:t>
      </w:r>
    </w:p>
    <w:p w14:paraId="729D4432" w14:textId="77777777" w:rsidR="00560970" w:rsidRDefault="00560970">
      <w:pPr>
        <w:pStyle w:val="BodyText"/>
        <w:spacing w:after="0" w:line="240" w:lineRule="auto"/>
        <w:jc w:val="both"/>
        <w:rPr>
          <w:rFonts w:ascii="Titillium Web" w:hAnsi="Titillium Web"/>
        </w:rPr>
      </w:pPr>
    </w:p>
    <w:p w14:paraId="164E28A1" w14:textId="77777777" w:rsidR="00560970" w:rsidRDefault="00332CE7">
      <w:pPr>
        <w:pStyle w:val="BodyText"/>
        <w:spacing w:after="0" w:line="240" w:lineRule="auto"/>
        <w:jc w:val="both"/>
      </w:pPr>
      <w:r>
        <w:rPr>
          <w:rFonts w:ascii="Titillium Web" w:hAnsi="Titillium Web"/>
          <w:b/>
          <w:bCs/>
        </w:rPr>
        <w:tab/>
        <w:t>1.2.</w:t>
      </w:r>
      <w:r>
        <w:rPr>
          <w:rFonts w:ascii="Titillium Web" w:hAnsi="Titillium Web"/>
        </w:rPr>
        <w:t xml:space="preserve"> </w:t>
      </w:r>
      <w:r>
        <w:rPr>
          <w:rFonts w:ascii="Titillium Web" w:hAnsi="Titillium Web"/>
          <w:color w:val="000000"/>
          <w:shd w:val="clear" w:color="auto" w:fill="FFFFFF"/>
        </w:rPr>
        <w:t>All rights granted under this License are granted for the term of copyright on the Covered Work, and are irrevocable provided the conditions of this License are met.</w:t>
      </w:r>
    </w:p>
    <w:p w14:paraId="4F7962B5" w14:textId="77777777" w:rsidR="00560970" w:rsidRDefault="00560970">
      <w:pPr>
        <w:pStyle w:val="BodyText"/>
        <w:spacing w:after="0" w:line="240" w:lineRule="auto"/>
        <w:jc w:val="both"/>
        <w:rPr>
          <w:rFonts w:ascii="Titillium Web" w:hAnsi="Titillium Web"/>
        </w:rPr>
      </w:pPr>
    </w:p>
    <w:p w14:paraId="7ECC98C2" w14:textId="77777777" w:rsidR="00560970" w:rsidRDefault="00332CE7">
      <w:pPr>
        <w:pStyle w:val="BodyText"/>
        <w:spacing w:after="0" w:line="240" w:lineRule="auto"/>
        <w:jc w:val="both"/>
      </w:pPr>
      <w:r>
        <w:rPr>
          <w:rFonts w:ascii="Titillium Web" w:hAnsi="Titillium Web"/>
          <w:b/>
        </w:rPr>
        <w:tab/>
        <w:t>1.3</w:t>
      </w:r>
      <w:r>
        <w:rPr>
          <w:rFonts w:ascii="Titillium Web" w:hAnsi="Titillium Web"/>
        </w:rPr>
        <w:t xml:space="preserve"> The act of running a Program is not restricted as long as it does not violate Article 3.4 of the General Conditions, and the output from a Program is covered only if its contents constitute a work based on the Program (independent of having been made by r</w:t>
      </w:r>
      <w:r>
        <w:rPr>
          <w:rFonts w:ascii="Titillium Web" w:hAnsi="Titillium Web"/>
        </w:rPr>
        <w:t>unning the Program). Whether that is true depends on what the Program does.</w:t>
      </w:r>
    </w:p>
    <w:p w14:paraId="0A0D56F9" w14:textId="77777777" w:rsidR="00560970" w:rsidRDefault="00560970">
      <w:pPr>
        <w:pStyle w:val="BodyText"/>
        <w:spacing w:after="0" w:line="240" w:lineRule="auto"/>
        <w:jc w:val="both"/>
        <w:rPr>
          <w:rFonts w:ascii="Titillium Web" w:hAnsi="Titillium Web"/>
        </w:rPr>
      </w:pPr>
    </w:p>
    <w:p w14:paraId="3CCE31C0" w14:textId="77777777" w:rsidR="00560970" w:rsidRDefault="00332CE7">
      <w:pPr>
        <w:pStyle w:val="BodyText"/>
        <w:spacing w:after="0" w:line="240" w:lineRule="auto"/>
        <w:jc w:val="both"/>
      </w:pPr>
      <w:r>
        <w:rPr>
          <w:rFonts w:ascii="Titillium Web" w:hAnsi="Titillium Web"/>
          <w:b/>
          <w:color w:val="000000"/>
          <w:shd w:val="clear" w:color="auto" w:fill="FFFFFF"/>
        </w:rPr>
        <w:tab/>
        <w:t>1.4</w:t>
      </w:r>
      <w:r>
        <w:rPr>
          <w:rFonts w:ascii="Titillium Web" w:hAnsi="Titillium Web"/>
          <w:color w:val="000000"/>
          <w:shd w:val="clear" w:color="auto" w:fill="FFFFFF"/>
        </w:rPr>
        <w:t xml:space="preserve"> </w:t>
      </w:r>
      <w:r>
        <w:rPr>
          <w:rFonts w:ascii="Titillium Web" w:hAnsi="Titillium Web"/>
          <w:color w:val="000000"/>
          <w:shd w:val="clear" w:color="auto" w:fill="FFFFFF"/>
        </w:rPr>
        <w:t>Conveying is permitted solely under the conditions stated herein. Sublicensing is not allowed; Article 7 of the General Conditions makes it unnecessary.</w:t>
      </w:r>
    </w:p>
    <w:p w14:paraId="4D575B6E" w14:textId="77777777" w:rsidR="00560970" w:rsidRDefault="00560970">
      <w:pPr>
        <w:pStyle w:val="BodyText"/>
        <w:spacing w:after="0" w:line="240" w:lineRule="auto"/>
        <w:jc w:val="both"/>
        <w:rPr>
          <w:rFonts w:ascii="Titillium Web" w:hAnsi="Titillium Web"/>
        </w:rPr>
      </w:pPr>
    </w:p>
    <w:p w14:paraId="2B5B6C25" w14:textId="77777777" w:rsidR="00560970" w:rsidRDefault="00332CE7">
      <w:pPr>
        <w:pStyle w:val="BodyText"/>
        <w:spacing w:after="0" w:line="240" w:lineRule="auto"/>
        <w:jc w:val="both"/>
      </w:pPr>
      <w:r>
        <w:rPr>
          <w:rFonts w:ascii="Titillium Web" w:hAnsi="Titillium Web"/>
          <w:b/>
          <w:color w:val="000000"/>
          <w:shd w:val="clear" w:color="auto" w:fill="FFFFFF"/>
        </w:rPr>
        <w:tab/>
        <w:t>1.5</w:t>
      </w:r>
      <w:r>
        <w:rPr>
          <w:rFonts w:ascii="Titillium Web" w:hAnsi="Titillium Web"/>
          <w:color w:val="000000"/>
          <w:shd w:val="clear" w:color="auto" w:fill="FFFFFF"/>
        </w:rPr>
        <w:t xml:space="preserve"> </w:t>
      </w:r>
      <w:r>
        <w:rPr>
          <w:rFonts w:ascii="Titillium Web" w:hAnsi="Titillium Web"/>
          <w:color w:val="000000"/>
          <w:shd w:val="clear" w:color="auto" w:fill="FFFFFF"/>
        </w:rPr>
        <w:t>No Covered Work</w:t>
      </w:r>
      <w:r>
        <w:rPr>
          <w:rFonts w:ascii="Titillium Web" w:hAnsi="Titillium Web"/>
          <w:color w:val="000000"/>
          <w:shd w:val="clear" w:color="auto" w:fill="FFFFFF"/>
        </w:rPr>
        <w:t xml:space="preserve"> shall be deemed part of an effective technological measure under any applicable law fulfilling obligations under article 11 of the WIPO copyright treaty adopted on 20 December 1996, or similar laws prohibiting or restricting circumvention of such measures</w:t>
      </w:r>
      <w:r>
        <w:rPr>
          <w:rFonts w:ascii="Titillium Web" w:hAnsi="Titillium Web"/>
          <w:color w:val="000000"/>
          <w:shd w:val="clear" w:color="auto" w:fill="FFFFFF"/>
        </w:rPr>
        <w:t>. When you convey a Covered Work, you waive any legal power to forbid circumvention of technological measures to the extent such circumvention is effected by exercising rights under this License with respect to the Covered Work, and you disclaim any intent</w:t>
      </w:r>
      <w:r>
        <w:rPr>
          <w:rFonts w:ascii="Titillium Web" w:hAnsi="Titillium Web"/>
          <w:color w:val="000000"/>
          <w:shd w:val="clear" w:color="auto" w:fill="FFFFFF"/>
        </w:rPr>
        <w:t>ion to limit operation or modification of the work as a means of enforcing, against the work's users, your or third parties' legal rights to forbid circumvention of technological measures.</w:t>
      </w:r>
    </w:p>
    <w:p w14:paraId="6D509178" w14:textId="77777777" w:rsidR="00560970" w:rsidRDefault="00560970">
      <w:pPr>
        <w:pStyle w:val="BodyText"/>
        <w:spacing w:after="0" w:line="240" w:lineRule="auto"/>
        <w:jc w:val="both"/>
        <w:rPr>
          <w:rStyle w:val="StrongEmphasis"/>
          <w:rFonts w:ascii="Titillium Web" w:hAnsi="Titillium Web"/>
        </w:rPr>
      </w:pPr>
    </w:p>
    <w:p w14:paraId="46E9941E" w14:textId="77777777" w:rsidR="00560970" w:rsidRDefault="00332CE7">
      <w:pPr>
        <w:pStyle w:val="BodyText"/>
        <w:spacing w:after="0" w:line="240" w:lineRule="auto"/>
        <w:jc w:val="both"/>
      </w:pPr>
      <w:r>
        <w:rPr>
          <w:rStyle w:val="StrongEmphasis"/>
          <w:rFonts w:ascii="Titillium Web" w:hAnsi="Titillium Web"/>
        </w:rPr>
        <w:t>Article 2.</w:t>
      </w:r>
    </w:p>
    <w:p w14:paraId="09E40F8E" w14:textId="77777777" w:rsidR="00560970" w:rsidRDefault="00560970">
      <w:pPr>
        <w:pStyle w:val="BodyText"/>
        <w:spacing w:after="0" w:line="240" w:lineRule="auto"/>
        <w:jc w:val="both"/>
        <w:rPr>
          <w:rStyle w:val="StrongEmphasis"/>
          <w:rFonts w:ascii="Titillium Web" w:hAnsi="Titillium Web"/>
          <w:b w:val="0"/>
          <w:bCs w:val="0"/>
        </w:rPr>
      </w:pPr>
    </w:p>
    <w:p w14:paraId="0D356719" w14:textId="77777777" w:rsidR="00560970" w:rsidRDefault="00332CE7">
      <w:pPr>
        <w:pStyle w:val="BodyText"/>
        <w:spacing w:after="0" w:line="240" w:lineRule="auto"/>
        <w:jc w:val="both"/>
      </w:pPr>
      <w:r>
        <w:rPr>
          <w:rFonts w:ascii="Titillium Web" w:hAnsi="Titillium Web"/>
          <w:b/>
        </w:rPr>
        <w:tab/>
        <w:t>2.1</w:t>
      </w:r>
      <w:r>
        <w:rPr>
          <w:rFonts w:ascii="Titillium Web" w:hAnsi="Titillium Web"/>
        </w:rPr>
        <w:t xml:space="preserve"> You may copy and distribute verbatim copies of th</w:t>
      </w:r>
      <w:r>
        <w:rPr>
          <w:rFonts w:ascii="Titillium Web" w:hAnsi="Titillium Web"/>
        </w:rPr>
        <w:t xml:space="preserve">e </w:t>
      </w:r>
      <w:r>
        <w:rPr>
          <w:rFonts w:ascii="Titillium Web" w:hAnsi="Titillium Web"/>
          <w:color w:val="000000"/>
          <w:shd w:val="clear" w:color="auto" w:fill="FFFFFF"/>
        </w:rPr>
        <w:t xml:space="preserve">Covered Work’s </w:t>
      </w:r>
      <w:r>
        <w:rPr>
          <w:rFonts w:ascii="Titillium Web" w:hAnsi="Titillium Web"/>
        </w:rPr>
        <w:t xml:space="preserve">Source Code as you receive it, in any medium, provided that you conspicuously and appropriately publish on each copy an appropriate copyright notice and disclaimer of warranty; keep intact all the notices that refer to this License and to </w:t>
      </w:r>
      <w:r>
        <w:rPr>
          <w:rFonts w:ascii="Titillium Web" w:hAnsi="Titillium Web"/>
        </w:rPr>
        <w:t xml:space="preserve">the absence of any warranty; and give any other recipients of the </w:t>
      </w:r>
      <w:r>
        <w:rPr>
          <w:rFonts w:ascii="Titillium Web" w:hAnsi="Titillium Web"/>
          <w:color w:val="000000"/>
          <w:shd w:val="clear" w:color="auto" w:fill="FFFFFF"/>
        </w:rPr>
        <w:t xml:space="preserve">Covered Work </w:t>
      </w:r>
      <w:r>
        <w:rPr>
          <w:rFonts w:ascii="Titillium Web" w:hAnsi="Titillium Web"/>
        </w:rPr>
        <w:t xml:space="preserve">a copy of this License along with the </w:t>
      </w:r>
      <w:r>
        <w:rPr>
          <w:rFonts w:ascii="Titillium Web" w:hAnsi="Titillium Web"/>
          <w:color w:val="000000"/>
          <w:shd w:val="clear" w:color="auto" w:fill="FFFFFF"/>
        </w:rPr>
        <w:t>Covered Work</w:t>
      </w:r>
      <w:r>
        <w:rPr>
          <w:rFonts w:ascii="Titillium Web" w:hAnsi="Titillium Web"/>
        </w:rPr>
        <w:t>.</w:t>
      </w:r>
    </w:p>
    <w:p w14:paraId="54C0D983" w14:textId="77777777" w:rsidR="00560970" w:rsidRDefault="00560970">
      <w:pPr>
        <w:pStyle w:val="BodyText"/>
        <w:spacing w:after="0" w:line="240" w:lineRule="auto"/>
        <w:jc w:val="both"/>
        <w:rPr>
          <w:rFonts w:ascii="Titillium Web" w:hAnsi="Titillium Web"/>
        </w:rPr>
      </w:pPr>
    </w:p>
    <w:p w14:paraId="05654F9C" w14:textId="77777777" w:rsidR="00560970" w:rsidRDefault="00332CE7">
      <w:pPr>
        <w:pStyle w:val="BodyText"/>
        <w:spacing w:after="0" w:line="240" w:lineRule="auto"/>
        <w:jc w:val="both"/>
      </w:pPr>
      <w:r>
        <w:rPr>
          <w:rFonts w:ascii="Titillium Web" w:hAnsi="Titillium Web"/>
        </w:rPr>
        <w:tab/>
      </w:r>
      <w:r>
        <w:rPr>
          <w:rFonts w:ascii="Titillium Web" w:hAnsi="Titillium Web"/>
          <w:b/>
          <w:bCs/>
        </w:rPr>
        <w:t>2.2</w:t>
      </w:r>
      <w:r>
        <w:rPr>
          <w:rFonts w:ascii="Titillium Web" w:hAnsi="Titillium Web"/>
        </w:rPr>
        <w:t xml:space="preserve"> You must keep intact all authorship and copyright notices and when conveying or offering to convey copies (verbatim or modified) you must also avoid any misrepresentation of the origin of the Covered Work. You must make sure that any modified versions of </w:t>
      </w:r>
      <w:r>
        <w:rPr>
          <w:rFonts w:ascii="Titillium Web" w:hAnsi="Titillium Web"/>
        </w:rPr>
        <w:t>such Covered Work are marked in reasonable ways as different from the original version and they do not imply any endorsement or support by the Copyright Holder regarding this modified work.</w:t>
      </w:r>
    </w:p>
    <w:p w14:paraId="1AABBF0F" w14:textId="77777777" w:rsidR="00560970" w:rsidRDefault="00560970">
      <w:pPr>
        <w:pStyle w:val="BodyText"/>
        <w:spacing w:after="0" w:line="240" w:lineRule="auto"/>
        <w:jc w:val="both"/>
        <w:rPr>
          <w:rFonts w:ascii="Titillium Web" w:hAnsi="Titillium Web"/>
        </w:rPr>
      </w:pPr>
    </w:p>
    <w:p w14:paraId="49CD5C72" w14:textId="77777777" w:rsidR="00560970" w:rsidRDefault="00332CE7">
      <w:pPr>
        <w:pStyle w:val="BodyText"/>
        <w:spacing w:after="0" w:line="240" w:lineRule="auto"/>
        <w:jc w:val="both"/>
      </w:pPr>
      <w:r>
        <w:rPr>
          <w:rFonts w:ascii="Titillium Web" w:hAnsi="Titillium Web"/>
        </w:rPr>
        <w:tab/>
      </w:r>
      <w:r>
        <w:rPr>
          <w:rFonts w:ascii="Titillium Web" w:hAnsi="Titillium Web"/>
          <w:b/>
          <w:bCs/>
        </w:rPr>
        <w:t>2.3</w:t>
      </w:r>
      <w:r>
        <w:rPr>
          <w:rFonts w:ascii="Titillium Web" w:hAnsi="Titillium Web"/>
        </w:rPr>
        <w:t xml:space="preserve"> </w:t>
      </w:r>
      <w:r>
        <w:rPr>
          <w:rFonts w:ascii="Titillium Web" w:hAnsi="Titillium Web"/>
        </w:rPr>
        <w:t xml:space="preserve">You may charge a fee for the physical act of transferring a </w:t>
      </w:r>
      <w:r>
        <w:rPr>
          <w:rFonts w:ascii="Titillium Web" w:hAnsi="Titillium Web"/>
        </w:rPr>
        <w:t>copy (for the avoidance of doubt, such physical act of transfer may include making the copy available on your website or otherwise), and you may at your discretion and responsibility offer support or warranty protection in exchange for a fee. You are not a</w:t>
      </w:r>
      <w:r>
        <w:rPr>
          <w:rFonts w:ascii="Titillium Web" w:hAnsi="Titillium Web"/>
        </w:rPr>
        <w:t>llowed to charge any fee for granting the right to further use, propagate, convey or modify the copy then obtained by the acquirer, as such would be against the intention of this License.</w:t>
      </w:r>
    </w:p>
    <w:p w14:paraId="66604B84" w14:textId="77777777" w:rsidR="00560970" w:rsidRDefault="00560970">
      <w:pPr>
        <w:pStyle w:val="BodyText"/>
        <w:spacing w:after="0" w:line="240" w:lineRule="auto"/>
        <w:jc w:val="both"/>
        <w:rPr>
          <w:rFonts w:ascii="Titillium Web" w:hAnsi="Titillium Web"/>
        </w:rPr>
      </w:pPr>
    </w:p>
    <w:p w14:paraId="173DF972" w14:textId="77777777" w:rsidR="00560970" w:rsidRDefault="00332CE7">
      <w:pPr>
        <w:pStyle w:val="BodyText"/>
        <w:spacing w:after="0" w:line="240" w:lineRule="auto"/>
        <w:jc w:val="both"/>
      </w:pPr>
      <w:r>
        <w:rPr>
          <w:rStyle w:val="StrongEmphasis"/>
          <w:rFonts w:ascii="Titillium Web" w:hAnsi="Titillium Web"/>
        </w:rPr>
        <w:t xml:space="preserve">Article 3. </w:t>
      </w:r>
      <w:r>
        <w:rPr>
          <w:rFonts w:ascii="Titillium Web" w:hAnsi="Titillium Web"/>
        </w:rPr>
        <w:t xml:space="preserve">You may modify your copy or copies of the </w:t>
      </w:r>
      <w:r>
        <w:rPr>
          <w:rFonts w:ascii="Titillium Web" w:hAnsi="Titillium Web"/>
          <w:color w:val="000000"/>
          <w:shd w:val="clear" w:color="auto" w:fill="FFFFFF"/>
        </w:rPr>
        <w:t xml:space="preserve">Covered Work </w:t>
      </w:r>
      <w:r>
        <w:rPr>
          <w:rFonts w:ascii="Titillium Web" w:hAnsi="Titillium Web"/>
        </w:rPr>
        <w:t>o</w:t>
      </w:r>
      <w:r>
        <w:rPr>
          <w:rFonts w:ascii="Titillium Web" w:hAnsi="Titillium Web"/>
        </w:rPr>
        <w:t xml:space="preserve">r any </w:t>
      </w:r>
      <w:proofErr w:type="gramStart"/>
      <w:r>
        <w:rPr>
          <w:rFonts w:ascii="Titillium Web" w:hAnsi="Titillium Web"/>
        </w:rPr>
        <w:t xml:space="preserve">portion of it, thus forming a work based on the </w:t>
      </w:r>
      <w:r>
        <w:rPr>
          <w:rFonts w:ascii="Titillium Web" w:hAnsi="Titillium Web"/>
          <w:color w:val="000000"/>
          <w:shd w:val="clear" w:color="auto" w:fill="FFFFFF"/>
        </w:rPr>
        <w:t>Covered Work</w:t>
      </w:r>
      <w:r>
        <w:rPr>
          <w:rFonts w:ascii="Titillium Web" w:hAnsi="Titillium Web"/>
        </w:rPr>
        <w:t>, and copy and distribute</w:t>
      </w:r>
      <w:proofErr w:type="gramEnd"/>
      <w:r>
        <w:rPr>
          <w:rFonts w:ascii="Titillium Web" w:hAnsi="Titillium Web"/>
        </w:rPr>
        <w:t xml:space="preserve"> such modifications or work under the terms of Article 2 above, provided that you also meet all of these conditions:</w:t>
      </w:r>
    </w:p>
    <w:p w14:paraId="3F9752DF" w14:textId="77777777" w:rsidR="00560970" w:rsidRDefault="00560970">
      <w:pPr>
        <w:pStyle w:val="BodyText"/>
        <w:spacing w:after="0" w:line="240" w:lineRule="auto"/>
        <w:jc w:val="both"/>
        <w:rPr>
          <w:rStyle w:val="StrongEmphasis"/>
          <w:rFonts w:ascii="Titillium Web" w:hAnsi="Titillium Web"/>
        </w:rPr>
      </w:pPr>
    </w:p>
    <w:p w14:paraId="2B53014A" w14:textId="77777777" w:rsidR="00560970" w:rsidRDefault="00332CE7">
      <w:pPr>
        <w:pStyle w:val="BodyText"/>
        <w:spacing w:after="0" w:line="240" w:lineRule="auto"/>
        <w:jc w:val="both"/>
      </w:pPr>
      <w:r>
        <w:rPr>
          <w:rStyle w:val="StrongEmphasis"/>
          <w:rFonts w:ascii="Titillium Web" w:hAnsi="Titillium Web"/>
        </w:rPr>
        <w:tab/>
        <w:t>3.1</w:t>
      </w:r>
      <w:r>
        <w:rPr>
          <w:rFonts w:ascii="Titillium Web" w:hAnsi="Titillium Web"/>
        </w:rPr>
        <w:t xml:space="preserve"> You must cause the modified files to carry</w:t>
      </w:r>
      <w:r>
        <w:rPr>
          <w:rFonts w:ascii="Titillium Web" w:hAnsi="Titillium Web"/>
        </w:rPr>
        <w:t xml:space="preserve"> prominent notices stating that you changed the files and the date of any change.</w:t>
      </w:r>
    </w:p>
    <w:p w14:paraId="2A654A47" w14:textId="77777777" w:rsidR="00560970" w:rsidRDefault="00560970">
      <w:pPr>
        <w:pStyle w:val="BodyText"/>
        <w:spacing w:after="0" w:line="240" w:lineRule="auto"/>
        <w:jc w:val="both"/>
        <w:rPr>
          <w:rStyle w:val="StrongEmphasis"/>
          <w:rFonts w:ascii="Titillium Web" w:hAnsi="Titillium Web"/>
        </w:rPr>
      </w:pPr>
    </w:p>
    <w:p w14:paraId="0ADF49D5" w14:textId="77777777" w:rsidR="00560970" w:rsidRDefault="00332CE7">
      <w:pPr>
        <w:pStyle w:val="BodyText"/>
        <w:spacing w:after="0" w:line="240" w:lineRule="auto"/>
        <w:jc w:val="both"/>
      </w:pPr>
      <w:r>
        <w:rPr>
          <w:rStyle w:val="StrongEmphasis"/>
          <w:rFonts w:ascii="Titillium Web" w:hAnsi="Titillium Web"/>
        </w:rPr>
        <w:tab/>
        <w:t>3.2</w:t>
      </w:r>
      <w:r>
        <w:rPr>
          <w:rFonts w:ascii="Titillium Web" w:hAnsi="Titillium Web"/>
        </w:rPr>
        <w:t xml:space="preserve"> You must cause any work that you distribute or publish, that in whole or in part contains or is derived from the </w:t>
      </w:r>
      <w:r>
        <w:rPr>
          <w:rFonts w:ascii="Titillium Web" w:hAnsi="Titillium Web"/>
          <w:color w:val="000000"/>
          <w:shd w:val="clear" w:color="auto" w:fill="FFFFFF"/>
        </w:rPr>
        <w:t xml:space="preserve">Covered Work </w:t>
      </w:r>
      <w:r>
        <w:rPr>
          <w:rFonts w:ascii="Titillium Web" w:hAnsi="Titillium Web"/>
        </w:rPr>
        <w:t>or any part thereof, to be licensed as a w</w:t>
      </w:r>
      <w:r>
        <w:rPr>
          <w:rFonts w:ascii="Titillium Web" w:hAnsi="Titillium Web"/>
        </w:rPr>
        <w:t>hole at no charge to all third parties under the terms of this License.</w:t>
      </w:r>
    </w:p>
    <w:p w14:paraId="33202129" w14:textId="77777777" w:rsidR="00560970" w:rsidRDefault="00560970">
      <w:pPr>
        <w:pStyle w:val="BodyText"/>
        <w:spacing w:after="0" w:line="240" w:lineRule="auto"/>
        <w:jc w:val="both"/>
        <w:rPr>
          <w:rStyle w:val="StrongEmphasis"/>
          <w:rFonts w:ascii="Titillium Web" w:hAnsi="Titillium Web"/>
        </w:rPr>
      </w:pPr>
    </w:p>
    <w:p w14:paraId="72A4DEE2" w14:textId="77777777" w:rsidR="00560970" w:rsidRDefault="00332CE7">
      <w:pPr>
        <w:pStyle w:val="BodyText"/>
        <w:spacing w:after="0" w:line="240" w:lineRule="auto"/>
        <w:jc w:val="both"/>
      </w:pPr>
      <w:r>
        <w:rPr>
          <w:rStyle w:val="StrongEmphasis"/>
          <w:rFonts w:ascii="Titillium Web" w:hAnsi="Titillium Web"/>
        </w:rPr>
        <w:tab/>
        <w:t>3.3</w:t>
      </w:r>
      <w:r>
        <w:rPr>
          <w:rStyle w:val="StrongEmphasis"/>
          <w:rFonts w:ascii="Titillium Web" w:hAnsi="Titillium Web"/>
          <w:b w:val="0"/>
          <w:bCs w:val="0"/>
        </w:rPr>
        <w:t xml:space="preserve"> </w:t>
      </w:r>
      <w:r>
        <w:rPr>
          <w:rFonts w:ascii="Titillium Web" w:hAnsi="Titillium Web"/>
        </w:rPr>
        <w:t>If the modified program normally reads commands interactively when run, you must cause it, when started running for such interactive use in the most ordinary way, to print or dis</w:t>
      </w:r>
      <w:r>
        <w:rPr>
          <w:rFonts w:ascii="Titillium Web" w:hAnsi="Titillium Web"/>
        </w:rPr>
        <w:t>play an announcement including an appropriate copyright notice and a notice that there is no warranty (or else, saying that you provide a warranty) and that users may redistribute the program under the conditions of this License, and telling the user how t</w:t>
      </w:r>
      <w:r>
        <w:rPr>
          <w:rFonts w:ascii="Titillium Web" w:hAnsi="Titillium Web"/>
        </w:rPr>
        <w:t xml:space="preserve">o view a copy of this License. (Exception: if the </w:t>
      </w:r>
      <w:r>
        <w:rPr>
          <w:rFonts w:ascii="Titillium Web" w:hAnsi="Titillium Web"/>
          <w:color w:val="000000"/>
          <w:shd w:val="clear" w:color="auto" w:fill="FFFFFF"/>
        </w:rPr>
        <w:t xml:space="preserve">Covered Work </w:t>
      </w:r>
      <w:r>
        <w:rPr>
          <w:rFonts w:ascii="Titillium Web" w:hAnsi="Titillium Web"/>
        </w:rPr>
        <w:t xml:space="preserve">itself is interactive but does not normally print such an announcement, your work based on the </w:t>
      </w:r>
      <w:r>
        <w:rPr>
          <w:rFonts w:ascii="Titillium Web" w:hAnsi="Titillium Web"/>
          <w:color w:val="000000"/>
          <w:shd w:val="clear" w:color="auto" w:fill="FFFFFF"/>
        </w:rPr>
        <w:t xml:space="preserve">Covered Work </w:t>
      </w:r>
      <w:r>
        <w:rPr>
          <w:rFonts w:ascii="Titillium Web" w:hAnsi="Titillium Web"/>
        </w:rPr>
        <w:t>is not required to print an announcement.) If the program has graphical user interfac</w:t>
      </w:r>
      <w:r>
        <w:rPr>
          <w:rFonts w:ascii="Titillium Web" w:hAnsi="Titillium Web"/>
        </w:rPr>
        <w:t>e any such notices should be placed in an about dialog or similar.</w:t>
      </w:r>
    </w:p>
    <w:p w14:paraId="3A077EC3" w14:textId="77777777" w:rsidR="00560970" w:rsidRDefault="00560970">
      <w:pPr>
        <w:pStyle w:val="BodyText"/>
        <w:spacing w:after="0" w:line="240" w:lineRule="auto"/>
        <w:jc w:val="both"/>
        <w:rPr>
          <w:rFonts w:ascii="Titillium Web" w:hAnsi="Titillium Web"/>
        </w:rPr>
      </w:pPr>
    </w:p>
    <w:p w14:paraId="4C96BFA7" w14:textId="77777777" w:rsidR="00560970" w:rsidRDefault="00332CE7">
      <w:pPr>
        <w:pStyle w:val="BodyText"/>
        <w:spacing w:after="0" w:line="240" w:lineRule="auto"/>
        <w:jc w:val="both"/>
      </w:pPr>
      <w:r>
        <w:rPr>
          <w:rFonts w:ascii="Titillium Web" w:hAnsi="Titillium Web"/>
          <w:b/>
          <w:bCs/>
        </w:rPr>
        <w:tab/>
        <w:t>3.4</w:t>
      </w:r>
      <w:r>
        <w:rPr>
          <w:rFonts w:ascii="Titillium Web" w:hAnsi="Titillium Web"/>
        </w:rPr>
        <w:t xml:space="preserve"> </w:t>
      </w:r>
      <w:r>
        <w:rPr>
          <w:rFonts w:ascii="Titillium Web" w:hAnsi="Titillium Web"/>
        </w:rPr>
        <w:t xml:space="preserve">If the </w:t>
      </w:r>
      <w:r>
        <w:rPr>
          <w:rFonts w:ascii="Titillium Web" w:hAnsi="Titillium Web"/>
          <w:color w:val="000000"/>
          <w:shd w:val="clear" w:color="auto" w:fill="FFFFFF"/>
        </w:rPr>
        <w:t xml:space="preserve">Covered Work </w:t>
      </w:r>
      <w:r>
        <w:rPr>
          <w:rFonts w:ascii="Titillium Web" w:hAnsi="Titillium Web"/>
        </w:rPr>
        <w:t xml:space="preserve">is </w:t>
      </w:r>
      <w:proofErr w:type="gramStart"/>
      <w:r>
        <w:rPr>
          <w:rFonts w:ascii="Titillium Web" w:hAnsi="Titillium Web"/>
        </w:rPr>
        <w:t>a DLT</w:t>
      </w:r>
      <w:proofErr w:type="gramEnd"/>
      <w:r>
        <w:rPr>
          <w:rFonts w:ascii="Titillium Web" w:hAnsi="Titillium Web"/>
        </w:rPr>
        <w:t xml:space="preserve"> Software, after your modifications it must continue to work with the original DLT Instance without violating the consensus algorithm or resulting in a per</w:t>
      </w:r>
      <w:r>
        <w:rPr>
          <w:rFonts w:ascii="Titillium Web" w:hAnsi="Titillium Web"/>
        </w:rPr>
        <w:t xml:space="preserve">manent fork. For the purpose of this clause modification also includes changing the configuration or network environment in which the </w:t>
      </w:r>
      <w:r>
        <w:rPr>
          <w:rFonts w:ascii="Titillium Web" w:hAnsi="Titillium Web"/>
          <w:color w:val="000000"/>
          <w:shd w:val="clear" w:color="auto" w:fill="FFFFFF"/>
        </w:rPr>
        <w:t xml:space="preserve">Covered Work </w:t>
      </w:r>
      <w:r>
        <w:rPr>
          <w:rFonts w:ascii="Titillium Web" w:hAnsi="Titillium Web"/>
        </w:rPr>
        <w:t>is run that results in permanent disconnection, fork or isolation from the original DLT Instance. If your mod</w:t>
      </w:r>
      <w:r>
        <w:rPr>
          <w:rFonts w:ascii="Titillium Web" w:hAnsi="Titillium Web"/>
        </w:rPr>
        <w:t>ifications result in a different DLT Instance you must satisfy the following airdrop requirement:</w:t>
      </w:r>
    </w:p>
    <w:p w14:paraId="4E434814" w14:textId="77777777" w:rsidR="00560970" w:rsidRDefault="00560970">
      <w:pPr>
        <w:pStyle w:val="BodyText"/>
        <w:spacing w:after="0" w:line="240" w:lineRule="auto"/>
        <w:jc w:val="both"/>
        <w:rPr>
          <w:rFonts w:ascii="Titillium Web" w:hAnsi="Titillium Web"/>
        </w:rPr>
      </w:pPr>
    </w:p>
    <w:p w14:paraId="0630FC03" w14:textId="77777777" w:rsidR="00560970" w:rsidRDefault="00332CE7">
      <w:pPr>
        <w:pStyle w:val="BodyText"/>
        <w:spacing w:after="0" w:line="240" w:lineRule="auto"/>
        <w:jc w:val="both"/>
      </w:pPr>
      <w:r>
        <w:rPr>
          <w:rFonts w:ascii="Titillium Web" w:hAnsi="Titillium Web"/>
          <w:b/>
          <w:bCs/>
        </w:rPr>
        <w:tab/>
      </w:r>
      <w:r>
        <w:rPr>
          <w:rFonts w:ascii="Titillium Web" w:hAnsi="Titillium Web"/>
          <w:b/>
          <w:bCs/>
        </w:rPr>
        <w:tab/>
        <w:t>3.4.1</w:t>
      </w:r>
      <w:r>
        <w:rPr>
          <w:rFonts w:ascii="Titillium Web" w:hAnsi="Titillium Web"/>
        </w:rPr>
        <w:t xml:space="preserve"> </w:t>
      </w:r>
      <w:r>
        <w:rPr>
          <w:rFonts w:ascii="Titillium Web" w:hAnsi="Titillium Web"/>
        </w:rPr>
        <w:t>The token holders from the origin</w:t>
      </w:r>
      <w:bookmarkStart w:id="1" w:name="__DdeLink__426_1972007809"/>
      <w:r>
        <w:rPr>
          <w:rFonts w:ascii="Titillium Web" w:hAnsi="Titillium Web"/>
        </w:rPr>
        <w:t>a</w:t>
      </w:r>
      <w:bookmarkEnd w:id="1"/>
      <w:r>
        <w:rPr>
          <w:rFonts w:ascii="Titillium Web" w:hAnsi="Titillium Web"/>
        </w:rPr>
        <w:t xml:space="preserve">l distributed ledger instance shall be allocated a portion (an </w:t>
      </w:r>
      <w:r>
        <w:rPr>
          <w:rFonts w:ascii="Titillium Web" w:hAnsi="Titillium Web"/>
          <w:b/>
          <w:bCs/>
        </w:rPr>
        <w:t>"airdrop"</w:t>
      </w:r>
      <w:r>
        <w:rPr>
          <w:rFonts w:ascii="Titillium Web" w:hAnsi="Titillium Web"/>
        </w:rPr>
        <w:t xml:space="preserve">) of the tokens in that new DLT Instance </w:t>
      </w:r>
      <w:r>
        <w:rPr>
          <w:rFonts w:ascii="Titillium Web" w:hAnsi="Titillium Web"/>
        </w:rPr>
        <w:t xml:space="preserve">proportional to their token balances. This shall also apply to anyone who intends to make a copy of your copy, </w:t>
      </w:r>
      <w:proofErr w:type="spellStart"/>
      <w:r>
        <w:rPr>
          <w:rFonts w:ascii="Titillium Web" w:hAnsi="Titillium Web"/>
        </w:rPr>
        <w:t>i</w:t>
      </w:r>
      <w:proofErr w:type="spellEnd"/>
      <w:r>
        <w:rPr>
          <w:rFonts w:ascii="Titillium Web" w:hAnsi="Titillium Web"/>
        </w:rPr>
        <w:t>. e. any such person needs to allocate the same airdrop of the newly created tokens to the account holders from the original DLT Instance (not t</w:t>
      </w:r>
      <w:r>
        <w:rPr>
          <w:rFonts w:ascii="Titillium Web" w:hAnsi="Titillium Web"/>
        </w:rPr>
        <w:t xml:space="preserve">o your copy). If the Covered Work is not </w:t>
      </w:r>
      <w:proofErr w:type="gramStart"/>
      <w:r>
        <w:rPr>
          <w:rFonts w:ascii="Titillium Web" w:hAnsi="Titillium Web"/>
        </w:rPr>
        <w:t>a DLT</w:t>
      </w:r>
      <w:proofErr w:type="gramEnd"/>
      <w:r>
        <w:rPr>
          <w:rFonts w:ascii="Titillium Web" w:hAnsi="Titillium Web"/>
        </w:rPr>
        <w:t xml:space="preserve"> Software per se this requirement still applies to any other work based on or including this work or portions of it which is a DLT Software or in any other way distributes tokens to its users. The specific perc</w:t>
      </w:r>
      <w:r>
        <w:rPr>
          <w:rFonts w:ascii="Titillium Web" w:hAnsi="Titillium Web"/>
        </w:rPr>
        <w:t>entage of the airdrop and the tokens to which it applies, which may also depend on how the new DLT Instance relates to the original one, are defined in the Special Conditions.</w:t>
      </w:r>
    </w:p>
    <w:p w14:paraId="2040C347" w14:textId="77777777" w:rsidR="00560970" w:rsidRDefault="00560970">
      <w:pPr>
        <w:pStyle w:val="BodyText"/>
        <w:spacing w:after="0" w:line="240" w:lineRule="auto"/>
        <w:jc w:val="both"/>
        <w:rPr>
          <w:rFonts w:ascii="Titillium Web" w:hAnsi="Titillium Web"/>
        </w:rPr>
      </w:pPr>
    </w:p>
    <w:p w14:paraId="6F903981" w14:textId="77777777" w:rsidR="00560970" w:rsidRDefault="00332CE7">
      <w:pPr>
        <w:pStyle w:val="BodyText"/>
        <w:spacing w:after="0" w:line="240" w:lineRule="auto"/>
        <w:jc w:val="both"/>
      </w:pPr>
      <w:r>
        <w:rPr>
          <w:rFonts w:ascii="Titillium Web" w:hAnsi="Titillium Web"/>
          <w:b/>
          <w:bCs/>
        </w:rPr>
        <w:lastRenderedPageBreak/>
        <w:tab/>
        <w:t>3.5</w:t>
      </w:r>
      <w:r>
        <w:rPr>
          <w:rFonts w:ascii="Titillium Web" w:hAnsi="Titillium Web"/>
        </w:rPr>
        <w:t xml:space="preserve"> All other provisions, designated in the Special Conditions and consistent with the specific requirements arising from the architecture of each particular decentralized ledger/consensus platform, are observed as well.</w:t>
      </w:r>
    </w:p>
    <w:p w14:paraId="0AFB0B58" w14:textId="77777777" w:rsidR="00560970" w:rsidRDefault="00560970">
      <w:pPr>
        <w:pStyle w:val="BodyText"/>
        <w:spacing w:after="0" w:line="240" w:lineRule="auto"/>
        <w:jc w:val="both"/>
        <w:rPr>
          <w:rFonts w:ascii="Titillium Web" w:hAnsi="Titillium Web"/>
        </w:rPr>
      </w:pPr>
    </w:p>
    <w:p w14:paraId="5BEEDDA6" w14:textId="77777777" w:rsidR="00560970" w:rsidRDefault="00332CE7">
      <w:pPr>
        <w:pStyle w:val="BodyText"/>
        <w:spacing w:after="0" w:line="240" w:lineRule="auto"/>
        <w:jc w:val="both"/>
      </w:pPr>
      <w:r>
        <w:rPr>
          <w:rFonts w:ascii="Titillium Web" w:hAnsi="Titillium Web"/>
        </w:rPr>
        <w:tab/>
      </w:r>
      <w:r>
        <w:rPr>
          <w:rFonts w:ascii="Titillium Web" w:hAnsi="Titillium Web"/>
          <w:b/>
          <w:bCs/>
        </w:rPr>
        <w:t>3.6</w:t>
      </w:r>
      <w:r>
        <w:rPr>
          <w:rFonts w:ascii="Titillium Web" w:hAnsi="Titillium Web"/>
        </w:rPr>
        <w:t xml:space="preserve"> These requirements apply to the </w:t>
      </w:r>
      <w:r>
        <w:rPr>
          <w:rFonts w:ascii="Titillium Web" w:hAnsi="Titillium Web"/>
        </w:rPr>
        <w:t xml:space="preserve">modified work as a whole. If identifiable sections of that work are not derived from the Covered Work, and can be reasonably considered independent and separate works in themselves, then this License, and its terms, do not apply to those sections when you </w:t>
      </w:r>
      <w:r>
        <w:rPr>
          <w:rFonts w:ascii="Titillium Web" w:hAnsi="Titillium Web"/>
        </w:rPr>
        <w:t xml:space="preserve">convey them as separate works. But when you convey the same sections as part of a whole which is a work based on the Covered Work, the conveyance of the whole must be on the terms of this License, whose permissions for other licensees extend to the entire </w:t>
      </w:r>
      <w:r>
        <w:rPr>
          <w:rFonts w:ascii="Titillium Web" w:hAnsi="Titillium Web"/>
        </w:rPr>
        <w:t>whole, and thus to each and every part regardless of who wrote it. Mere aggregation of another work not based on the Covered Work with the Covered Work (or with a work based on the Covered Work) on a volume of a storage or distribution medium does not brin</w:t>
      </w:r>
      <w:r>
        <w:rPr>
          <w:rFonts w:ascii="Titillium Web" w:hAnsi="Titillium Web"/>
        </w:rPr>
        <w:t>g the other work under the scope of this License.</w:t>
      </w:r>
    </w:p>
    <w:p w14:paraId="75BA095C" w14:textId="77777777" w:rsidR="00560970" w:rsidRDefault="00560970">
      <w:pPr>
        <w:pStyle w:val="BodyText"/>
        <w:spacing w:after="0" w:line="240" w:lineRule="auto"/>
        <w:jc w:val="both"/>
        <w:rPr>
          <w:rFonts w:ascii="Titillium Web" w:hAnsi="Titillium Web"/>
        </w:rPr>
      </w:pPr>
    </w:p>
    <w:p w14:paraId="7D060960" w14:textId="77777777" w:rsidR="00560970" w:rsidRDefault="00332CE7">
      <w:pPr>
        <w:pStyle w:val="BodyText"/>
        <w:spacing w:after="0" w:line="240" w:lineRule="auto"/>
        <w:jc w:val="both"/>
      </w:pPr>
      <w:r>
        <w:rPr>
          <w:rFonts w:ascii="Titillium Web" w:hAnsi="Titillium Web"/>
          <w:b/>
          <w:bCs/>
        </w:rPr>
        <w:t xml:space="preserve">Article 4. </w:t>
      </w:r>
      <w:r>
        <w:rPr>
          <w:rFonts w:ascii="Titillium Web" w:hAnsi="Titillium Web"/>
        </w:rPr>
        <w:t>You may convey a Covered Work in Object Code form under the terms of Articles 2 and 3 of the General Conditions, provided that you also convey the machine-readable Corresponding Source under the</w:t>
      </w:r>
      <w:r>
        <w:rPr>
          <w:rFonts w:ascii="Titillium Web" w:hAnsi="Titillium Web"/>
        </w:rPr>
        <w:t xml:space="preserve"> terms of this License, in one of these ways:</w:t>
      </w:r>
    </w:p>
    <w:p w14:paraId="6BA2AAEC" w14:textId="77777777" w:rsidR="00560970" w:rsidRDefault="00560970">
      <w:pPr>
        <w:pStyle w:val="BodyText"/>
        <w:spacing w:after="0" w:line="240" w:lineRule="auto"/>
        <w:jc w:val="both"/>
        <w:rPr>
          <w:rFonts w:ascii="Titillium Web" w:hAnsi="Titillium Web"/>
        </w:rPr>
      </w:pPr>
    </w:p>
    <w:p w14:paraId="5A841419" w14:textId="77777777" w:rsidR="00560970" w:rsidRDefault="00332CE7">
      <w:pPr>
        <w:pStyle w:val="BodyText"/>
        <w:spacing w:after="0" w:line="240" w:lineRule="auto"/>
        <w:jc w:val="both"/>
      </w:pPr>
      <w:r>
        <w:rPr>
          <w:rFonts w:ascii="Titillium Web" w:hAnsi="Titillium Web"/>
          <w:b/>
          <w:bCs/>
        </w:rPr>
        <w:tab/>
        <w:t>4.1</w:t>
      </w:r>
      <w:r>
        <w:rPr>
          <w:rFonts w:ascii="Titillium Web" w:hAnsi="Titillium Web"/>
        </w:rPr>
        <w:t xml:space="preserve"> Convey the Object Code in, or embodied in, a physical product (including a physical distribution medium), accompanied by the Corresponding Source fixed on a durable physical medium customarily used for so</w:t>
      </w:r>
      <w:r>
        <w:rPr>
          <w:rFonts w:ascii="Titillium Web" w:hAnsi="Titillium Web"/>
        </w:rPr>
        <w:t>ftware interchange.</w:t>
      </w:r>
    </w:p>
    <w:p w14:paraId="1803E05F" w14:textId="77777777" w:rsidR="00560970" w:rsidRDefault="00560970">
      <w:pPr>
        <w:pStyle w:val="BodyText"/>
        <w:spacing w:after="0" w:line="240" w:lineRule="auto"/>
        <w:jc w:val="both"/>
        <w:rPr>
          <w:rFonts w:ascii="Titillium Web" w:hAnsi="Titillium Web"/>
        </w:rPr>
      </w:pPr>
    </w:p>
    <w:p w14:paraId="67C35575" w14:textId="77777777" w:rsidR="00560970" w:rsidRDefault="00332CE7">
      <w:pPr>
        <w:pStyle w:val="BodyText"/>
        <w:spacing w:after="0" w:line="240" w:lineRule="auto"/>
        <w:jc w:val="both"/>
      </w:pPr>
      <w:r>
        <w:rPr>
          <w:rFonts w:ascii="Titillium Web" w:hAnsi="Titillium Web"/>
          <w:b/>
          <w:bCs/>
        </w:rPr>
        <w:tab/>
        <w:t>4.2</w:t>
      </w:r>
      <w:r>
        <w:rPr>
          <w:rFonts w:ascii="Titillium Web" w:hAnsi="Titillium Web"/>
        </w:rPr>
        <w:t xml:space="preserve"> </w:t>
      </w:r>
      <w:r>
        <w:rPr>
          <w:rFonts w:ascii="Titillium Web" w:hAnsi="Titillium Web"/>
        </w:rPr>
        <w:t>Convey the Object Code in, or embodied in, a physical product (including a physical distribution medium), accompanied by a written offer, valid for at least three years and valid for as long as you offer spare parts or customer su</w:t>
      </w:r>
      <w:r>
        <w:rPr>
          <w:rFonts w:ascii="Titillium Web" w:hAnsi="Titillium Web"/>
        </w:rPr>
        <w:t>pport for that product model, to give anyone who possesses the Object Code either (1) a copy of the Corresponding Source for all the software in the product that is covered by this License, on a durable physical medium customarily used for software interch</w:t>
      </w:r>
      <w:r>
        <w:rPr>
          <w:rFonts w:ascii="Titillium Web" w:hAnsi="Titillium Web"/>
        </w:rPr>
        <w:t>ange, for a price no more than your reasonable cost of physically performing this conveying of source, or (2) access to copy the Corresponding Source from a network server at no charge.</w:t>
      </w:r>
    </w:p>
    <w:p w14:paraId="4BB24524" w14:textId="77777777" w:rsidR="00560970" w:rsidRDefault="00560970">
      <w:pPr>
        <w:pStyle w:val="BodyText"/>
        <w:spacing w:after="0" w:line="240" w:lineRule="auto"/>
        <w:jc w:val="both"/>
        <w:rPr>
          <w:rFonts w:ascii="Titillium Web" w:hAnsi="Titillium Web"/>
        </w:rPr>
      </w:pPr>
    </w:p>
    <w:p w14:paraId="1113558A" w14:textId="77777777" w:rsidR="00560970" w:rsidRDefault="00332CE7">
      <w:pPr>
        <w:pStyle w:val="BodyText"/>
        <w:spacing w:after="0" w:line="240" w:lineRule="auto"/>
        <w:jc w:val="both"/>
      </w:pPr>
      <w:r>
        <w:rPr>
          <w:rFonts w:ascii="Titillium Web" w:hAnsi="Titillium Web"/>
          <w:b/>
          <w:bCs/>
        </w:rPr>
        <w:tab/>
        <w:t xml:space="preserve">4.3 </w:t>
      </w:r>
      <w:r>
        <w:rPr>
          <w:rFonts w:ascii="Titillium Web" w:hAnsi="Titillium Web"/>
        </w:rPr>
        <w:t>Convey individual copies of the Object Code with a copy of the w</w:t>
      </w:r>
      <w:r>
        <w:rPr>
          <w:rFonts w:ascii="Titillium Web" w:hAnsi="Titillium Web"/>
        </w:rPr>
        <w:t>ritten offer to provide the Corresponding Source. This alternative is allowed only occasionally and non-commercially, and only if you received the Object Code with such an offer, in accord with Article 4.2 above.</w:t>
      </w:r>
    </w:p>
    <w:p w14:paraId="2DC55258" w14:textId="77777777" w:rsidR="00560970" w:rsidRDefault="00560970">
      <w:pPr>
        <w:pStyle w:val="BodyText"/>
        <w:spacing w:after="0" w:line="240" w:lineRule="auto"/>
        <w:jc w:val="both"/>
        <w:rPr>
          <w:rFonts w:ascii="Titillium Web" w:hAnsi="Titillium Web"/>
        </w:rPr>
      </w:pPr>
    </w:p>
    <w:p w14:paraId="05F4D130" w14:textId="77777777" w:rsidR="00560970" w:rsidRDefault="00332CE7">
      <w:pPr>
        <w:pStyle w:val="BodyText"/>
        <w:spacing w:after="0" w:line="240" w:lineRule="auto"/>
        <w:jc w:val="both"/>
      </w:pPr>
      <w:r>
        <w:rPr>
          <w:rFonts w:ascii="Titillium Web" w:hAnsi="Titillium Web"/>
          <w:b/>
          <w:bCs/>
        </w:rPr>
        <w:tab/>
        <w:t>4.4</w:t>
      </w:r>
      <w:r>
        <w:rPr>
          <w:rFonts w:ascii="Titillium Web" w:hAnsi="Titillium Web"/>
        </w:rPr>
        <w:t xml:space="preserve"> Convey the Object Code by offering ac</w:t>
      </w:r>
      <w:r>
        <w:rPr>
          <w:rFonts w:ascii="Titillium Web" w:hAnsi="Titillium Web"/>
        </w:rPr>
        <w:t>cess from a designated place (gratis or for a charge), and offer equivalent access to the Corresponding Source in the same way through the same place at no further charge. You need not require recipients to copy the Corresponding Source along with the Obje</w:t>
      </w:r>
      <w:r>
        <w:rPr>
          <w:rFonts w:ascii="Titillium Web" w:hAnsi="Titillium Web"/>
        </w:rPr>
        <w:t>ct Code. If the place to copy the Object Code is a network server, the Corresponding Source may be on a different server (operated by you or a third party) that supports equivalent copying facilities, provided you maintain clear directions next to the Obje</w:t>
      </w:r>
      <w:r>
        <w:rPr>
          <w:rFonts w:ascii="Titillium Web" w:hAnsi="Titillium Web"/>
        </w:rPr>
        <w:t>ct Code saying where to find the Corresponding Source. Regardless of what server hosts the Corresponding Source, you remain obligated to ensure that it is available for as long as needed to satisfy these requirements.</w:t>
      </w:r>
    </w:p>
    <w:p w14:paraId="1C09E266" w14:textId="77777777" w:rsidR="00560970" w:rsidRDefault="00560970">
      <w:pPr>
        <w:pStyle w:val="BodyText"/>
        <w:spacing w:after="0" w:line="240" w:lineRule="auto"/>
        <w:jc w:val="both"/>
        <w:rPr>
          <w:rFonts w:ascii="Titillium Web" w:hAnsi="Titillium Web"/>
        </w:rPr>
      </w:pPr>
    </w:p>
    <w:p w14:paraId="423F333A" w14:textId="77777777" w:rsidR="00560970" w:rsidRDefault="00332CE7">
      <w:pPr>
        <w:pStyle w:val="BodyText"/>
        <w:spacing w:after="0" w:line="240" w:lineRule="auto"/>
        <w:jc w:val="both"/>
      </w:pPr>
      <w:r>
        <w:rPr>
          <w:rFonts w:ascii="Titillium Web" w:hAnsi="Titillium Web"/>
          <w:b/>
          <w:bCs/>
        </w:rPr>
        <w:tab/>
        <w:t xml:space="preserve">4.5 </w:t>
      </w:r>
      <w:r>
        <w:rPr>
          <w:rFonts w:ascii="Titillium Web" w:hAnsi="Titillium Web"/>
        </w:rPr>
        <w:t>Convey the Object Code using pee</w:t>
      </w:r>
      <w:r>
        <w:rPr>
          <w:rFonts w:ascii="Titillium Web" w:hAnsi="Titillium Web"/>
        </w:rPr>
        <w:t>r-to-peer transmission, provided you inform other peers where the Object Code and Corresponding Source of the work are being offered to the general public at no charge under Article 4.4 above.</w:t>
      </w:r>
    </w:p>
    <w:p w14:paraId="0D9D1F8D" w14:textId="77777777" w:rsidR="00560970" w:rsidRDefault="00332CE7">
      <w:pPr>
        <w:pStyle w:val="BodyText"/>
        <w:spacing w:after="0" w:line="240" w:lineRule="auto"/>
        <w:jc w:val="both"/>
      </w:pPr>
      <w:r>
        <w:rPr>
          <w:rFonts w:ascii="Titillium Web" w:hAnsi="Titillium Web"/>
          <w:b/>
          <w:bCs/>
        </w:rPr>
        <w:tab/>
        <w:t>4.6</w:t>
      </w:r>
      <w:r>
        <w:rPr>
          <w:rFonts w:ascii="Titillium Web" w:hAnsi="Titillium Web"/>
        </w:rPr>
        <w:t xml:space="preserve"> A separable portion of the Object Code, </w:t>
      </w:r>
      <w:proofErr w:type="gramStart"/>
      <w:r>
        <w:rPr>
          <w:rFonts w:ascii="Titillium Web" w:hAnsi="Titillium Web"/>
        </w:rPr>
        <w:t>whose</w:t>
      </w:r>
      <w:proofErr w:type="gramEnd"/>
      <w:r>
        <w:rPr>
          <w:rFonts w:ascii="Titillium Web" w:hAnsi="Titillium Web"/>
        </w:rPr>
        <w:t xml:space="preserve"> Source Code </w:t>
      </w:r>
      <w:r>
        <w:rPr>
          <w:rFonts w:ascii="Titillium Web" w:hAnsi="Titillium Web"/>
        </w:rPr>
        <w:t>is excluded from the Corresponding Source as a System Library, need not be included in conveying the Object Code work.</w:t>
      </w:r>
    </w:p>
    <w:p w14:paraId="5FD011C7" w14:textId="77777777" w:rsidR="00560970" w:rsidRDefault="00560970">
      <w:pPr>
        <w:pStyle w:val="BodyText"/>
        <w:spacing w:after="0" w:line="240" w:lineRule="auto"/>
        <w:jc w:val="both"/>
      </w:pPr>
    </w:p>
    <w:p w14:paraId="4C46E9EA" w14:textId="77777777" w:rsidR="00560970" w:rsidRDefault="00332CE7">
      <w:pPr>
        <w:pStyle w:val="BodyText"/>
        <w:spacing w:after="0" w:line="240" w:lineRule="auto"/>
        <w:jc w:val="both"/>
      </w:pPr>
      <w:r>
        <w:rPr>
          <w:rStyle w:val="StrongEmphasis"/>
          <w:rFonts w:ascii="Titillium Web" w:hAnsi="Titillium Web"/>
        </w:rPr>
        <w:t>Article 5.</w:t>
      </w:r>
      <w:r>
        <w:rPr>
          <w:rFonts w:ascii="Titillium Web" w:hAnsi="Titillium Web"/>
        </w:rPr>
        <w:t xml:space="preserve"> You may not use, copy, modify, or propagate the Covered Work except as expressly provided under this License. Any attempt oth</w:t>
      </w:r>
      <w:r>
        <w:rPr>
          <w:rFonts w:ascii="Titillium Web" w:hAnsi="Titillium Web"/>
        </w:rPr>
        <w:t xml:space="preserve">erwise to use, copy, modify </w:t>
      </w:r>
      <w:proofErr w:type="gramStart"/>
      <w:r>
        <w:rPr>
          <w:rFonts w:ascii="Titillium Web" w:hAnsi="Titillium Web"/>
        </w:rPr>
        <w:t>or  propagate</w:t>
      </w:r>
      <w:proofErr w:type="gramEnd"/>
      <w:r>
        <w:rPr>
          <w:rFonts w:ascii="Titillium Web" w:hAnsi="Titillium Web"/>
        </w:rPr>
        <w:t xml:space="preserve"> the Covered </w:t>
      </w:r>
      <w:r>
        <w:rPr>
          <w:rFonts w:ascii="Titillium Web" w:hAnsi="Titillium Web"/>
        </w:rPr>
        <w:lastRenderedPageBreak/>
        <w:t>Work is void, and will automatically terminate your rights under this License. However, parties who have received copies, or rights, from you under this License will not have their licenses terminated s</w:t>
      </w:r>
      <w:r>
        <w:rPr>
          <w:rFonts w:ascii="Titillium Web" w:hAnsi="Titillium Web"/>
        </w:rPr>
        <w:t>o long as such parties remain in full compliance.</w:t>
      </w:r>
    </w:p>
    <w:p w14:paraId="5788A20E" w14:textId="77777777" w:rsidR="00560970" w:rsidRDefault="00560970">
      <w:pPr>
        <w:pStyle w:val="BodyText"/>
        <w:spacing w:after="0" w:line="240" w:lineRule="auto"/>
        <w:jc w:val="both"/>
        <w:rPr>
          <w:rFonts w:ascii="Titillium Web" w:hAnsi="Titillium Web"/>
        </w:rPr>
      </w:pPr>
    </w:p>
    <w:p w14:paraId="2FBDCA14" w14:textId="77777777" w:rsidR="00560970" w:rsidRDefault="00332CE7">
      <w:pPr>
        <w:pStyle w:val="BodyText"/>
        <w:spacing w:after="0" w:line="240" w:lineRule="auto"/>
        <w:jc w:val="both"/>
      </w:pPr>
      <w:r>
        <w:rPr>
          <w:rStyle w:val="StrongEmphasis"/>
          <w:rFonts w:ascii="Titillium Web" w:hAnsi="Titillium Web"/>
        </w:rPr>
        <w:t>Article 6.</w:t>
      </w:r>
      <w:r>
        <w:rPr>
          <w:rFonts w:ascii="Titillium Web" w:hAnsi="Titillium Web"/>
        </w:rPr>
        <w:t xml:space="preserve"> You are not required to accept this License, since you have not signed it. However, nothing else grants you permission to copy, use, modify or propagate Covered Works. These actions are prohibit</w:t>
      </w:r>
      <w:r>
        <w:rPr>
          <w:rFonts w:ascii="Titillium Web" w:hAnsi="Titillium Web"/>
        </w:rPr>
        <w:t>ed if you do not accept this License. Therefore, by modifying or propagating the Covered Work, you indicate your acceptance of this License to do so, and all its terms and conditions for, as specified in the General Conditions and Special Conditions, copyi</w:t>
      </w:r>
      <w:r>
        <w:rPr>
          <w:rFonts w:ascii="Titillium Web" w:hAnsi="Titillium Web"/>
        </w:rPr>
        <w:t>ng, using, propagating or modifying the Covered Work.</w:t>
      </w:r>
    </w:p>
    <w:p w14:paraId="1EFE36B0" w14:textId="77777777" w:rsidR="00560970" w:rsidRDefault="00560970">
      <w:pPr>
        <w:pStyle w:val="BodyText"/>
        <w:spacing w:after="0" w:line="240" w:lineRule="auto"/>
        <w:jc w:val="both"/>
        <w:rPr>
          <w:rFonts w:ascii="Titillium Web" w:hAnsi="Titillium Web"/>
        </w:rPr>
      </w:pPr>
    </w:p>
    <w:p w14:paraId="1984B41D" w14:textId="77777777" w:rsidR="00560970" w:rsidRDefault="00332CE7">
      <w:pPr>
        <w:pStyle w:val="BodyText"/>
        <w:spacing w:after="0" w:line="240" w:lineRule="auto"/>
        <w:jc w:val="both"/>
      </w:pPr>
      <w:r>
        <w:rPr>
          <w:rStyle w:val="StrongEmphasis"/>
          <w:rFonts w:ascii="Titillium Web" w:hAnsi="Titillium Web"/>
        </w:rPr>
        <w:t>Article 7.</w:t>
      </w:r>
      <w:r>
        <w:rPr>
          <w:rFonts w:ascii="Titillium Web" w:hAnsi="Titillium Web"/>
        </w:rPr>
        <w:t xml:space="preserve"> Each time you convey the Covered Work, the recipient automatically receives a license from the original Licensor to use, copy, propagate or modify the Covered Work subject to terms and condi</w:t>
      </w:r>
      <w:r>
        <w:rPr>
          <w:rFonts w:ascii="Titillium Web" w:hAnsi="Titillium Web"/>
        </w:rPr>
        <w:t xml:space="preserve">tions at least equal and in accordance with this License. In this regard, the license granted on behalf of the original Licensor by the propagator of the Covered Work </w:t>
      </w:r>
      <w:proofErr w:type="gramStart"/>
      <w:r>
        <w:rPr>
          <w:rFonts w:ascii="Titillium Web" w:hAnsi="Titillium Web"/>
        </w:rPr>
        <w:t>may</w:t>
      </w:r>
      <w:proofErr w:type="gramEnd"/>
      <w:r>
        <w:rPr>
          <w:rFonts w:ascii="Titillium Web" w:hAnsi="Titillium Web"/>
        </w:rPr>
        <w:t xml:space="preserve"> amend this License only to the following extent:</w:t>
      </w:r>
    </w:p>
    <w:p w14:paraId="12FE7C87" w14:textId="77777777" w:rsidR="00560970" w:rsidRDefault="00560970">
      <w:pPr>
        <w:pStyle w:val="BodyText"/>
        <w:spacing w:after="0" w:line="240" w:lineRule="auto"/>
        <w:jc w:val="both"/>
        <w:rPr>
          <w:rFonts w:ascii="Titillium Web" w:hAnsi="Titillium Web"/>
        </w:rPr>
      </w:pPr>
    </w:p>
    <w:p w14:paraId="47FBFF2A" w14:textId="77777777" w:rsidR="00560970" w:rsidRDefault="00332CE7">
      <w:pPr>
        <w:pStyle w:val="BodyText"/>
        <w:spacing w:after="0" w:line="240" w:lineRule="auto"/>
        <w:jc w:val="both"/>
      </w:pPr>
      <w:r>
        <w:rPr>
          <w:rFonts w:ascii="Titillium Web" w:hAnsi="Titillium Web"/>
          <w:b/>
        </w:rPr>
        <w:tab/>
        <w:t>7.1</w:t>
      </w:r>
      <w:r>
        <w:rPr>
          <w:rFonts w:ascii="Titillium Web" w:hAnsi="Titillium Web"/>
        </w:rPr>
        <w:t xml:space="preserve"> You can add additional airdrop</w:t>
      </w:r>
      <w:r>
        <w:rPr>
          <w:rFonts w:ascii="Titillium Web" w:hAnsi="Titillium Web"/>
        </w:rPr>
        <w:t xml:space="preserve"> requirements towards the holders of your unique DLT Instance as long as those do not in any way reduce or interfere with the airdrop owed to the original DLT Instance account holders.</w:t>
      </w:r>
    </w:p>
    <w:p w14:paraId="2978C9F9" w14:textId="77777777" w:rsidR="00560970" w:rsidRDefault="00560970">
      <w:pPr>
        <w:pStyle w:val="BodyText"/>
        <w:spacing w:after="0" w:line="240" w:lineRule="auto"/>
        <w:jc w:val="both"/>
        <w:rPr>
          <w:rFonts w:ascii="Titillium Web" w:hAnsi="Titillium Web"/>
        </w:rPr>
      </w:pPr>
    </w:p>
    <w:p w14:paraId="19E91586" w14:textId="77777777" w:rsidR="00560970" w:rsidRDefault="00332CE7">
      <w:pPr>
        <w:pStyle w:val="BodyText"/>
        <w:spacing w:after="0" w:line="240" w:lineRule="auto"/>
        <w:jc w:val="both"/>
      </w:pPr>
      <w:r>
        <w:rPr>
          <w:rFonts w:ascii="Titillium Web" w:hAnsi="Titillium Web"/>
          <w:b/>
        </w:rPr>
        <w:tab/>
        <w:t>7.2</w:t>
      </w:r>
      <w:r>
        <w:rPr>
          <w:rFonts w:ascii="Titillium Web" w:hAnsi="Titillium Web"/>
        </w:rPr>
        <w:t xml:space="preserve"> If the distribution and/or use of the Covered Work </w:t>
      </w:r>
      <w:proofErr w:type="gramStart"/>
      <w:r>
        <w:rPr>
          <w:rFonts w:ascii="Titillium Web" w:hAnsi="Titillium Web"/>
        </w:rPr>
        <w:t>is</w:t>
      </w:r>
      <w:proofErr w:type="gramEnd"/>
      <w:r>
        <w:rPr>
          <w:rFonts w:ascii="Titillium Web" w:hAnsi="Titillium Web"/>
        </w:rPr>
        <w:t xml:space="preserve"> restricted </w:t>
      </w:r>
      <w:r>
        <w:rPr>
          <w:rFonts w:ascii="Titillium Web" w:hAnsi="Titillium Web"/>
        </w:rPr>
        <w:t>in certain countries either by patents, by copyrighted interfaces or by law, the original copyright holder who places the Covered Work under this License may add an explicit geographical distribution limitation excluding those countries, so that distributi</w:t>
      </w:r>
      <w:r>
        <w:rPr>
          <w:rFonts w:ascii="Titillium Web" w:hAnsi="Titillium Web"/>
        </w:rPr>
        <w:t>on is permitted only in or among countries not thus excluded. In such case, this License incorporates the limitation as if written in the body of this License.</w:t>
      </w:r>
    </w:p>
    <w:p w14:paraId="1DEB74C6" w14:textId="77777777" w:rsidR="00560970" w:rsidRDefault="00560970">
      <w:pPr>
        <w:pStyle w:val="BodyText"/>
        <w:spacing w:after="0" w:line="240" w:lineRule="auto"/>
        <w:jc w:val="both"/>
        <w:rPr>
          <w:rFonts w:ascii="Titillium Web" w:hAnsi="Titillium Web"/>
        </w:rPr>
      </w:pPr>
    </w:p>
    <w:p w14:paraId="6CEB8128" w14:textId="77777777" w:rsidR="00560970" w:rsidRDefault="00332CE7">
      <w:pPr>
        <w:pStyle w:val="BodyText"/>
        <w:spacing w:after="0" w:line="240" w:lineRule="auto"/>
        <w:jc w:val="both"/>
      </w:pPr>
      <w:bookmarkStart w:id="2" w:name="section71"/>
      <w:bookmarkEnd w:id="2"/>
      <w:r>
        <w:rPr>
          <w:rStyle w:val="StrongEmphasis"/>
          <w:rFonts w:ascii="Titillium Web" w:hAnsi="Titillium Web"/>
        </w:rPr>
        <w:t>Article 8.</w:t>
      </w:r>
      <w:r>
        <w:rPr>
          <w:rFonts w:ascii="Titillium Web" w:hAnsi="Titillium Web"/>
        </w:rPr>
        <w:t xml:space="preserve"> If, as a consequence of a court judgment or allegation of patent infringement or for any other reason (not limited to patent issues), conditions are imposed on you (whether by court order, agreement or otherwise) that contradict the conditions of this Lic</w:t>
      </w:r>
      <w:r>
        <w:rPr>
          <w:rFonts w:ascii="Titillium Web" w:hAnsi="Titillium Web"/>
        </w:rPr>
        <w:t>ense, they do not excuse you from the conditions of this License. If you cannot distribute so as to satisfy simultaneously your obligations under this License and any other pertinent obligations, then as a consequence you may not propagate the Covered Work</w:t>
      </w:r>
      <w:r>
        <w:rPr>
          <w:rFonts w:ascii="Titillium Web" w:hAnsi="Titillium Web"/>
        </w:rPr>
        <w:t xml:space="preserve"> at all. For example, if a patent license would not permit royalty-free redistribution of the Covered Work by all those who receive copies directly or indirectly through you, then the only way you could satisfy both it and this License would be to refrain </w:t>
      </w:r>
      <w:r>
        <w:rPr>
          <w:rFonts w:ascii="Titillium Web" w:hAnsi="Titillium Web"/>
        </w:rPr>
        <w:t>entirely from distribution of the Covered Work.</w:t>
      </w:r>
    </w:p>
    <w:p w14:paraId="21C6C256" w14:textId="77777777" w:rsidR="00560970" w:rsidRDefault="00560970">
      <w:pPr>
        <w:pStyle w:val="BodyText"/>
        <w:spacing w:after="0" w:line="240" w:lineRule="auto"/>
        <w:jc w:val="both"/>
        <w:rPr>
          <w:rFonts w:ascii="Titillium Web" w:hAnsi="Titillium Web"/>
        </w:rPr>
      </w:pPr>
    </w:p>
    <w:p w14:paraId="611A18CF" w14:textId="77777777" w:rsidR="00560970" w:rsidRDefault="00332CE7">
      <w:pPr>
        <w:pStyle w:val="BodyText"/>
        <w:spacing w:after="0" w:line="240" w:lineRule="auto"/>
        <w:jc w:val="both"/>
      </w:pPr>
      <w:bookmarkStart w:id="3" w:name="section91"/>
      <w:bookmarkStart w:id="4" w:name="section81"/>
      <w:bookmarkEnd w:id="3"/>
      <w:bookmarkEnd w:id="4"/>
      <w:r>
        <w:rPr>
          <w:rStyle w:val="StrongEmphasis"/>
          <w:rFonts w:ascii="Titillium Web" w:hAnsi="Titillium Web"/>
        </w:rPr>
        <w:t>Article 9.</w:t>
      </w:r>
      <w:r>
        <w:rPr>
          <w:rFonts w:ascii="Titillium Web" w:hAnsi="Titillium Web"/>
        </w:rPr>
        <w:t xml:space="preserve"> </w:t>
      </w:r>
      <w:proofErr w:type="spellStart"/>
      <w:r>
        <w:rPr>
          <w:rFonts w:ascii="Titillium Web" w:hAnsi="Titillium Web"/>
        </w:rPr>
        <w:t>Jelurida</w:t>
      </w:r>
      <w:proofErr w:type="spellEnd"/>
      <w:r>
        <w:rPr>
          <w:rFonts w:ascii="Titillium Web" w:hAnsi="Titillium Web"/>
        </w:rPr>
        <w:t xml:space="preserve"> IP B.V. may publish revised and/or new versions of the </w:t>
      </w:r>
      <w:proofErr w:type="spellStart"/>
      <w:r>
        <w:rPr>
          <w:rFonts w:ascii="Titillium Web" w:hAnsi="Titillium Web"/>
        </w:rPr>
        <w:t>Jelurida</w:t>
      </w:r>
      <w:proofErr w:type="spellEnd"/>
      <w:r>
        <w:rPr>
          <w:rFonts w:ascii="Titillium Web" w:hAnsi="Titillium Web"/>
        </w:rPr>
        <w:t xml:space="preserve"> Public License from time to time. Such new versions will be similar in spirit to the present version, but may differ in det</w:t>
      </w:r>
      <w:r>
        <w:rPr>
          <w:rFonts w:ascii="Titillium Web" w:hAnsi="Titillium Web"/>
        </w:rPr>
        <w:t xml:space="preserve">ail to address new problems or concerns. To avoid ambiguity, everyone who wishes to use the text of the </w:t>
      </w:r>
      <w:proofErr w:type="spellStart"/>
      <w:r>
        <w:rPr>
          <w:rFonts w:ascii="Titillium Web" w:hAnsi="Titillium Web"/>
        </w:rPr>
        <w:t>Jelurida</w:t>
      </w:r>
      <w:proofErr w:type="spellEnd"/>
      <w:r>
        <w:rPr>
          <w:rFonts w:ascii="Titillium Web" w:hAnsi="Titillium Web"/>
        </w:rPr>
        <w:t xml:space="preserve"> Public License must always specify under which version of the JPL </w:t>
      </w:r>
      <w:proofErr w:type="gramStart"/>
      <w:r>
        <w:rPr>
          <w:rFonts w:ascii="Titillium Web" w:hAnsi="Titillium Web"/>
        </w:rPr>
        <w:t>their</w:t>
      </w:r>
      <w:proofErr w:type="gramEnd"/>
      <w:r>
        <w:rPr>
          <w:rFonts w:ascii="Titillium Web" w:hAnsi="Titillium Web"/>
        </w:rPr>
        <w:t xml:space="preserve"> Covered Work is released.</w:t>
      </w:r>
    </w:p>
    <w:p w14:paraId="4136A68C" w14:textId="77777777" w:rsidR="00560970" w:rsidRDefault="00560970">
      <w:pPr>
        <w:pStyle w:val="BodyText"/>
        <w:spacing w:after="0" w:line="240" w:lineRule="auto"/>
        <w:jc w:val="both"/>
        <w:rPr>
          <w:rFonts w:ascii="Titillium Web" w:hAnsi="Titillium Web"/>
        </w:rPr>
      </w:pPr>
    </w:p>
    <w:p w14:paraId="68A03188" w14:textId="77777777" w:rsidR="00560970" w:rsidRDefault="00332CE7">
      <w:pPr>
        <w:pStyle w:val="BodyText"/>
        <w:spacing w:after="0" w:line="240" w:lineRule="auto"/>
        <w:jc w:val="both"/>
      </w:pPr>
      <w:r>
        <w:rPr>
          <w:rStyle w:val="StrongEmphasis"/>
          <w:rFonts w:ascii="Titillium Web" w:hAnsi="Titillium Web"/>
        </w:rPr>
        <w:t xml:space="preserve">Article 10. </w:t>
      </w:r>
      <w:r>
        <w:rPr>
          <w:rFonts w:ascii="Titillium Web" w:hAnsi="Titillium Web"/>
        </w:rPr>
        <w:t xml:space="preserve">Every Copyright Holder is permitted to use the text of the </w:t>
      </w:r>
      <w:proofErr w:type="spellStart"/>
      <w:r>
        <w:rPr>
          <w:rFonts w:ascii="Titillium Web" w:hAnsi="Titillium Web"/>
        </w:rPr>
        <w:t>Jelurida</w:t>
      </w:r>
      <w:proofErr w:type="spellEnd"/>
      <w:r>
        <w:rPr>
          <w:rFonts w:ascii="Titillium Web" w:hAnsi="Titillium Web"/>
        </w:rPr>
        <w:t xml:space="preserve"> Public License for their own Covered Work provided that they: (</w:t>
      </w:r>
      <w:proofErr w:type="spellStart"/>
      <w:r>
        <w:rPr>
          <w:rFonts w:ascii="Titillium Web" w:hAnsi="Titillium Web"/>
        </w:rPr>
        <w:t>i</w:t>
      </w:r>
      <w:proofErr w:type="spellEnd"/>
      <w:r>
        <w:rPr>
          <w:rFonts w:ascii="Titillium Web" w:hAnsi="Titillium Web"/>
        </w:rPr>
        <w:t xml:space="preserve">) keep the name </w:t>
      </w:r>
      <w:proofErr w:type="spellStart"/>
      <w:r>
        <w:rPr>
          <w:rFonts w:ascii="Titillium Web" w:hAnsi="Titillium Web"/>
        </w:rPr>
        <w:t>Jelurida</w:t>
      </w:r>
      <w:proofErr w:type="spellEnd"/>
      <w:r>
        <w:rPr>
          <w:rFonts w:ascii="Titillium Web" w:hAnsi="Titillium Web"/>
        </w:rPr>
        <w:t xml:space="preserve"> Public License </w:t>
      </w:r>
      <w:bookmarkStart w:id="5" w:name="__DdeLink__266_4024924759"/>
      <w:r>
        <w:rPr>
          <w:rFonts w:ascii="Titillium Web" w:hAnsi="Titillium Web"/>
        </w:rPr>
        <w:t>(you can append the name of the specific DLT Instance, e.g. "</w:t>
      </w:r>
      <w:proofErr w:type="spellStart"/>
      <w:r>
        <w:rPr>
          <w:rFonts w:ascii="Titillium Web" w:hAnsi="Titillium Web"/>
        </w:rPr>
        <w:t>Jelurida</w:t>
      </w:r>
      <w:proofErr w:type="spellEnd"/>
      <w:r>
        <w:rPr>
          <w:rFonts w:ascii="Titillium Web" w:hAnsi="Titillium Web"/>
        </w:rPr>
        <w:t xml:space="preserve"> Public License</w:t>
      </w:r>
      <w:r>
        <w:rPr>
          <w:rFonts w:ascii="Titillium Web" w:hAnsi="Titillium Web"/>
        </w:rPr>
        <w:t xml:space="preserve"> version 1.0 for </w:t>
      </w:r>
      <w:proofErr w:type="gramStart"/>
      <w:r>
        <w:rPr>
          <w:rFonts w:ascii="Titillium Web" w:hAnsi="Titillium Web"/>
        </w:rPr>
        <w:t xml:space="preserve">the  </w:t>
      </w:r>
      <w:proofErr w:type="spellStart"/>
      <w:r>
        <w:rPr>
          <w:rFonts w:ascii="Titillium Web" w:hAnsi="Titillium Web"/>
        </w:rPr>
        <w:t>Nxt</w:t>
      </w:r>
      <w:proofErr w:type="spellEnd"/>
      <w:proofErr w:type="gramEnd"/>
      <w:r>
        <w:rPr>
          <w:rFonts w:ascii="Titillium Web" w:hAnsi="Titillium Web"/>
        </w:rPr>
        <w:t xml:space="preserve"> Public </w:t>
      </w:r>
      <w:proofErr w:type="spellStart"/>
      <w:r>
        <w:rPr>
          <w:rFonts w:ascii="Titillium Web" w:hAnsi="Titillium Web"/>
        </w:rPr>
        <w:t>Blockchain</w:t>
      </w:r>
      <w:proofErr w:type="spellEnd"/>
      <w:r>
        <w:rPr>
          <w:rFonts w:ascii="Titillium Web" w:hAnsi="Titillium Web"/>
        </w:rPr>
        <w:t>")</w:t>
      </w:r>
      <w:bookmarkEnd w:id="5"/>
      <w:r>
        <w:rPr>
          <w:rFonts w:ascii="Titillium Web" w:hAnsi="Titillium Web"/>
        </w:rPr>
        <w:t>, (ii) remove the Preamble and (iii) do not change the General Conditions. Every Copyright Holder is permitted to adapt the Special Conditions to their specific case under (</w:t>
      </w:r>
      <w:proofErr w:type="spellStart"/>
      <w:r>
        <w:rPr>
          <w:rFonts w:ascii="Titillium Web" w:hAnsi="Titillium Web"/>
        </w:rPr>
        <w:t>i</w:t>
      </w:r>
      <w:proofErr w:type="spellEnd"/>
      <w:r>
        <w:rPr>
          <w:rFonts w:ascii="Titillium Web" w:hAnsi="Titillium Web"/>
        </w:rPr>
        <w:t>), (ii) and (iii) above to the extent</w:t>
      </w:r>
      <w:r>
        <w:rPr>
          <w:rFonts w:ascii="Titillium Web" w:hAnsi="Titillium Web"/>
        </w:rPr>
        <w:t xml:space="preserve"> that they do not contradict the General Conditions </w:t>
      </w:r>
      <w:proofErr w:type="gramStart"/>
      <w:r>
        <w:rPr>
          <w:rFonts w:ascii="Titillium Web" w:hAnsi="Titillium Web"/>
        </w:rPr>
        <w:t>nor</w:t>
      </w:r>
      <w:proofErr w:type="gramEnd"/>
      <w:r>
        <w:rPr>
          <w:rFonts w:ascii="Titillium Web" w:hAnsi="Titillium Web"/>
        </w:rPr>
        <w:t xml:space="preserve"> the spirit of the </w:t>
      </w:r>
      <w:proofErr w:type="spellStart"/>
      <w:r>
        <w:rPr>
          <w:rFonts w:ascii="Titillium Web" w:hAnsi="Titillium Web"/>
        </w:rPr>
        <w:t>Jelurida</w:t>
      </w:r>
      <w:proofErr w:type="spellEnd"/>
      <w:r>
        <w:rPr>
          <w:rFonts w:ascii="Titillium Web" w:hAnsi="Titillium Web"/>
        </w:rPr>
        <w:t xml:space="preserve"> Public License. </w:t>
      </w:r>
    </w:p>
    <w:p w14:paraId="64992517" w14:textId="77777777" w:rsidR="00560970" w:rsidRDefault="00560970">
      <w:pPr>
        <w:pStyle w:val="BodyText"/>
        <w:spacing w:after="0" w:line="240" w:lineRule="auto"/>
        <w:jc w:val="both"/>
        <w:rPr>
          <w:rStyle w:val="StrongEmphasis"/>
          <w:rFonts w:ascii="Titillium Web" w:hAnsi="Titillium Web"/>
        </w:rPr>
      </w:pPr>
    </w:p>
    <w:p w14:paraId="6230D8C4" w14:textId="77777777" w:rsidR="00560970" w:rsidRDefault="00332CE7">
      <w:pPr>
        <w:pStyle w:val="BodyText"/>
        <w:spacing w:after="0" w:line="240" w:lineRule="auto"/>
        <w:jc w:val="both"/>
      </w:pPr>
      <w:r>
        <w:rPr>
          <w:rStyle w:val="StrongEmphasis"/>
          <w:rFonts w:ascii="Titillium Web" w:hAnsi="Titillium Web"/>
        </w:rPr>
        <w:lastRenderedPageBreak/>
        <w:t xml:space="preserve">Article 11. </w:t>
      </w:r>
      <w:r>
        <w:rPr>
          <w:rStyle w:val="StrongEmphasis"/>
          <w:rFonts w:ascii="Titillium Web" w:hAnsi="Titillium Web"/>
          <w:b w:val="0"/>
          <w:bCs w:val="0"/>
        </w:rPr>
        <w:t>If the Special Conditions contradict the General Conditions or any part of them, the provisions of the General Conditions shall take precedence</w:t>
      </w:r>
      <w:r>
        <w:rPr>
          <w:rStyle w:val="StrongEmphasis"/>
          <w:rFonts w:ascii="Titillium Web" w:hAnsi="Titillium Web"/>
          <w:b w:val="0"/>
          <w:bCs w:val="0"/>
        </w:rPr>
        <w:t>.</w:t>
      </w:r>
    </w:p>
    <w:p w14:paraId="06F8C93F" w14:textId="77777777" w:rsidR="00560970" w:rsidRDefault="00560970">
      <w:pPr>
        <w:pStyle w:val="BodyText"/>
        <w:spacing w:after="0" w:line="240" w:lineRule="auto"/>
        <w:jc w:val="both"/>
        <w:rPr>
          <w:rStyle w:val="StrongEmphasis"/>
          <w:rFonts w:ascii="Titillium Web" w:hAnsi="Titillium Web"/>
        </w:rPr>
      </w:pPr>
    </w:p>
    <w:p w14:paraId="114D3AE6" w14:textId="77777777" w:rsidR="00560970" w:rsidRDefault="00332CE7">
      <w:pPr>
        <w:pStyle w:val="BodyText"/>
        <w:spacing w:after="0" w:line="240" w:lineRule="auto"/>
        <w:jc w:val="both"/>
      </w:pPr>
      <w:bookmarkStart w:id="6" w:name="__DdeLink__298_1131386331"/>
      <w:r>
        <w:rPr>
          <w:rStyle w:val="StrongEmphasis"/>
          <w:rFonts w:ascii="Titillium Web" w:hAnsi="Titillium Web"/>
        </w:rPr>
        <w:t>Article</w:t>
      </w:r>
      <w:bookmarkEnd w:id="6"/>
      <w:r>
        <w:rPr>
          <w:rStyle w:val="StrongEmphasis"/>
          <w:rFonts w:ascii="Titillium Web" w:hAnsi="Titillium Web"/>
        </w:rPr>
        <w:t xml:space="preserve"> 12. </w:t>
      </w:r>
      <w:r>
        <w:rPr>
          <w:rStyle w:val="StrongEmphasis"/>
          <w:rFonts w:ascii="Titillium Web" w:hAnsi="Titillium Web"/>
          <w:b w:val="0"/>
          <w:bCs w:val="0"/>
        </w:rPr>
        <w:t xml:space="preserve">If you cannot satisfy Article 3.4 and 3.4.1 of the General Conditions or you are not willing to do so, or if you require a customized DLT Instance for internal use (i.e. a private </w:t>
      </w:r>
      <w:proofErr w:type="spellStart"/>
      <w:r>
        <w:rPr>
          <w:rStyle w:val="StrongEmphasis"/>
          <w:rFonts w:ascii="Titillium Web" w:hAnsi="Titillium Web"/>
          <w:b w:val="0"/>
          <w:bCs w:val="0"/>
        </w:rPr>
        <w:t>blockchain</w:t>
      </w:r>
      <w:proofErr w:type="spellEnd"/>
      <w:r>
        <w:rPr>
          <w:rStyle w:val="StrongEmphasis"/>
          <w:rFonts w:ascii="Titillium Web" w:hAnsi="Titillium Web"/>
          <w:b w:val="0"/>
          <w:bCs w:val="0"/>
        </w:rPr>
        <w:t>) based on the DLT Software you must obtain permiss</w:t>
      </w:r>
      <w:r>
        <w:rPr>
          <w:rStyle w:val="StrongEmphasis"/>
          <w:rFonts w:ascii="Titillium Web" w:hAnsi="Titillium Web"/>
          <w:b w:val="0"/>
          <w:bCs w:val="0"/>
        </w:rPr>
        <w:t xml:space="preserve">ion or purchase a commercial license from the original Copyright Holder however he is not in any way obliged to grant permission or sell such a license. </w:t>
      </w:r>
    </w:p>
    <w:p w14:paraId="5AD94832" w14:textId="77777777" w:rsidR="00560970" w:rsidRDefault="00560970">
      <w:pPr>
        <w:pStyle w:val="BodyText"/>
        <w:spacing w:after="0" w:line="240" w:lineRule="auto"/>
        <w:jc w:val="both"/>
        <w:rPr>
          <w:rStyle w:val="StrongEmphasis"/>
          <w:rFonts w:ascii="Titillium Web" w:hAnsi="Titillium Web"/>
        </w:rPr>
      </w:pPr>
    </w:p>
    <w:p w14:paraId="5CB37A4F" w14:textId="77777777" w:rsidR="00560970" w:rsidRDefault="00332CE7">
      <w:pPr>
        <w:pStyle w:val="BodyText"/>
        <w:spacing w:after="0" w:line="240" w:lineRule="auto"/>
        <w:jc w:val="both"/>
      </w:pPr>
      <w:r>
        <w:rPr>
          <w:rStyle w:val="StrongEmphasis"/>
          <w:rFonts w:ascii="Titillium Web" w:hAnsi="Titillium Web"/>
        </w:rPr>
        <w:t>Article 13. No warranty</w:t>
      </w:r>
    </w:p>
    <w:p w14:paraId="6C6801DD" w14:textId="77777777" w:rsidR="00560970" w:rsidRDefault="00560970">
      <w:pPr>
        <w:pStyle w:val="BodyText"/>
        <w:spacing w:after="0" w:line="240" w:lineRule="auto"/>
        <w:jc w:val="both"/>
        <w:rPr>
          <w:rStyle w:val="StrongEmphasis"/>
          <w:rFonts w:ascii="Titillium Web" w:hAnsi="Titillium Web"/>
        </w:rPr>
      </w:pPr>
    </w:p>
    <w:p w14:paraId="6D1C5AF7" w14:textId="77777777" w:rsidR="00560970" w:rsidRDefault="00332CE7">
      <w:pPr>
        <w:pStyle w:val="BodyText"/>
        <w:spacing w:after="0" w:line="240" w:lineRule="auto"/>
        <w:jc w:val="both"/>
      </w:pPr>
      <w:r>
        <w:rPr>
          <w:rFonts w:ascii="Titillium Web" w:hAnsi="Titillium Web"/>
        </w:rPr>
        <w:t xml:space="preserve">THE COPYRIGHT HOLDERS AND/OR OTHER PARTIES PROVIDE THE COVERED WORK "AS IS" </w:t>
      </w:r>
      <w:r>
        <w:rPr>
          <w:rFonts w:ascii="Titillium Web" w:hAnsi="Titillium Web"/>
        </w:rPr>
        <w:t>WITHOUT WARRANTY OF ANY KIND, EITHER EXPRESSED OR IMPLIED, INCLUDING, BUT NOT LIMITED TO, THE IMPLIED WARRANTIES OF MERCHANTABILITY AND FITNESS FOR A PARTICULAR PURPOSE. THE ENTIRE RISK AS TO THE QUALITY AND PERFORMANCE OF THE COVERED WORK IS WITH YOU. SHO</w:t>
      </w:r>
      <w:r>
        <w:rPr>
          <w:rFonts w:ascii="Titillium Web" w:hAnsi="Titillium Web"/>
        </w:rPr>
        <w:t xml:space="preserve">ULD THE COVERED WORK PROVE DEFECTIVE, YOU ASSUME THE COST OF ALL NECESSARY SERVICING, REPAIR OR CORRECTION. </w:t>
      </w:r>
    </w:p>
    <w:p w14:paraId="73DAB448" w14:textId="77777777" w:rsidR="00560970" w:rsidRDefault="00560970">
      <w:pPr>
        <w:pStyle w:val="BodyText"/>
        <w:spacing w:after="0" w:line="240" w:lineRule="auto"/>
        <w:jc w:val="both"/>
        <w:rPr>
          <w:rStyle w:val="StrongEmphasis"/>
          <w:rFonts w:ascii="Titillium Web" w:hAnsi="Titillium Web"/>
        </w:rPr>
      </w:pPr>
    </w:p>
    <w:p w14:paraId="2843266B" w14:textId="77777777" w:rsidR="00560970" w:rsidRDefault="00560970">
      <w:pPr>
        <w:pStyle w:val="BodyText"/>
        <w:spacing w:after="0" w:line="240" w:lineRule="auto"/>
        <w:jc w:val="both"/>
        <w:rPr>
          <w:rStyle w:val="StrongEmphasis"/>
          <w:rFonts w:ascii="Titillium Web" w:hAnsi="Titillium Web"/>
        </w:rPr>
      </w:pPr>
    </w:p>
    <w:p w14:paraId="33259EE1" w14:textId="77777777" w:rsidR="00560970" w:rsidRDefault="00332CE7">
      <w:pPr>
        <w:pStyle w:val="BodyText"/>
        <w:spacing w:after="0" w:line="240" w:lineRule="auto"/>
        <w:jc w:val="both"/>
      </w:pPr>
      <w:bookmarkStart w:id="7" w:name="section121"/>
      <w:bookmarkEnd w:id="7"/>
      <w:r>
        <w:rPr>
          <w:rStyle w:val="StrongEmphasis"/>
          <w:rFonts w:ascii="Titillium Web" w:hAnsi="Titillium Web"/>
        </w:rPr>
        <w:t>Article 14.</w:t>
      </w:r>
    </w:p>
    <w:p w14:paraId="454CE692" w14:textId="77777777" w:rsidR="00560970" w:rsidRDefault="00560970">
      <w:pPr>
        <w:pStyle w:val="BodyText"/>
        <w:spacing w:after="0" w:line="240" w:lineRule="auto"/>
        <w:jc w:val="both"/>
        <w:rPr>
          <w:rStyle w:val="StrongEmphasis"/>
          <w:rFonts w:ascii="Titillium Web" w:hAnsi="Titillium Web"/>
        </w:rPr>
      </w:pPr>
    </w:p>
    <w:p w14:paraId="323637CC" w14:textId="77777777" w:rsidR="00560970" w:rsidRDefault="00332CE7">
      <w:pPr>
        <w:pStyle w:val="BodyText"/>
        <w:spacing w:after="0" w:line="240" w:lineRule="auto"/>
        <w:jc w:val="both"/>
      </w:pPr>
      <w:r>
        <w:rPr>
          <w:rFonts w:ascii="Titillium Web" w:hAnsi="Titillium Web"/>
        </w:rPr>
        <w:t xml:space="preserve">IN NO EVENT UNLESS REQUIRED BY APPLICABLE LAW OR AGREED TO IN WRITING WILL ANY COPYRIGHT HOLDER OR ANY OTHER </w:t>
      </w:r>
      <w:proofErr w:type="gramStart"/>
      <w:r>
        <w:rPr>
          <w:rFonts w:ascii="Titillium Web" w:hAnsi="Titillium Web"/>
        </w:rPr>
        <w:t>PARTY  WHO</w:t>
      </w:r>
      <w:proofErr w:type="gramEnd"/>
      <w:r>
        <w:rPr>
          <w:rFonts w:ascii="Titillium Web" w:hAnsi="Titillium Web"/>
        </w:rPr>
        <w:t xml:space="preserve"> MAY MODIFY A</w:t>
      </w:r>
      <w:r>
        <w:rPr>
          <w:rFonts w:ascii="Titillium Web" w:hAnsi="Titillium Web"/>
        </w:rPr>
        <w:t>ND/OR REDISTRIBUTE THE COVERED WORK AS PERMITTED ABOVE, BE LIABLE TO YOU FOR DAMAGES, INCLUDING ANY GENERAL, SPECIAL INCIDENTAL  OR CONSEQUENTIAL DAMAGES ARISING OUT OF THE USE OR INABILITY TO USE THE COVERED WORK (INCLUDING BUT NOT LIMITED TO LOSS OF DATA</w:t>
      </w:r>
      <w:r>
        <w:rPr>
          <w:rFonts w:ascii="Titillium Web" w:hAnsi="Titillium Web"/>
        </w:rPr>
        <w:t xml:space="preserve"> OR DATA BEING RENDERED INACCURATE OR LOSSES SUSTAINED BY YOU OR THIRD PARTIES OR A FAILURE OF THE COVERED WORK TO OPERATE WITH ANY OTHER PROGRAMS), EVEN IF SUCH HOLDER OR OTHER PARTY HAS BEEN ADVISED OF THE POSSIBILITY OF SUCH DAMAGES. YOU INDEMNIFY THE C</w:t>
      </w:r>
      <w:r>
        <w:rPr>
          <w:rFonts w:ascii="Titillium Web" w:hAnsi="Titillium Web"/>
        </w:rPr>
        <w:t>OPYRIGHT HOLDER OR CONVEYOR OF THE COVERED WORK OF ANY LIABILITY VIS-À-VIS ANY THIRD PARTY IN CONNECTION WITH THE COVERED WORK AS USED, COPIED, PROPAGATED OR MODIFIED BY YOU.</w:t>
      </w:r>
    </w:p>
    <w:p w14:paraId="65074EE5" w14:textId="77777777" w:rsidR="00560970" w:rsidRDefault="00560970">
      <w:pPr>
        <w:pStyle w:val="BodyText"/>
        <w:spacing w:after="0" w:line="240" w:lineRule="auto"/>
        <w:jc w:val="both"/>
        <w:rPr>
          <w:b/>
          <w:bCs/>
        </w:rPr>
      </w:pPr>
    </w:p>
    <w:p w14:paraId="646A9376" w14:textId="77777777" w:rsidR="00560970" w:rsidRDefault="00332CE7">
      <w:pPr>
        <w:pStyle w:val="BodyText"/>
        <w:spacing w:after="0" w:line="240" w:lineRule="auto"/>
        <w:jc w:val="both"/>
      </w:pPr>
      <w:r>
        <w:rPr>
          <w:rFonts w:ascii="Titillium Web" w:hAnsi="Titillium Web"/>
          <w:b/>
          <w:bCs/>
        </w:rPr>
        <w:t>Article 15.</w:t>
      </w:r>
    </w:p>
    <w:p w14:paraId="67A801C3" w14:textId="77777777" w:rsidR="00560970" w:rsidRDefault="00560970">
      <w:pPr>
        <w:pStyle w:val="BodyText"/>
        <w:spacing w:after="0" w:line="240" w:lineRule="auto"/>
        <w:jc w:val="both"/>
        <w:rPr>
          <w:rFonts w:ascii="Titillium Web" w:hAnsi="Titillium Web"/>
        </w:rPr>
      </w:pPr>
    </w:p>
    <w:p w14:paraId="33588542" w14:textId="77777777" w:rsidR="00560970" w:rsidRDefault="00332CE7">
      <w:pPr>
        <w:pStyle w:val="BodyText"/>
        <w:spacing w:after="0" w:line="240" w:lineRule="auto"/>
        <w:jc w:val="both"/>
      </w:pPr>
      <w:r>
        <w:rPr>
          <w:rFonts w:ascii="Titillium Web" w:hAnsi="Titillium Web"/>
        </w:rPr>
        <w:t xml:space="preserve">If the disclaimer of warranty and limitation of liability provided </w:t>
      </w:r>
      <w:r>
        <w:rPr>
          <w:rFonts w:ascii="Titillium Web" w:hAnsi="Titillium Web"/>
        </w:rPr>
        <w:t>above cannot be given local legal effect according to their terms, reviewing courts shall apply local law that most closely approximates an absolute waiver of all civil liability in connection with the Covered Work, unless a warranty or assumption of liabi</w:t>
      </w:r>
      <w:r>
        <w:rPr>
          <w:rFonts w:ascii="Titillium Web" w:hAnsi="Titillium Web"/>
        </w:rPr>
        <w:t>lity accompanies a copy of the Covered Work in return for a fee.</w:t>
      </w:r>
    </w:p>
    <w:p w14:paraId="65FD12A3" w14:textId="77777777" w:rsidR="00560970" w:rsidRDefault="00560970">
      <w:pPr>
        <w:pStyle w:val="BodyText"/>
        <w:spacing w:after="0" w:line="240" w:lineRule="auto"/>
        <w:jc w:val="both"/>
        <w:rPr>
          <w:rFonts w:ascii="Titillium Web" w:hAnsi="Titillium Web"/>
        </w:rPr>
      </w:pPr>
    </w:p>
    <w:p w14:paraId="38C0D301" w14:textId="77777777" w:rsidR="00560970" w:rsidRDefault="00332CE7">
      <w:pPr>
        <w:pStyle w:val="BodyText"/>
        <w:spacing w:after="0" w:line="240" w:lineRule="auto"/>
        <w:jc w:val="both"/>
      </w:pPr>
      <w:r>
        <w:rPr>
          <w:rFonts w:ascii="Titillium Web" w:hAnsi="Titillium Web"/>
          <w:b/>
          <w:bCs/>
          <w:sz w:val="26"/>
          <w:szCs w:val="26"/>
        </w:rPr>
        <w:t>II. Special Conditions</w:t>
      </w:r>
    </w:p>
    <w:p w14:paraId="586B9465" w14:textId="77777777" w:rsidR="00560970" w:rsidRDefault="00560970">
      <w:pPr>
        <w:pStyle w:val="BodyText"/>
        <w:spacing w:after="0" w:line="240" w:lineRule="auto"/>
        <w:jc w:val="both"/>
        <w:rPr>
          <w:rFonts w:ascii="Titillium Web" w:hAnsi="Titillium Web"/>
          <w:b/>
          <w:bCs/>
          <w:sz w:val="26"/>
          <w:szCs w:val="26"/>
        </w:rPr>
      </w:pPr>
    </w:p>
    <w:p w14:paraId="3228C806" w14:textId="77777777" w:rsidR="00560970" w:rsidRDefault="00332CE7">
      <w:pPr>
        <w:pStyle w:val="BodyText"/>
        <w:spacing w:after="0" w:line="240" w:lineRule="auto"/>
        <w:jc w:val="both"/>
      </w:pPr>
      <w:bookmarkStart w:id="8" w:name="__DdeLink__264_40249247591"/>
      <w:r>
        <w:rPr>
          <w:rFonts w:ascii="Titillium Web" w:hAnsi="Titillium Web"/>
          <w:b/>
          <w:bCs/>
        </w:rPr>
        <w:t>Article 0.</w:t>
      </w:r>
      <w:r>
        <w:rPr>
          <w:rFonts w:ascii="Titillium Web" w:hAnsi="Titillium Web"/>
        </w:rPr>
        <w:t xml:space="preserve"> </w:t>
      </w:r>
      <w:bookmarkEnd w:id="8"/>
      <w:r>
        <w:rPr>
          <w:rFonts w:ascii="DejaVu Sans" w:hAnsi="DejaVu Sans"/>
          <w:sz w:val="22"/>
          <w:szCs w:val="22"/>
        </w:rPr>
        <w:t xml:space="preserve">The Copyright Holder of the </w:t>
      </w:r>
      <w:proofErr w:type="spellStart"/>
      <w:r>
        <w:rPr>
          <w:rFonts w:ascii="DejaVu Sans" w:hAnsi="DejaVu Sans"/>
          <w:sz w:val="22"/>
          <w:szCs w:val="22"/>
        </w:rPr>
        <w:t>Nxt</w:t>
      </w:r>
      <w:proofErr w:type="spellEnd"/>
      <w:r>
        <w:rPr>
          <w:rFonts w:ascii="DejaVu Sans" w:hAnsi="DejaVu Sans"/>
          <w:sz w:val="22"/>
          <w:szCs w:val="22"/>
        </w:rPr>
        <w:t xml:space="preserve"> Reference Software (NRS) is </w:t>
      </w:r>
      <w:proofErr w:type="spellStart"/>
      <w:r>
        <w:rPr>
          <w:rFonts w:ascii="DejaVu Sans" w:hAnsi="DejaVu Sans"/>
          <w:sz w:val="22"/>
          <w:szCs w:val="22"/>
        </w:rPr>
        <w:t>Jelurida</w:t>
      </w:r>
      <w:proofErr w:type="spellEnd"/>
      <w:r>
        <w:rPr>
          <w:rFonts w:ascii="DejaVu Sans" w:hAnsi="DejaVu Sans"/>
          <w:sz w:val="22"/>
          <w:szCs w:val="22"/>
        </w:rPr>
        <w:t xml:space="preserve"> IP B.V. The Copyright Holders of all newly written </w:t>
      </w:r>
      <w:proofErr w:type="spellStart"/>
      <w:r>
        <w:rPr>
          <w:rFonts w:ascii="DejaVu Sans" w:hAnsi="DejaVu Sans"/>
          <w:sz w:val="22"/>
          <w:szCs w:val="22"/>
        </w:rPr>
        <w:t>Rya</w:t>
      </w:r>
      <w:proofErr w:type="spellEnd"/>
      <w:r>
        <w:rPr>
          <w:rFonts w:ascii="DejaVu Sans" w:hAnsi="DejaVu Sans"/>
          <w:sz w:val="22"/>
          <w:szCs w:val="22"/>
        </w:rPr>
        <w:t xml:space="preserve"> code are the </w:t>
      </w:r>
      <w:proofErr w:type="spellStart"/>
      <w:r>
        <w:rPr>
          <w:rFonts w:ascii="DejaVu Sans" w:hAnsi="DejaVu Sans"/>
          <w:sz w:val="22"/>
          <w:szCs w:val="22"/>
        </w:rPr>
        <w:t>Rya</w:t>
      </w:r>
      <w:proofErr w:type="spellEnd"/>
      <w:r>
        <w:rPr>
          <w:rFonts w:ascii="DejaVu Sans" w:hAnsi="DejaVu Sans"/>
          <w:sz w:val="22"/>
          <w:szCs w:val="22"/>
        </w:rPr>
        <w:t xml:space="preserve"> core developer</w:t>
      </w:r>
      <w:r>
        <w:rPr>
          <w:rFonts w:ascii="DejaVu Sans" w:hAnsi="DejaVu Sans"/>
          <w:sz w:val="22"/>
          <w:szCs w:val="22"/>
        </w:rPr>
        <w:t>s.</w:t>
      </w:r>
    </w:p>
    <w:p w14:paraId="618E6625" w14:textId="77777777" w:rsidR="00560970" w:rsidRDefault="00560970">
      <w:pPr>
        <w:pStyle w:val="BodyText"/>
        <w:spacing w:after="0" w:line="240" w:lineRule="auto"/>
        <w:jc w:val="both"/>
        <w:rPr>
          <w:rFonts w:ascii="Titillium Web" w:hAnsi="Titillium Web"/>
          <w:sz w:val="22"/>
          <w:szCs w:val="22"/>
        </w:rPr>
      </w:pPr>
    </w:p>
    <w:p w14:paraId="2EF17CB9" w14:textId="77777777" w:rsidR="00560970" w:rsidRDefault="00332CE7">
      <w:pPr>
        <w:pStyle w:val="BodyText"/>
        <w:spacing w:after="0" w:line="240" w:lineRule="auto"/>
        <w:jc w:val="both"/>
      </w:pPr>
      <w:r>
        <w:rPr>
          <w:rFonts w:ascii="Titillium Web" w:hAnsi="Titillium Web"/>
          <w:b/>
          <w:bCs/>
        </w:rPr>
        <w:t>Article 1.</w:t>
      </w:r>
      <w:r>
        <w:rPr>
          <w:rFonts w:ascii="Titillium Web" w:hAnsi="Titillium Web"/>
        </w:rPr>
        <w:t xml:space="preserve"> </w:t>
      </w:r>
      <w:r>
        <w:rPr>
          <w:rFonts w:ascii="DejaVu Sans" w:hAnsi="DejaVu Sans"/>
          <w:sz w:val="22"/>
          <w:szCs w:val="22"/>
        </w:rPr>
        <w:t xml:space="preserve">The airdrop requirement of Article 3.4.1 of the General Conditions, as related to the </w:t>
      </w:r>
      <w:proofErr w:type="spellStart"/>
      <w:r>
        <w:rPr>
          <w:rFonts w:ascii="DejaVu Sans" w:hAnsi="DejaVu Sans"/>
          <w:sz w:val="22"/>
          <w:szCs w:val="22"/>
        </w:rPr>
        <w:t>Rya</w:t>
      </w:r>
      <w:proofErr w:type="spellEnd"/>
      <w:r>
        <w:rPr>
          <w:rFonts w:ascii="DejaVu Sans" w:hAnsi="DejaVu Sans"/>
          <w:sz w:val="22"/>
          <w:szCs w:val="22"/>
        </w:rPr>
        <w:t xml:space="preserve"> Software (a derivative work based on NRS) is the following:</w:t>
      </w:r>
    </w:p>
    <w:p w14:paraId="014A928A" w14:textId="77777777" w:rsidR="00560970" w:rsidRDefault="00560970">
      <w:pPr>
        <w:pStyle w:val="BodyText"/>
        <w:spacing w:after="0" w:line="240" w:lineRule="auto"/>
        <w:jc w:val="both"/>
        <w:rPr>
          <w:rFonts w:ascii="DejaVu Sans" w:hAnsi="DejaVu Sans"/>
          <w:sz w:val="22"/>
          <w:szCs w:val="22"/>
        </w:rPr>
      </w:pPr>
    </w:p>
    <w:p w14:paraId="24E456A1" w14:textId="77777777" w:rsidR="00560970" w:rsidRDefault="00332CE7">
      <w:pPr>
        <w:pStyle w:val="BodyText"/>
        <w:spacing w:after="0" w:line="240" w:lineRule="auto"/>
        <w:jc w:val="both"/>
        <w:rPr>
          <w:rFonts w:ascii="DejaVu Sans" w:hAnsi="DejaVu Sans"/>
          <w:sz w:val="22"/>
          <w:szCs w:val="22"/>
        </w:rPr>
      </w:pPr>
      <w:r>
        <w:rPr>
          <w:rFonts w:ascii="DejaVu Sans" w:hAnsi="DejaVu Sans"/>
          <w:b/>
          <w:bCs/>
          <w:sz w:val="22"/>
          <w:szCs w:val="22"/>
        </w:rPr>
        <w:tab/>
      </w:r>
      <w:r>
        <w:rPr>
          <w:rFonts w:ascii="DejaVu Sans" w:hAnsi="DejaVu Sans"/>
          <w:b/>
          <w:bCs/>
          <w:sz w:val="22"/>
          <w:szCs w:val="22"/>
        </w:rPr>
        <w:t xml:space="preserve">1.1 </w:t>
      </w:r>
      <w:r>
        <w:rPr>
          <w:rFonts w:ascii="DejaVu Sans" w:hAnsi="DejaVu Sans"/>
          <w:sz w:val="22"/>
          <w:szCs w:val="22"/>
        </w:rPr>
        <w:t xml:space="preserve">The NXT holders from the original </w:t>
      </w:r>
      <w:proofErr w:type="spellStart"/>
      <w:r>
        <w:rPr>
          <w:rFonts w:ascii="DejaVu Sans" w:hAnsi="DejaVu Sans"/>
          <w:sz w:val="22"/>
          <w:szCs w:val="22"/>
        </w:rPr>
        <w:t>Nxt</w:t>
      </w:r>
      <w:proofErr w:type="spellEnd"/>
      <w:r>
        <w:rPr>
          <w:rFonts w:ascii="DejaVu Sans" w:hAnsi="DejaVu Sans"/>
          <w:sz w:val="22"/>
          <w:szCs w:val="22"/>
        </w:rPr>
        <w:t xml:space="preserve"> Public </w:t>
      </w:r>
      <w:proofErr w:type="spellStart"/>
      <w:r>
        <w:rPr>
          <w:rFonts w:ascii="DejaVu Sans" w:hAnsi="DejaVu Sans"/>
          <w:sz w:val="22"/>
          <w:szCs w:val="22"/>
        </w:rPr>
        <w:t>Blockchain</w:t>
      </w:r>
      <w:proofErr w:type="spellEnd"/>
      <w:r>
        <w:rPr>
          <w:rFonts w:ascii="DejaVu Sans" w:hAnsi="DejaVu Sans"/>
          <w:sz w:val="22"/>
          <w:szCs w:val="22"/>
        </w:rPr>
        <w:t xml:space="preserve"> Platform as maintained by </w:t>
      </w:r>
      <w:proofErr w:type="spellStart"/>
      <w:r>
        <w:rPr>
          <w:rFonts w:ascii="DejaVu Sans" w:hAnsi="DejaVu Sans"/>
          <w:sz w:val="22"/>
          <w:szCs w:val="22"/>
        </w:rPr>
        <w:t>Jelurida</w:t>
      </w:r>
      <w:proofErr w:type="spellEnd"/>
      <w:r>
        <w:rPr>
          <w:rFonts w:ascii="DejaVu Sans" w:hAnsi="DejaVu Sans"/>
          <w:sz w:val="22"/>
          <w:szCs w:val="22"/>
        </w:rPr>
        <w:t xml:space="preserve"> Swiss SA must be allocated at least 10% (ten percent) of the </w:t>
      </w:r>
      <w:proofErr w:type="spellStart"/>
      <w:r>
        <w:rPr>
          <w:rFonts w:ascii="DejaVu Sans" w:hAnsi="DejaVu Sans"/>
          <w:sz w:val="22"/>
          <w:szCs w:val="22"/>
        </w:rPr>
        <w:t>the</w:t>
      </w:r>
      <w:proofErr w:type="spellEnd"/>
      <w:r>
        <w:rPr>
          <w:rFonts w:ascii="DejaVu Sans" w:hAnsi="DejaVu Sans"/>
          <w:sz w:val="22"/>
          <w:szCs w:val="22"/>
        </w:rPr>
        <w:t xml:space="preserve"> tokens with functionality equivalent to the </w:t>
      </w:r>
      <w:r>
        <w:rPr>
          <w:rFonts w:ascii="DejaVu Sans" w:hAnsi="DejaVu Sans"/>
          <w:sz w:val="22"/>
          <w:szCs w:val="22"/>
        </w:rPr>
        <w:lastRenderedPageBreak/>
        <w:t xml:space="preserve">one of the </w:t>
      </w:r>
      <w:proofErr w:type="spellStart"/>
      <w:r>
        <w:rPr>
          <w:rFonts w:ascii="DejaVu Sans" w:hAnsi="DejaVu Sans"/>
          <w:sz w:val="22"/>
          <w:szCs w:val="22"/>
        </w:rPr>
        <w:t>Rya</w:t>
      </w:r>
      <w:proofErr w:type="spellEnd"/>
      <w:r>
        <w:rPr>
          <w:rFonts w:ascii="DejaVu Sans" w:hAnsi="DejaVu Sans"/>
          <w:sz w:val="22"/>
          <w:szCs w:val="22"/>
        </w:rPr>
        <w:t xml:space="preserve"> tokens in the new DLT Instance, proportio</w:t>
      </w:r>
      <w:r>
        <w:rPr>
          <w:rFonts w:ascii="DejaVu Sans" w:hAnsi="DejaVu Sans"/>
          <w:sz w:val="22"/>
          <w:szCs w:val="22"/>
        </w:rPr>
        <w:t xml:space="preserve">nal to their NXT holdings, </w:t>
      </w:r>
      <w:r>
        <w:rPr>
          <w:rFonts w:ascii="DejaVu Sans" w:hAnsi="DejaVu Sans"/>
          <w:b/>
          <w:bCs/>
          <w:sz w:val="22"/>
          <w:szCs w:val="22"/>
        </w:rPr>
        <w:t xml:space="preserve">AND </w:t>
      </w:r>
      <w:r>
        <w:rPr>
          <w:rFonts w:ascii="DejaVu Sans" w:hAnsi="DejaVu Sans"/>
          <w:sz w:val="22"/>
          <w:szCs w:val="22"/>
        </w:rPr>
        <w:t xml:space="preserve">the </w:t>
      </w:r>
      <w:proofErr w:type="spellStart"/>
      <w:r>
        <w:rPr>
          <w:rFonts w:ascii="DejaVu Sans" w:hAnsi="DejaVu Sans"/>
          <w:sz w:val="22"/>
          <w:szCs w:val="22"/>
        </w:rPr>
        <w:t>Rya</w:t>
      </w:r>
      <w:proofErr w:type="spellEnd"/>
      <w:r>
        <w:rPr>
          <w:rFonts w:ascii="DejaVu Sans" w:hAnsi="DejaVu Sans"/>
          <w:sz w:val="22"/>
          <w:szCs w:val="22"/>
        </w:rPr>
        <w:t xml:space="preserve"> holders from the original </w:t>
      </w:r>
      <w:proofErr w:type="spellStart"/>
      <w:r>
        <w:rPr>
          <w:rFonts w:ascii="DejaVu Sans" w:hAnsi="DejaVu Sans"/>
          <w:sz w:val="22"/>
          <w:szCs w:val="22"/>
        </w:rPr>
        <w:t>Rya</w:t>
      </w:r>
      <w:proofErr w:type="spellEnd"/>
      <w:r>
        <w:rPr>
          <w:rFonts w:ascii="DejaVu Sans" w:hAnsi="DejaVu Sans"/>
          <w:sz w:val="22"/>
          <w:szCs w:val="22"/>
        </w:rPr>
        <w:t xml:space="preserve"> Public </w:t>
      </w:r>
      <w:proofErr w:type="spellStart"/>
      <w:r>
        <w:rPr>
          <w:rFonts w:ascii="DejaVu Sans" w:hAnsi="DejaVu Sans"/>
          <w:sz w:val="22"/>
          <w:szCs w:val="22"/>
        </w:rPr>
        <w:t>Blockchain</w:t>
      </w:r>
      <w:proofErr w:type="spellEnd"/>
      <w:r>
        <w:rPr>
          <w:rFonts w:ascii="DejaVu Sans" w:hAnsi="DejaVu Sans"/>
          <w:sz w:val="22"/>
          <w:szCs w:val="22"/>
        </w:rPr>
        <w:t xml:space="preserve"> Platform as maintained by the </w:t>
      </w:r>
      <w:proofErr w:type="spellStart"/>
      <w:r>
        <w:rPr>
          <w:rFonts w:ascii="DejaVu Sans" w:hAnsi="DejaVu Sans"/>
          <w:sz w:val="22"/>
          <w:szCs w:val="22"/>
        </w:rPr>
        <w:t>Rya</w:t>
      </w:r>
      <w:proofErr w:type="spellEnd"/>
      <w:r>
        <w:rPr>
          <w:rFonts w:ascii="DejaVu Sans" w:hAnsi="DejaVu Sans"/>
          <w:sz w:val="22"/>
          <w:szCs w:val="22"/>
        </w:rPr>
        <w:t xml:space="preserve"> developers must be allocated at least 10% (ten percent) of the tokens with functionality equivalent to the one of the </w:t>
      </w:r>
      <w:proofErr w:type="spellStart"/>
      <w:r>
        <w:rPr>
          <w:rFonts w:ascii="DejaVu Sans" w:hAnsi="DejaVu Sans"/>
          <w:sz w:val="22"/>
          <w:szCs w:val="22"/>
        </w:rPr>
        <w:t>Rya</w:t>
      </w:r>
      <w:proofErr w:type="spellEnd"/>
      <w:r>
        <w:rPr>
          <w:rFonts w:ascii="DejaVu Sans" w:hAnsi="DejaVu Sans"/>
          <w:sz w:val="22"/>
          <w:szCs w:val="22"/>
        </w:rPr>
        <w:t xml:space="preserve"> tokens in the</w:t>
      </w:r>
      <w:r>
        <w:rPr>
          <w:rFonts w:ascii="DejaVu Sans" w:hAnsi="DejaVu Sans"/>
          <w:sz w:val="22"/>
          <w:szCs w:val="22"/>
        </w:rPr>
        <w:t xml:space="preserve"> new DLT Instance, proportional to their </w:t>
      </w:r>
      <w:proofErr w:type="spellStart"/>
      <w:r>
        <w:rPr>
          <w:rFonts w:ascii="DejaVu Sans" w:hAnsi="DejaVu Sans"/>
          <w:sz w:val="22"/>
          <w:szCs w:val="22"/>
        </w:rPr>
        <w:t>Rya</w:t>
      </w:r>
      <w:proofErr w:type="spellEnd"/>
      <w:r>
        <w:rPr>
          <w:rFonts w:ascii="DejaVu Sans" w:hAnsi="DejaVu Sans"/>
          <w:sz w:val="22"/>
          <w:szCs w:val="22"/>
        </w:rPr>
        <w:t xml:space="preserve"> holdings,</w:t>
      </w:r>
    </w:p>
    <w:p w14:paraId="66DC358E" w14:textId="77777777" w:rsidR="00560970" w:rsidRDefault="00560970">
      <w:pPr>
        <w:pStyle w:val="BodyText"/>
        <w:spacing w:after="0" w:line="240" w:lineRule="auto"/>
        <w:jc w:val="both"/>
        <w:rPr>
          <w:rFonts w:ascii="DejaVu Sans" w:hAnsi="DejaVu Sans"/>
          <w:sz w:val="22"/>
          <w:szCs w:val="22"/>
        </w:rPr>
      </w:pPr>
    </w:p>
    <w:p w14:paraId="28FF707A" w14:textId="77777777" w:rsidR="00560970" w:rsidRDefault="00332CE7">
      <w:pPr>
        <w:pStyle w:val="BodyText"/>
        <w:spacing w:after="0" w:line="240" w:lineRule="auto"/>
        <w:jc w:val="both"/>
        <w:rPr>
          <w:rFonts w:ascii="DejaVu Sans" w:hAnsi="DejaVu Sans"/>
          <w:sz w:val="22"/>
          <w:szCs w:val="22"/>
        </w:rPr>
      </w:pPr>
      <w:r>
        <w:rPr>
          <w:rFonts w:ascii="DejaVu Sans" w:hAnsi="DejaVu Sans"/>
          <w:b/>
          <w:bCs/>
          <w:sz w:val="22"/>
          <w:szCs w:val="22"/>
        </w:rPr>
        <w:t>OR</w:t>
      </w:r>
    </w:p>
    <w:p w14:paraId="6A8AB90E" w14:textId="77777777" w:rsidR="00560970" w:rsidRDefault="00560970">
      <w:pPr>
        <w:pStyle w:val="BodyText"/>
        <w:spacing w:after="0" w:line="240" w:lineRule="auto"/>
        <w:jc w:val="both"/>
        <w:rPr>
          <w:rFonts w:ascii="DejaVu Sans" w:hAnsi="DejaVu Sans"/>
          <w:sz w:val="22"/>
          <w:szCs w:val="22"/>
        </w:rPr>
      </w:pPr>
    </w:p>
    <w:p w14:paraId="66EA4BE3" w14:textId="77777777" w:rsidR="00560970" w:rsidRDefault="00332CE7">
      <w:pPr>
        <w:pStyle w:val="BodyText"/>
        <w:spacing w:after="0" w:line="240" w:lineRule="auto"/>
        <w:jc w:val="both"/>
        <w:rPr>
          <w:rFonts w:ascii="DejaVu Sans" w:hAnsi="DejaVu Sans"/>
          <w:sz w:val="22"/>
          <w:szCs w:val="22"/>
        </w:rPr>
      </w:pPr>
      <w:r>
        <w:rPr>
          <w:rFonts w:ascii="DejaVu Sans" w:hAnsi="DejaVu Sans"/>
          <w:b/>
          <w:bCs/>
          <w:sz w:val="22"/>
          <w:szCs w:val="22"/>
        </w:rPr>
        <w:tab/>
        <w:t>1.2</w:t>
      </w:r>
      <w:r>
        <w:rPr>
          <w:rFonts w:ascii="DejaVu Sans" w:hAnsi="DejaVu Sans"/>
          <w:sz w:val="22"/>
          <w:szCs w:val="22"/>
        </w:rPr>
        <w:t xml:space="preserve"> The holders of tokens with functionality equivalent to the </w:t>
      </w:r>
      <w:proofErr w:type="spellStart"/>
      <w:r>
        <w:rPr>
          <w:rFonts w:ascii="DejaVu Sans" w:hAnsi="DejaVu Sans"/>
          <w:sz w:val="22"/>
          <w:szCs w:val="22"/>
        </w:rPr>
        <w:t>Rya</w:t>
      </w:r>
      <w:proofErr w:type="spellEnd"/>
      <w:r>
        <w:rPr>
          <w:rFonts w:ascii="DejaVu Sans" w:hAnsi="DejaVu Sans"/>
          <w:sz w:val="22"/>
          <w:szCs w:val="22"/>
        </w:rPr>
        <w:t xml:space="preserve"> tokens from a DLT </w:t>
      </w:r>
      <w:proofErr w:type="gramStart"/>
      <w:r>
        <w:rPr>
          <w:rFonts w:ascii="DejaVu Sans" w:hAnsi="DejaVu Sans"/>
          <w:sz w:val="22"/>
          <w:szCs w:val="22"/>
        </w:rPr>
        <w:t>Instance which</w:t>
      </w:r>
      <w:proofErr w:type="gramEnd"/>
      <w:r>
        <w:rPr>
          <w:rFonts w:ascii="DejaVu Sans" w:hAnsi="DejaVu Sans"/>
          <w:sz w:val="22"/>
          <w:szCs w:val="22"/>
        </w:rPr>
        <w:t xml:space="preserve"> is based on the </w:t>
      </w:r>
      <w:proofErr w:type="spellStart"/>
      <w:r>
        <w:rPr>
          <w:rFonts w:ascii="DejaVu Sans" w:hAnsi="DejaVu Sans"/>
          <w:sz w:val="22"/>
          <w:szCs w:val="22"/>
        </w:rPr>
        <w:t>Rya</w:t>
      </w:r>
      <w:proofErr w:type="spellEnd"/>
      <w:r>
        <w:rPr>
          <w:rFonts w:ascii="DejaVu Sans" w:hAnsi="DejaVu Sans"/>
          <w:sz w:val="22"/>
          <w:szCs w:val="22"/>
        </w:rPr>
        <w:t xml:space="preserve"> software that has already satisfied the JPL airdrop requirement, are alloca</w:t>
      </w:r>
      <w:r>
        <w:rPr>
          <w:rFonts w:ascii="DejaVu Sans" w:hAnsi="DejaVu Sans"/>
          <w:sz w:val="22"/>
          <w:szCs w:val="22"/>
        </w:rPr>
        <w:t xml:space="preserve">ted 100% (one hundred percent) of the tokens with functionality equivalent to the </w:t>
      </w:r>
      <w:proofErr w:type="spellStart"/>
      <w:r>
        <w:rPr>
          <w:rFonts w:ascii="DejaVu Sans" w:hAnsi="DejaVu Sans"/>
          <w:sz w:val="22"/>
          <w:szCs w:val="22"/>
        </w:rPr>
        <w:t>Rya</w:t>
      </w:r>
      <w:proofErr w:type="spellEnd"/>
      <w:r>
        <w:rPr>
          <w:rFonts w:ascii="DejaVu Sans" w:hAnsi="DejaVu Sans"/>
          <w:sz w:val="22"/>
          <w:szCs w:val="22"/>
        </w:rPr>
        <w:t xml:space="preserve"> tokens in that new DLT Instance, proportional to their token holdings.</w:t>
      </w:r>
    </w:p>
    <w:p w14:paraId="456E42B1" w14:textId="77777777" w:rsidR="00560970" w:rsidRDefault="00560970">
      <w:pPr>
        <w:pStyle w:val="BodyText"/>
        <w:spacing w:after="0" w:line="240" w:lineRule="auto"/>
        <w:jc w:val="both"/>
        <w:rPr>
          <w:rFonts w:ascii="DejaVu Sans" w:hAnsi="DejaVu Sans"/>
          <w:sz w:val="22"/>
          <w:szCs w:val="22"/>
        </w:rPr>
      </w:pPr>
    </w:p>
    <w:p w14:paraId="32016A7A" w14:textId="77777777" w:rsidR="00560970" w:rsidRDefault="00332CE7">
      <w:pPr>
        <w:pStyle w:val="BodyText"/>
        <w:spacing w:after="0" w:line="240" w:lineRule="auto"/>
        <w:jc w:val="both"/>
        <w:rPr>
          <w:rFonts w:ascii="DejaVu Sans" w:hAnsi="DejaVu Sans"/>
          <w:sz w:val="22"/>
          <w:szCs w:val="22"/>
        </w:rPr>
      </w:pPr>
      <w:r>
        <w:rPr>
          <w:rFonts w:ascii="DejaVu Sans" w:hAnsi="DejaVu Sans"/>
          <w:sz w:val="22"/>
          <w:szCs w:val="22"/>
        </w:rPr>
        <w:tab/>
        <w:t xml:space="preserve">The first case covers clones and forks of the </w:t>
      </w:r>
      <w:proofErr w:type="spellStart"/>
      <w:r>
        <w:rPr>
          <w:rFonts w:ascii="DejaVu Sans" w:hAnsi="DejaVu Sans"/>
          <w:sz w:val="22"/>
          <w:szCs w:val="22"/>
        </w:rPr>
        <w:t>Rya</w:t>
      </w:r>
      <w:proofErr w:type="spellEnd"/>
      <w:r>
        <w:rPr>
          <w:rFonts w:ascii="DejaVu Sans" w:hAnsi="DejaVu Sans"/>
          <w:sz w:val="22"/>
          <w:szCs w:val="22"/>
        </w:rPr>
        <w:t xml:space="preserve"> platform, and ensures that NXT and </w:t>
      </w:r>
      <w:proofErr w:type="spellStart"/>
      <w:r>
        <w:rPr>
          <w:rFonts w:ascii="DejaVu Sans" w:hAnsi="DejaVu Sans"/>
          <w:sz w:val="22"/>
          <w:szCs w:val="22"/>
        </w:rPr>
        <w:t>Rya</w:t>
      </w:r>
      <w:proofErr w:type="spellEnd"/>
      <w:r>
        <w:rPr>
          <w:rFonts w:ascii="DejaVu Sans" w:hAnsi="DejaVu Sans"/>
          <w:sz w:val="22"/>
          <w:szCs w:val="22"/>
        </w:rPr>
        <w:t xml:space="preserve"> owners w</w:t>
      </w:r>
      <w:r>
        <w:rPr>
          <w:rFonts w:ascii="DejaVu Sans" w:hAnsi="DejaVu Sans"/>
          <w:sz w:val="22"/>
          <w:szCs w:val="22"/>
        </w:rPr>
        <w:t>ill receive an airdrop from any such clone or fork launched in the future.</w:t>
      </w:r>
    </w:p>
    <w:p w14:paraId="7B5E8C8E" w14:textId="77777777" w:rsidR="00560970" w:rsidRDefault="00332CE7">
      <w:pPr>
        <w:pStyle w:val="BodyText"/>
        <w:spacing w:after="0" w:line="240" w:lineRule="auto"/>
        <w:jc w:val="both"/>
        <w:rPr>
          <w:rFonts w:ascii="DejaVu Sans" w:hAnsi="DejaVu Sans"/>
          <w:sz w:val="22"/>
          <w:szCs w:val="22"/>
        </w:rPr>
      </w:pPr>
      <w:r>
        <w:rPr>
          <w:rFonts w:ascii="DejaVu Sans" w:hAnsi="DejaVu Sans"/>
          <w:sz w:val="22"/>
          <w:szCs w:val="22"/>
        </w:rPr>
        <w:tab/>
      </w:r>
      <w:bookmarkStart w:id="9" w:name="__DdeLink__278_94372296011"/>
      <w:bookmarkEnd w:id="9"/>
      <w:r>
        <w:rPr>
          <w:rFonts w:ascii="DejaVu Sans" w:hAnsi="DejaVu Sans"/>
          <w:sz w:val="22"/>
          <w:szCs w:val="22"/>
        </w:rPr>
        <w:t xml:space="preserve">The second case is to cover forks of </w:t>
      </w:r>
      <w:proofErr w:type="spellStart"/>
      <w:r>
        <w:rPr>
          <w:rFonts w:ascii="DejaVu Sans" w:hAnsi="DejaVu Sans"/>
          <w:sz w:val="22"/>
          <w:szCs w:val="22"/>
        </w:rPr>
        <w:t>Rya</w:t>
      </w:r>
      <w:proofErr w:type="spellEnd"/>
      <w:r>
        <w:rPr>
          <w:rFonts w:ascii="DejaVu Sans" w:hAnsi="DejaVu Sans"/>
          <w:sz w:val="22"/>
          <w:szCs w:val="22"/>
        </w:rPr>
        <w:t xml:space="preserve"> </w:t>
      </w:r>
      <w:proofErr w:type="gramStart"/>
      <w:r>
        <w:rPr>
          <w:rFonts w:ascii="DejaVu Sans" w:hAnsi="DejaVu Sans"/>
          <w:sz w:val="22"/>
          <w:szCs w:val="22"/>
        </w:rPr>
        <w:t>clones which</w:t>
      </w:r>
      <w:proofErr w:type="gramEnd"/>
      <w:r>
        <w:rPr>
          <w:rFonts w:ascii="DejaVu Sans" w:hAnsi="DejaVu Sans"/>
          <w:sz w:val="22"/>
          <w:szCs w:val="22"/>
        </w:rPr>
        <w:t xml:space="preserve"> have already satisfied the JPL airdrop, as by definition at the time of the hard fork all accounts start with the same balance</w:t>
      </w:r>
      <w:r>
        <w:rPr>
          <w:rFonts w:ascii="DejaVu Sans" w:hAnsi="DejaVu Sans"/>
          <w:sz w:val="22"/>
          <w:szCs w:val="22"/>
        </w:rPr>
        <w:t>s on either fork, and it would be difficult to make a hard fork satisfy the first condition.</w:t>
      </w:r>
    </w:p>
    <w:p w14:paraId="7543134D" w14:textId="77777777" w:rsidR="00560970" w:rsidRDefault="00560970">
      <w:pPr>
        <w:pStyle w:val="BodyText"/>
        <w:spacing w:after="0" w:line="240" w:lineRule="auto"/>
        <w:jc w:val="both"/>
        <w:rPr>
          <w:rFonts w:ascii="Titillium Web" w:hAnsi="Titillium Web"/>
        </w:rPr>
      </w:pPr>
    </w:p>
    <w:p w14:paraId="29486A95" w14:textId="77777777" w:rsidR="00560970" w:rsidRDefault="00332CE7">
      <w:pPr>
        <w:pStyle w:val="BodyText"/>
        <w:spacing w:after="0" w:line="240" w:lineRule="auto"/>
        <w:jc w:val="both"/>
      </w:pPr>
      <w:r>
        <w:rPr>
          <w:rFonts w:ascii="Titillium Web" w:hAnsi="Titillium Web"/>
          <w:b/>
          <w:bCs/>
        </w:rPr>
        <w:t>Article 2.</w:t>
      </w:r>
      <w:r>
        <w:rPr>
          <w:rFonts w:ascii="Titillium Web" w:hAnsi="Titillium Web"/>
        </w:rPr>
        <w:t xml:space="preserve"> In both cases (Articles 1.1 or 1.2 of the Special Conditions), token holdings must be calculated based on a snapshot taken not earlier than 3 months be</w:t>
      </w:r>
      <w:r>
        <w:rPr>
          <w:rFonts w:ascii="Titillium Web" w:hAnsi="Titillium Web"/>
        </w:rPr>
        <w:t>fore the launch of the new DLT Instance. For a new DLT Instance, the snapshot should also be taken not later than 24 h before the launch, to avoid the uncertainty due to the 720 blocks rolling checkpoint.</w:t>
      </w:r>
    </w:p>
    <w:p w14:paraId="5A2DA879" w14:textId="77777777" w:rsidR="00560970" w:rsidRDefault="00560970">
      <w:pPr>
        <w:pStyle w:val="BodyText"/>
        <w:spacing w:after="0" w:line="240" w:lineRule="auto"/>
        <w:jc w:val="both"/>
        <w:rPr>
          <w:rFonts w:ascii="Titillium Web" w:hAnsi="Titillium Web"/>
          <w:b/>
          <w:bCs/>
        </w:rPr>
      </w:pPr>
    </w:p>
    <w:p w14:paraId="24A51BB3" w14:textId="77777777" w:rsidR="00560970" w:rsidRDefault="00332CE7">
      <w:pPr>
        <w:pStyle w:val="BodyText"/>
        <w:spacing w:after="0" w:line="240" w:lineRule="auto"/>
        <w:jc w:val="both"/>
      </w:pPr>
      <w:r>
        <w:rPr>
          <w:rFonts w:ascii="Titillium Web" w:hAnsi="Titillium Web"/>
          <w:b/>
          <w:bCs/>
        </w:rPr>
        <w:t>Article 3.</w:t>
      </w:r>
    </w:p>
    <w:p w14:paraId="6D247186" w14:textId="77777777" w:rsidR="00560970" w:rsidRDefault="00560970">
      <w:pPr>
        <w:pStyle w:val="BodyText"/>
        <w:spacing w:after="0" w:line="240" w:lineRule="auto"/>
        <w:jc w:val="both"/>
        <w:rPr>
          <w:rFonts w:ascii="Titillium Web" w:hAnsi="Titillium Web"/>
        </w:rPr>
      </w:pPr>
    </w:p>
    <w:p w14:paraId="2A24172B" w14:textId="77777777" w:rsidR="00560970" w:rsidRDefault="00332CE7">
      <w:pPr>
        <w:pStyle w:val="BodyText"/>
        <w:spacing w:after="0" w:line="240" w:lineRule="auto"/>
        <w:jc w:val="both"/>
      </w:pPr>
      <w:r>
        <w:rPr>
          <w:rFonts w:ascii="Titillium Web" w:hAnsi="Titillium Web"/>
          <w:b/>
          <w:bCs/>
        </w:rPr>
        <w:tab/>
        <w:t xml:space="preserve">3.1 </w:t>
      </w:r>
      <w:r>
        <w:rPr>
          <w:rFonts w:ascii="Titillium Web" w:hAnsi="Titillium Web"/>
        </w:rPr>
        <w:t>There should be under no circumst</w:t>
      </w:r>
      <w:r>
        <w:rPr>
          <w:rFonts w:ascii="Titillium Web" w:hAnsi="Titillium Web"/>
        </w:rPr>
        <w:t>ances any restrictions or any type of discrimination against accounts receiving tokens as an airdrop.</w:t>
      </w:r>
    </w:p>
    <w:p w14:paraId="45999F44" w14:textId="77777777" w:rsidR="00560970" w:rsidRDefault="00560970">
      <w:pPr>
        <w:pStyle w:val="BodyText"/>
        <w:spacing w:after="0" w:line="240" w:lineRule="auto"/>
        <w:jc w:val="both"/>
        <w:rPr>
          <w:rFonts w:ascii="Titillium Web" w:hAnsi="Titillium Web"/>
        </w:rPr>
      </w:pPr>
    </w:p>
    <w:p w14:paraId="317FDAF5" w14:textId="77777777" w:rsidR="00560970" w:rsidRDefault="00332CE7">
      <w:pPr>
        <w:pStyle w:val="BodyText"/>
        <w:spacing w:after="0" w:line="240" w:lineRule="auto"/>
        <w:jc w:val="both"/>
      </w:pPr>
      <w:r>
        <w:rPr>
          <w:rFonts w:ascii="Titillium Web" w:hAnsi="Titillium Web"/>
          <w:b/>
          <w:bCs/>
        </w:rPr>
        <w:tab/>
        <w:t>3.2</w:t>
      </w:r>
      <w:r>
        <w:rPr>
          <w:rFonts w:ascii="Titillium Web" w:hAnsi="Titillium Web"/>
        </w:rPr>
        <w:t xml:space="preserve"> If token distribution must be restricted by some criteria that not all existing NXT holders can potentially satisfy, a specific exemption from the full JPL airdrop requirements must be obtained in advance. The Copyright Holder reserves the right to not gr</w:t>
      </w:r>
      <w:r>
        <w:rPr>
          <w:rFonts w:ascii="Titillium Web" w:hAnsi="Titillium Web"/>
        </w:rPr>
        <w:t xml:space="preserve">ant such exemption, or to require a commercial license in such situations, to be decided on a </w:t>
      </w:r>
      <w:proofErr w:type="gramStart"/>
      <w:r>
        <w:rPr>
          <w:rFonts w:ascii="Titillium Web" w:hAnsi="Titillium Web"/>
        </w:rPr>
        <w:t>case by case</w:t>
      </w:r>
      <w:proofErr w:type="gramEnd"/>
      <w:r>
        <w:rPr>
          <w:rFonts w:ascii="Titillium Web" w:hAnsi="Titillium Web"/>
        </w:rPr>
        <w:t xml:space="preserve"> basis.</w:t>
      </w:r>
    </w:p>
    <w:p w14:paraId="10FFA806" w14:textId="77777777" w:rsidR="00560970" w:rsidRDefault="00560970">
      <w:pPr>
        <w:pStyle w:val="BodyText"/>
        <w:spacing w:after="0" w:line="240" w:lineRule="auto"/>
        <w:jc w:val="both"/>
        <w:rPr>
          <w:rFonts w:ascii="Titillium Web" w:hAnsi="Titillium Web"/>
        </w:rPr>
      </w:pPr>
    </w:p>
    <w:p w14:paraId="3ADD9871" w14:textId="77777777" w:rsidR="00560970" w:rsidRDefault="00332CE7">
      <w:pPr>
        <w:pStyle w:val="BodyText"/>
        <w:spacing w:after="0" w:line="240" w:lineRule="auto"/>
        <w:jc w:val="both"/>
      </w:pPr>
      <w:r>
        <w:rPr>
          <w:rFonts w:ascii="Titillium Web" w:hAnsi="Titillium Web"/>
        </w:rPr>
        <w:tab/>
      </w:r>
      <w:r>
        <w:rPr>
          <w:rFonts w:ascii="Titillium Web" w:hAnsi="Titillium Web"/>
          <w:b/>
          <w:bCs/>
        </w:rPr>
        <w:t>3.3</w:t>
      </w:r>
      <w:r>
        <w:rPr>
          <w:rFonts w:ascii="Titillium Web" w:hAnsi="Titillium Web"/>
        </w:rPr>
        <w:t xml:space="preserve"> As internal (private) use of </w:t>
      </w:r>
      <w:proofErr w:type="spellStart"/>
      <w:r>
        <w:rPr>
          <w:rFonts w:ascii="Titillium Web" w:hAnsi="Titillium Web"/>
        </w:rPr>
        <w:t>Nxt</w:t>
      </w:r>
      <w:proofErr w:type="spellEnd"/>
      <w:r>
        <w:rPr>
          <w:rFonts w:ascii="Titillium Web" w:hAnsi="Titillium Web"/>
        </w:rPr>
        <w:t xml:space="preserve"> software for evaluating and testing purposes cannot satisfy the JPL airdrop requirement, any such use w</w:t>
      </w:r>
      <w:r>
        <w:rPr>
          <w:rFonts w:ascii="Titillium Web" w:hAnsi="Titillium Web"/>
        </w:rPr>
        <w:t xml:space="preserve">ill also require an evaluation license agreement with the Copyright Holder if it lasts longer than 3 months. </w:t>
      </w:r>
    </w:p>
    <w:p w14:paraId="622DEB9C" w14:textId="77777777" w:rsidR="00560970" w:rsidRDefault="00560970">
      <w:pPr>
        <w:pStyle w:val="BodyText"/>
        <w:spacing w:after="0" w:line="240" w:lineRule="auto"/>
        <w:jc w:val="both"/>
        <w:rPr>
          <w:rFonts w:ascii="Titillium Web" w:hAnsi="Titillium Web"/>
        </w:rPr>
      </w:pPr>
    </w:p>
    <w:p w14:paraId="16B4A13B" w14:textId="77777777" w:rsidR="00560970" w:rsidRDefault="00332CE7">
      <w:pPr>
        <w:pStyle w:val="BodyText"/>
        <w:spacing w:after="0" w:line="240" w:lineRule="auto"/>
        <w:jc w:val="both"/>
      </w:pPr>
      <w:r>
        <w:rPr>
          <w:rFonts w:ascii="Titillium Web" w:hAnsi="Titillium Web"/>
          <w:b/>
          <w:bCs/>
        </w:rPr>
        <w:tab/>
        <w:t>3.4</w:t>
      </w:r>
      <w:r>
        <w:rPr>
          <w:rFonts w:ascii="Titillium Web" w:hAnsi="Titillium Web"/>
        </w:rPr>
        <w:t xml:space="preserve"> Nothing in this license shall be understood as giving NXT token holders the right to hold the Licensor, its affiliate parties, or </w:t>
      </w:r>
      <w:proofErr w:type="spellStart"/>
      <w:r>
        <w:rPr>
          <w:rFonts w:ascii="Titillium Web" w:hAnsi="Titillium Web"/>
        </w:rPr>
        <w:t>sublicenso</w:t>
      </w:r>
      <w:r>
        <w:rPr>
          <w:rFonts w:ascii="Titillium Web" w:hAnsi="Titillium Web"/>
        </w:rPr>
        <w:t>rs</w:t>
      </w:r>
      <w:proofErr w:type="spellEnd"/>
      <w:r>
        <w:rPr>
          <w:rFonts w:ascii="Titillium Web" w:hAnsi="Titillium Web"/>
        </w:rPr>
        <w:t>, liable in case the NXT holders do not obtain any airdrop, or liable for not taking action to enforce the airdrop requirement, or for not observing, verifying or monitoring the compliance with any airdrop. The Licensor also retains the right to change t</w:t>
      </w:r>
      <w:r>
        <w:rPr>
          <w:rFonts w:ascii="Titillium Web" w:hAnsi="Titillium Web"/>
        </w:rPr>
        <w:t>he percentage of the airdrop requirement in Article 1.1 or to completely eliminate this airdrop requirement at any time.</w:t>
      </w:r>
    </w:p>
    <w:p w14:paraId="2A9A1AF1" w14:textId="77777777" w:rsidR="00560970" w:rsidRDefault="00560970">
      <w:pPr>
        <w:pStyle w:val="BodyText"/>
        <w:spacing w:after="0" w:line="240" w:lineRule="auto"/>
        <w:jc w:val="both"/>
      </w:pPr>
    </w:p>
    <w:p w14:paraId="75086677" w14:textId="77777777" w:rsidR="00560970" w:rsidRDefault="00332CE7">
      <w:pPr>
        <w:pStyle w:val="BodyText"/>
        <w:spacing w:after="0" w:line="240" w:lineRule="auto"/>
        <w:jc w:val="both"/>
      </w:pPr>
      <w:r>
        <w:rPr>
          <w:rFonts w:ascii="Titillium Web" w:hAnsi="Titillium Web"/>
          <w:b/>
          <w:bCs/>
        </w:rPr>
        <w:t xml:space="preserve">Article 4. </w:t>
      </w:r>
      <w:r>
        <w:rPr>
          <w:rFonts w:ascii="Titillium Web" w:hAnsi="Titillium Web"/>
        </w:rPr>
        <w:t>DLT Instances that by design do not use a fixed number of tokens issued all at once, or that have substituted the proof-of-</w:t>
      </w:r>
      <w:r>
        <w:rPr>
          <w:rFonts w:ascii="Titillium Web" w:hAnsi="Titillium Web"/>
        </w:rPr>
        <w:t xml:space="preserve">stake algorithm with a different one and as a result do not use forging tokens, have to contact the Copyright Holder for a custom license agreement. However the Copyright Holder is in no way obliged to provide such a custom license. </w:t>
      </w:r>
    </w:p>
    <w:p w14:paraId="5E4FD80B" w14:textId="77777777" w:rsidR="00560970" w:rsidRDefault="00560970">
      <w:pPr>
        <w:pStyle w:val="BodyText"/>
        <w:spacing w:after="0" w:line="240" w:lineRule="auto"/>
        <w:jc w:val="both"/>
        <w:rPr>
          <w:rFonts w:ascii="Titillium Web" w:hAnsi="Titillium Web"/>
        </w:rPr>
      </w:pPr>
    </w:p>
    <w:p w14:paraId="381FFEBB" w14:textId="77777777" w:rsidR="00560970" w:rsidRDefault="00332CE7">
      <w:pPr>
        <w:pStyle w:val="BodyText"/>
        <w:spacing w:after="0" w:line="240" w:lineRule="auto"/>
        <w:jc w:val="both"/>
      </w:pPr>
      <w:r>
        <w:rPr>
          <w:rFonts w:ascii="Titillium Web" w:hAnsi="Titillium Web"/>
          <w:b/>
        </w:rPr>
        <w:t>Article 5</w:t>
      </w:r>
      <w:r>
        <w:rPr>
          <w:rFonts w:ascii="Titillium Web" w:hAnsi="Titillium Web"/>
          <w:b/>
          <w:bCs/>
        </w:rPr>
        <w:t>.</w:t>
      </w:r>
      <w:r>
        <w:rPr>
          <w:rFonts w:ascii="Titillium Web" w:hAnsi="Titillium Web"/>
        </w:rPr>
        <w:t xml:space="preserve"> </w:t>
      </w:r>
      <w:r>
        <w:rPr>
          <w:rFonts w:ascii="Titillium Web" w:hAnsi="Titillium Web"/>
          <w:b/>
        </w:rPr>
        <w:t>Interpreta</w:t>
      </w:r>
      <w:r>
        <w:rPr>
          <w:rFonts w:ascii="Titillium Web" w:hAnsi="Titillium Web"/>
          <w:b/>
        </w:rPr>
        <w:t>tion</w:t>
      </w:r>
    </w:p>
    <w:p w14:paraId="3E7C1284" w14:textId="77777777" w:rsidR="00560970" w:rsidRDefault="00332CE7">
      <w:pPr>
        <w:pStyle w:val="BodyText"/>
        <w:spacing w:after="0" w:line="240" w:lineRule="auto"/>
        <w:jc w:val="both"/>
      </w:pPr>
      <w:r>
        <w:rPr>
          <w:rFonts w:ascii="Titillium Web" w:hAnsi="Titillium Web"/>
        </w:rPr>
        <w:t>You agree that you may not, for the purpose of interpretation of this License, refer to, or construe this License on the basis of, or use as counterevidence, any prior agreements, arrangements, understandings and statements, or other bilateral or publ</w:t>
      </w:r>
      <w:r>
        <w:rPr>
          <w:rFonts w:ascii="Titillium Web" w:hAnsi="Titillium Web"/>
        </w:rPr>
        <w:t>ic licenses, and to this extent agree (</w:t>
      </w:r>
      <w:proofErr w:type="spellStart"/>
      <w:r>
        <w:rPr>
          <w:rFonts w:ascii="Titillium Web" w:hAnsi="Titillium Web"/>
        </w:rPr>
        <w:t>i</w:t>
      </w:r>
      <w:proofErr w:type="spellEnd"/>
      <w:r>
        <w:rPr>
          <w:rFonts w:ascii="Titillium Web" w:hAnsi="Titillium Web"/>
        </w:rPr>
        <w:t xml:space="preserve">) that this License qualifies as an agreed rule of evidence within the meaning of article 153 Dutch Code of </w:t>
      </w:r>
      <w:r>
        <w:rPr>
          <w:rFonts w:ascii="Titillium Web" w:hAnsi="Titillium Web"/>
        </w:rPr>
        <w:lastRenderedPageBreak/>
        <w:t>Civil Proceedings and (ii) that this clause serves as a determination agreement within the meaning of articl</w:t>
      </w:r>
      <w:r>
        <w:rPr>
          <w:rFonts w:ascii="Titillium Web" w:hAnsi="Titillium Web"/>
        </w:rPr>
        <w:t>e 7:900 Dutch Civil Code, and that this License shall be interpreted or construed by assuming the most obvious grammatical meaning of the wording of this License.</w:t>
      </w:r>
    </w:p>
    <w:p w14:paraId="38DF2FD7" w14:textId="77777777" w:rsidR="00560970" w:rsidRDefault="00560970">
      <w:pPr>
        <w:pStyle w:val="BodyText"/>
        <w:spacing w:after="0" w:line="240" w:lineRule="auto"/>
        <w:jc w:val="both"/>
        <w:rPr>
          <w:rFonts w:ascii="Titillium Web" w:hAnsi="Titillium Web"/>
        </w:rPr>
      </w:pPr>
    </w:p>
    <w:p w14:paraId="653B156F" w14:textId="77777777" w:rsidR="00560970" w:rsidRDefault="00332CE7">
      <w:pPr>
        <w:pStyle w:val="BodyText"/>
        <w:spacing w:after="0" w:line="240" w:lineRule="auto"/>
        <w:jc w:val="both"/>
      </w:pPr>
      <w:r>
        <w:rPr>
          <w:rFonts w:ascii="Titillium Web" w:hAnsi="Titillium Web"/>
          <w:b/>
          <w:bCs/>
        </w:rPr>
        <w:t>Article 6. Governing law</w:t>
      </w:r>
    </w:p>
    <w:p w14:paraId="26B2245C" w14:textId="77777777" w:rsidR="00560970" w:rsidRDefault="00332CE7">
      <w:pPr>
        <w:pStyle w:val="BodyText"/>
        <w:spacing w:after="0" w:line="240" w:lineRule="auto"/>
        <w:jc w:val="both"/>
      </w:pPr>
      <w:r>
        <w:rPr>
          <w:rFonts w:ascii="Titillium Web" w:eastAsia="Arial Unicode MS" w:hAnsi="Titillium Web" w:cs="Arial Unicode MS"/>
          <w:spacing w:val="-3"/>
          <w:sz w:val="21"/>
          <w:szCs w:val="21"/>
        </w:rPr>
        <w:t xml:space="preserve">This License, the documents related to it and any agreement that incorporates any of these are governed by and shall be construed in accordance with the laws of the Netherlands. </w:t>
      </w:r>
      <w:bookmarkStart w:id="10" w:name="_Ref417676615"/>
      <w:bookmarkEnd w:id="10"/>
      <w:r>
        <w:rPr>
          <w:rFonts w:ascii="Titillium Web" w:eastAsia="Arial Unicode MS" w:hAnsi="Titillium Web" w:cs="Arial Unicode MS"/>
          <w:spacing w:val="-3"/>
          <w:sz w:val="21"/>
          <w:szCs w:val="21"/>
        </w:rPr>
        <w:t>Any and all disputes arising out of or in connection with this License, the do</w:t>
      </w:r>
      <w:r>
        <w:rPr>
          <w:rFonts w:ascii="Titillium Web" w:eastAsia="Arial Unicode MS" w:hAnsi="Titillium Web" w:cs="Arial Unicode MS"/>
          <w:spacing w:val="-3"/>
          <w:sz w:val="21"/>
          <w:szCs w:val="21"/>
        </w:rPr>
        <w:t>cuments related to it and any agreement that incorporates any of these shall be exclusively referred to the competent court in Amsterdam, the Netherlands.</w:t>
      </w:r>
    </w:p>
    <w:p w14:paraId="1B299984" w14:textId="77777777" w:rsidR="00560970" w:rsidRDefault="00560970">
      <w:pPr>
        <w:jc w:val="both"/>
        <w:rPr>
          <w:rFonts w:ascii="DejaVu Sans" w:eastAsia="Arial Unicode MS" w:hAnsi="DejaVu Sans" w:cs="Arial Unicode MS"/>
          <w:spacing w:val="-3"/>
          <w:sz w:val="21"/>
          <w:szCs w:val="21"/>
        </w:rPr>
      </w:pPr>
    </w:p>
    <w:p w14:paraId="25F32A5B" w14:textId="77777777" w:rsidR="00560970" w:rsidRDefault="00560970">
      <w:pPr>
        <w:jc w:val="both"/>
        <w:rPr>
          <w:rFonts w:ascii="DejaVu Sans" w:eastAsia="Arial Unicode MS" w:hAnsi="DejaVu Sans" w:cs="Arial Unicode MS"/>
          <w:spacing w:val="-3"/>
          <w:sz w:val="21"/>
          <w:szCs w:val="21"/>
        </w:rPr>
      </w:pPr>
    </w:p>
    <w:p w14:paraId="7CACB0E2" w14:textId="77777777" w:rsidR="00560970" w:rsidRDefault="00560970">
      <w:pPr>
        <w:jc w:val="both"/>
        <w:rPr>
          <w:rFonts w:ascii="DejaVu Sans" w:eastAsia="Arial Unicode MS" w:hAnsi="DejaVu Sans" w:cs="Arial Unicode MS"/>
          <w:spacing w:val="-3"/>
          <w:sz w:val="21"/>
          <w:szCs w:val="21"/>
        </w:rPr>
      </w:pPr>
    </w:p>
    <w:p w14:paraId="080AC76A" w14:textId="77777777" w:rsidR="00560970" w:rsidRDefault="00560970">
      <w:pPr>
        <w:jc w:val="both"/>
        <w:rPr>
          <w:rFonts w:ascii="DejaVu Sans" w:eastAsia="Arial Unicode MS" w:hAnsi="DejaVu Sans" w:cs="Arial Unicode MS"/>
          <w:spacing w:val="-3"/>
          <w:sz w:val="21"/>
          <w:szCs w:val="21"/>
        </w:rPr>
      </w:pPr>
    </w:p>
    <w:p w14:paraId="2090E3FC" w14:textId="77777777" w:rsidR="00560970" w:rsidRDefault="00332CE7">
      <w:pPr>
        <w:jc w:val="both"/>
      </w:pPr>
      <w:r>
        <w:rPr>
          <w:rFonts w:ascii="DejaVu Sans" w:eastAsia="Arial Unicode MS" w:hAnsi="DejaVu Sans" w:cs="Arial Unicode MS"/>
          <w:spacing w:val="-3"/>
          <w:sz w:val="21"/>
          <w:szCs w:val="21"/>
        </w:rPr>
        <w:tab/>
      </w:r>
    </w:p>
    <w:sectPr w:rsidR="00560970">
      <w:pgSz w:w="11906" w:h="16838"/>
      <w:pgMar w:top="1134" w:right="1134" w:bottom="1134" w:left="1134" w:header="0" w:footer="0" w:gutter="0"/>
      <w:cols w:space="720"/>
      <w:formProt w:val="0"/>
      <w:titlePg/>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tillium Web">
    <w:altName w:val="Times New Roman"/>
    <w:charset w:val="01"/>
    <w:family w:val="roman"/>
    <w:pitch w:val="variable"/>
  </w:font>
  <w:font w:name="DejaVu Sans">
    <w:altName w:val="Times New Roman"/>
    <w:charset w:val="01"/>
    <w:family w:val="roman"/>
    <w:pitch w:val="variable"/>
  </w:font>
  <w:font w:name="Arial Unicode MS">
    <w:panose1 w:val="020B0604020202020204"/>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compatSetting w:name="compatibilityMode" w:uri="http://schemas.microsoft.com/office/word" w:val="12"/>
  </w:compat>
  <w:rsids>
    <w:rsidRoot w:val="00560970"/>
    <w:rsid w:val="00332CE7"/>
    <w:rsid w:val="005609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3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StrongEmphasis">
    <w:name w:val="Strong Emphasis"/>
    <w:qFormat/>
    <w:rPr>
      <w:b/>
      <w:bCs/>
    </w:rPr>
  </w:style>
  <w:style w:type="character" w:customStyle="1" w:styleId="ListLabel308">
    <w:name w:val="ListLabel 308"/>
    <w:qFormat/>
    <w:rPr>
      <w:rFonts w:cs="Arial"/>
      <w:b/>
      <w:i w:val="0"/>
      <w:caps w:val="0"/>
      <w:smallCaps w:val="0"/>
      <w:strike w:val="0"/>
      <w:dstrike w:val="0"/>
      <w:vanish w:val="0"/>
      <w:color w:val="000000"/>
      <w:position w:val="0"/>
      <w:sz w:val="20"/>
      <w:szCs w:val="20"/>
      <w:vertAlign w:val="baseline"/>
      <w:lang w:val="nl-NL"/>
    </w:rPr>
  </w:style>
  <w:style w:type="character" w:customStyle="1" w:styleId="ListLabel309">
    <w:name w:val="ListLabel 309"/>
    <w:qFormat/>
    <w:rPr>
      <w:rFonts w:ascii="Calibri" w:hAnsi="Calibri" w:cs="Times New Roman"/>
      <w:b w:val="0"/>
      <w:i w:val="0"/>
      <w:iCs w:val="0"/>
      <w:sz w:val="22"/>
      <w:szCs w:val="22"/>
      <w:lang w:val="nl-NL"/>
    </w:rPr>
  </w:style>
  <w:style w:type="character" w:customStyle="1" w:styleId="ListLabel310">
    <w:name w:val="ListLabel 310"/>
    <w:qFormat/>
    <w:rPr>
      <w:rFonts w:ascii="Calibri" w:hAnsi="Calibri" w:cs="Times New Roman"/>
      <w:b w:val="0"/>
      <w:sz w:val="22"/>
      <w:szCs w:val="20"/>
    </w:rPr>
  </w:style>
  <w:style w:type="character" w:customStyle="1" w:styleId="ListLabel311">
    <w:name w:val="ListLabel 311"/>
    <w:qFormat/>
    <w:rPr>
      <w:rFonts w:cs="Times New Roman"/>
      <w:b/>
    </w:rPr>
  </w:style>
  <w:style w:type="character" w:customStyle="1" w:styleId="ListLabel312">
    <w:name w:val="ListLabel 312"/>
    <w:qFormat/>
    <w:rPr>
      <w:rFonts w:cs="Times New Roman"/>
    </w:rPr>
  </w:style>
  <w:style w:type="character" w:customStyle="1" w:styleId="ListLabel313">
    <w:name w:val="ListLabel 313"/>
    <w:qFormat/>
    <w:rPr>
      <w:rFonts w:ascii="Calibri" w:hAnsi="Calibri" w:cs="Times New Roman"/>
    </w:rPr>
  </w:style>
  <w:style w:type="character" w:customStyle="1" w:styleId="ListLabel314">
    <w:name w:val="ListLabel 314"/>
    <w:qFormat/>
    <w:rPr>
      <w:rFonts w:cs="Times New Roman"/>
    </w:rPr>
  </w:style>
  <w:style w:type="character" w:customStyle="1" w:styleId="ListLabel315">
    <w:name w:val="ListLabel 315"/>
    <w:qFormat/>
    <w:rPr>
      <w:rFonts w:cs="Times New Roman"/>
    </w:rPr>
  </w:style>
  <w:style w:type="character" w:customStyle="1" w:styleId="ListLabel316">
    <w:name w:val="ListLabel 316"/>
    <w:qFormat/>
    <w:rPr>
      <w:rFonts w:cs="Times New Roman"/>
    </w:rPr>
  </w:style>
  <w:style w:type="character" w:customStyle="1" w:styleId="Ninguno">
    <w:name w:val="Ninguno"/>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BDNLevel2">
    <w:name w:val="BDN Level 2"/>
    <w:basedOn w:val="Normal"/>
    <w:qFormat/>
    <w:pPr>
      <w:tabs>
        <w:tab w:val="left" w:pos="6120"/>
      </w:tabs>
      <w:spacing w:before="300" w:after="220"/>
      <w:outlineLvl w:val="1"/>
    </w:pPr>
    <w:rPr>
      <w:bCs/>
      <w:iCs/>
      <w:szCs w:val="28"/>
      <w:lang w:eastAsia="x-none"/>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9</Pages>
  <Words>4209</Words>
  <Characters>23996</Characters>
  <Application>Microsoft Macintosh Word</Application>
  <DocSecurity>0</DocSecurity>
  <Lines>199</Lines>
  <Paragraphs>56</Paragraphs>
  <ScaleCrop>false</ScaleCrop>
  <Company>Mobixon</Company>
  <LinksUpToDate>false</LinksUpToDate>
  <CharactersWithSpaces>28149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Oren Mobixon</cp:lastModifiedBy>
  <cp:revision>291</cp:revision>
  <dcterms:created xsi:type="dcterms:W3CDTF">2017-01-21T12:46:00Z</dcterms:created>
  <dcterms:modified xsi:type="dcterms:W3CDTF">2018-10-06T11:59:00Z</dcterms:modified>
  <dc:language>en-US</dc:language>
</cp:coreProperties>
</file>