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52"/>
          <w:szCs w:val="52"/>
        </w:rPr>
        <w:t xml:space="preserve">TGS Commercial Database &amp; Analytics</w:t>
      </w:r>
      <w:r>
        <w:br/>
        <w:t xml:space="preserve">
</w:t>
      </w:r>
      <w:r>
        <w:rPr>
          <w:color w:val="64748b"/>
          <w:sz w:val="32"/>
          <w:szCs w:val="32"/>
        </w:rPr>
        <w:t xml:space="preserve">Official User Manual</w:t>
      </w:r>
      <w:r>
        <w:br/>
        <w:br/>
        <w:br/>
        <w:br/>
        <w:t xml:space="preserve">
</w:t>
      </w:r>
      <w:r>
        <w:rPr>
          <w:sz w:val="24"/>
          <w:szCs w:val="24"/>
        </w:rPr>
        <w:t xml:space="preserve">Prepared for TGS Commercial Team</w:t>
      </w:r>
      <w:r>
        <w:br/>
        <w:t xml:space="preserve">
</w:t>
      </w:r>
      <w:r>
        <w:rPr>
          <w:sz w:val="24"/>
          <w:szCs w:val="24"/>
        </w:rPr>
        <w:t xml:space="preserve">April 2026</w:t>
      </w:r>
      <w:r>
        <w:br/>
        <w:br/>
        <w:br/>
        <w:br/>
        <w:br/>
        <w:br/>
        <w:t xml:space="preserve">
</w:t>
      </w:r>
    </w:p>
    <w:p>
      <w:r>
        <w:br/>
        <w:t xml:space="preserv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/>
        <w:t xml:space="preserve"/>
      </w:r>
    </w:p>
    <w:p>
      <w:pPr>
        <w:pStyle w:val="Heading1"/>
      </w:pPr>
      <w:r>
        <w:t xml:space="preserve">1. Introduction</w:t>
      </w:r>
    </w:p>
    <w:p>
      <w:r>
        <w:t xml:space="preserve">The TGS Commercial Database is a high-precision financial intelligence platform. It tracks portfolio profitability, streamlines field data entry, and ensures data integrity across all commercial service records.</w:t>
      </w:r>
    </w:p>
    <w:p>
      <w:pPr>
        <w:pStyle w:val="Heading1"/>
      </w:pPr>
      <w:r>
        <w:t xml:space="preserve">2. Core Modules &amp; Features</w:t>
      </w:r>
    </w:p>
    <w:p>
      <w:pPr>
        <w:pStyle w:val="Heading2"/>
      </w:pPr>
      <w:r>
        <w:t xml:space="preserve">2.1 Portfolio Analytics</w:t>
      </w:r>
    </w:p>
    <w:p>
      <w:r>
        <w:t xml:space="preserve">Your central dashboard for business health:</w:t>
      </w:r>
    </w:p>
    <w:p>
      <w:pPr>
        <w:pStyle w:val="ListParagraph"/>
        <w:numPr>
          <w:ilvl w:val="0"/>
          <w:numId w:val="2"/>
        </w:numPr>
      </w:pPr>
      <w:r>
        <w:t xml:space="preserve">Net Profit &amp; Efficiency: View real-time earnings vs. overhead costs.</w:t>
      </w:r>
    </w:p>
    <w:p>
      <w:pPr>
        <w:pStyle w:val="ListParagraph"/>
        <w:numPr>
          <w:ilvl w:val="0"/>
          <w:numId w:val="2"/>
        </w:numPr>
      </w:pPr>
      <w:r>
        <w:t xml:space="preserve">Yield Leaderboard: Rank communities by profit margin (red flags indicate needed renegotiations).</w:t>
      </w:r>
    </w:p>
    <w:p>
      <w:pPr>
        <w:pStyle w:val="ListParagraph"/>
        <w:numPr>
          <w:ilvl w:val="0"/>
          <w:numId w:val="2"/>
        </w:numPr>
      </w:pPr>
      <w:r>
        <w:t xml:space="preserve">Operational Burn: Visualization of labor and material 'overhead' for any date range.</w:t>
      </w:r>
    </w:p>
    <w:p>
      <w:pPr>
        <w:pStyle w:val="Heading2"/>
      </w:pPr>
      <w:r>
        <w:t xml:space="preserve">2.2 Record Service (Field Log)</w:t>
      </w:r>
    </w:p>
    <w:p>
      <w:r>
        <w:t xml:space="preserve">The primary tool for recording daily work:</w:t>
      </w:r>
    </w:p>
    <w:p>
      <w:pPr>
        <w:pStyle w:val="ListParagraph"/>
        <w:numPr>
          <w:ilvl w:val="0"/>
          <w:numId w:val="2"/>
        </w:numPr>
      </w:pPr>
      <w:r>
        <w:t xml:space="preserve">Intelligent Search: Quickly find communities by name or management company.</w:t>
      </w:r>
    </w:p>
    <w:p>
      <w:pPr>
        <w:pStyle w:val="ListParagraph"/>
        <w:numPr>
          <w:ilvl w:val="0"/>
          <w:numId w:val="2"/>
        </w:numPr>
      </w:pPr>
      <w:r>
        <w:t xml:space="preserve">Labor Auto-Calculation: Enter clock time; the system handles the dollar math.</w:t>
      </w:r>
    </w:p>
    <w:p>
      <w:pPr>
        <w:pStyle w:val="ListParagraph"/>
        <w:numPr>
          <w:ilvl w:val="0"/>
          <w:numId w:val="2"/>
        </w:numPr>
      </w:pPr>
      <w:r>
        <w:t xml:space="preserve">Material Tracking: Search products to add usage; costs are calculated automatically.</w:t>
      </w:r>
    </w:p>
    <w:p>
      <w:pPr>
        <w:pStyle w:val="Heading2"/>
      </w:pPr>
      <w:r>
        <w:t xml:space="preserve">2.3 Data Governance &amp; Portfolio Management</w:t>
      </w:r>
    </w:p>
    <w:p>
      <w:r>
        <w:t xml:space="preserve">Tools to keep your data clean:</w:t>
      </w:r>
    </w:p>
    <w:p>
      <w:pPr>
        <w:pStyle w:val="ListParagraph"/>
        <w:numPr>
          <w:ilvl w:val="0"/>
          <w:numId w:val="2"/>
        </w:numPr>
      </w:pPr>
      <w:r>
        <w:t xml:space="preserve">Community Merger: Combine duplicate property records while preserving history.</w:t>
      </w:r>
    </w:p>
    <w:p>
      <w:pPr>
        <w:pStyle w:val="ListParagraph"/>
        <w:numPr>
          <w:ilvl w:val="0"/>
          <w:numId w:val="2"/>
        </w:numPr>
      </w:pPr>
      <w:r>
        <w:t xml:space="preserve">Crew Normalization: Standardize team names without breaking past logs.</w:t>
      </w:r>
    </w:p>
    <w:p>
      <w:pPr>
        <w:pStyle w:val="Heading1"/>
      </w:pPr>
      <w:r>
        <w:t xml:space="preserve">3. Role-Based Access Privileges</w:t>
      </w:r>
    </w:p>
    <w:p>
      <w:r>
        <w:t xml:space="preserve">The system assigns access automatically based on your authenticated profile.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shd w:fill="f1f5f9" w:val="clear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shd w:fill="f1f5f9" w:val="clear"/>
          </w:tcPr>
          <w:p>
            <w:r>
              <w:rPr>
                <w:b/>
                <w:bCs/>
              </w:rPr>
              <w:t xml:space="preserve">Admin</w:t>
            </w:r>
          </w:p>
        </w:tc>
        <w:tc>
          <w:tcPr>
            <w:shd w:fill="f1f5f9" w:val="clear"/>
          </w:tcPr>
          <w:p>
            <w:r>
              <w:rPr>
                <w:b/>
                <w:bCs/>
              </w:rPr>
              <w:t xml:space="preserve">Executive</w:t>
            </w:r>
          </w:p>
        </w:tc>
      </w:tr>
      <w:tr>
        <w:tc>
          <w:p>
            <w:r>
              <w:t xml:space="preserve">View Analytics &amp; Reports</w:t>
            </w:r>
          </w:p>
        </w:tc>
        <w:tc>
          <w:p>
            <w:r>
              <w:t xml:space="preserve">Full Access</w:t>
            </w:r>
          </w:p>
        </w:tc>
        <w:tc>
          <w:p>
            <w:r>
              <w:t xml:space="preserve">Full Access</w:t>
            </w:r>
          </w:p>
        </w:tc>
      </w:tr>
      <w:tr>
        <w:tc>
          <w:p>
            <w:r>
              <w:t xml:space="preserve">Record Service Logs</w:t>
            </w:r>
          </w:p>
        </w:tc>
        <w:tc>
          <w:p>
            <w:r>
              <w:t xml:space="preserve">Authorized</w:t>
            </w:r>
          </w:p>
        </w:tc>
        <w:tc>
          <w:p>
            <w:r>
              <w:t xml:space="preserve">Read Only</w:t>
            </w:r>
          </w:p>
        </w:tc>
      </w:tr>
      <w:tr>
        <w:tc>
          <w:p>
            <w:r>
              <w:t xml:space="preserve">Manage Pricing &amp; Mergers</w:t>
            </w:r>
          </w:p>
        </w:tc>
        <w:tc>
          <w:p>
            <w:r>
              <w:t xml:space="preserve">Authorized</w:t>
            </w:r>
          </w:p>
        </w:tc>
        <w:tc>
          <w:p>
            <w:r>
              <w:t xml:space="preserve">Restricted</w:t>
            </w:r>
          </w:p>
        </w:tc>
      </w:tr>
    </w:tbl>
    <w:p>
      <w:pPr>
        <w:pStyle w:val="Heading1"/>
      </w:pPr>
      <w:r>
        <w:t xml:space="preserve">4. Operational Best Practices</w:t>
      </w:r>
    </w:p>
    <w:p>
      <w:pPr>
        <w:pStyle w:val="ListParagraph"/>
        <w:numPr>
          <w:ilvl w:val="0"/>
          <w:numId w:val="2"/>
        </w:numPr>
      </w:pPr>
      <w:r>
        <w:t xml:space="preserve">Title Case: Use standard Title Case for consistency in community names.</w:t>
      </w:r>
    </w:p>
    <w:p>
      <w:pPr>
        <w:pStyle w:val="ListParagraph"/>
        <w:numPr>
          <w:ilvl w:val="0"/>
          <w:numId w:val="2"/>
        </w:numPr>
      </w:pPr>
      <w:r>
        <w:t xml:space="preserve">Material Units: Always use uppercase for units (e.g., BAG, GAL, PLT).</w:t>
      </w:r>
    </w:p>
    <w:p>
      <w:pPr>
        <w:pStyle w:val="ListParagraph"/>
        <w:numPr>
          <w:ilvl w:val="0"/>
          <w:numId w:val="2"/>
        </w:numPr>
      </w:pPr>
      <w:r>
        <w:t xml:space="preserve">Sync Frequency: If using offline, refresh data once per day for accuracy.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TGS Commercial Database — User Manual | 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b/>
      <w:bCs/>
      <w:color w:val="33415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2026-04-16T21:31:13.470Z</dcterms:created>
  <dcterms:modified xsi:type="dcterms:W3CDTF">2026-04-16T21:31:13.470Z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