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Capstone Project Concept Note and Implementation Plan</w:t>
      </w:r>
    </w:p>
    <w:p w:rsidR="00000000" w:rsidDel="00000000" w:rsidP="00000000" w:rsidRDefault="00000000" w:rsidRPr="00000000" w14:paraId="00000002">
      <w:pPr>
        <w:spacing w:after="240" w:before="240" w:line="276" w:lineRule="auto"/>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Title: Forecasting Disease Outbreaks Using Integrated Mobility and Health Data</w:t>
      </w:r>
    </w:p>
    <w:p w:rsidR="00000000" w:rsidDel="00000000" w:rsidP="00000000" w:rsidRDefault="00000000" w:rsidRPr="00000000" w14:paraId="00000003">
      <w:pPr>
        <w:spacing w:after="240" w:before="240" w:line="276"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Team Members</w:t>
      </w:r>
    </w:p>
    <w:p w:rsidR="00000000" w:rsidDel="00000000" w:rsidP="00000000" w:rsidRDefault="00000000" w:rsidRPr="00000000" w14:paraId="00000004">
      <w:pPr>
        <w:numPr>
          <w:ilvl w:val="0"/>
          <w:numId w:val="1"/>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Han D D Htet </w:t>
      </w:r>
    </w:p>
    <w:p w:rsidR="00000000" w:rsidDel="00000000" w:rsidP="00000000" w:rsidRDefault="00000000" w:rsidRPr="00000000" w14:paraId="00000005">
      <w:pPr>
        <w:numPr>
          <w:ilvl w:val="0"/>
          <w:numId w:val="1"/>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Kyaw Zin Htet </w:t>
      </w:r>
    </w:p>
    <w:p w:rsidR="00000000" w:rsidDel="00000000" w:rsidP="00000000" w:rsidRDefault="00000000" w:rsidRPr="00000000" w14:paraId="00000006">
      <w:pPr>
        <w:numPr>
          <w:ilvl w:val="0"/>
          <w:numId w:val="1"/>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Aung Ko Min </w:t>
      </w:r>
    </w:p>
    <w:p w:rsidR="00000000" w:rsidDel="00000000" w:rsidP="00000000" w:rsidRDefault="00000000" w:rsidRPr="00000000" w14:paraId="00000007">
      <w:pPr>
        <w:numPr>
          <w:ilvl w:val="0"/>
          <w:numId w:val="1"/>
        </w:numPr>
        <w:spacing w:after="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rtl w:val="0"/>
        </w:rPr>
        <w:t xml:space="preserve">Naing Lin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Project Overview</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COVID-19 pandemic highlighted a critical global challenge: the rapid spread of airborne diseases and the need for effective preparedness strategies. This project aims to address this problem by creating an early warning system capable of forecasting spikes in disease cases. The project is directly relevant to Sustainable Development Goal 3 (Good Health and Well-Being) by developing tools to enhance national and global health preparedness. Our solution will leverage machine learning to analyze the complex interactions between public health statistics, population mobility, and government policy data to provide a reliable forecast of potential outbreaks. The potential impact is to provide public health agencies with a vital tool to improve readiness and make data-driven decisions for future public health challenges.</w:t>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Objectives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objectives of this project are:</w:t>
      </w:r>
    </w:p>
    <w:p w:rsidR="00000000" w:rsidDel="00000000" w:rsidP="00000000" w:rsidRDefault="00000000" w:rsidRPr="00000000" w14:paraId="0000000C">
      <w:pPr>
        <w:numPr>
          <w:ilvl w:val="0"/>
          <w:numId w:val="2"/>
        </w:numPr>
        <w:ind w:left="720" w:hanging="360"/>
        <w:rPr/>
      </w:pPr>
      <w:r w:rsidDel="00000000" w:rsidR="00000000" w:rsidRPr="00000000">
        <w:rPr>
          <w:rFonts w:ascii="Times New Roman" w:cs="Times New Roman" w:eastAsia="Times New Roman" w:hAnsi="Times New Roman"/>
          <w:rtl w:val="0"/>
        </w:rPr>
        <w:t xml:space="preserve">To identify and integrate three distinct time-series datasets: Epidemiological data from Our World in Data (OWID), population mobility data from Google Community Mobility Reports, and government policy data from the Oxford COVID-19 Government Response Tracker (OxCGRT).</w:t>
      </w:r>
    </w:p>
    <w:p w:rsidR="00000000" w:rsidDel="00000000" w:rsidP="00000000" w:rsidRDefault="00000000" w:rsidRPr="00000000" w14:paraId="0000000D">
      <w:pPr>
        <w:numPr>
          <w:ilvl w:val="0"/>
          <w:numId w:val="2"/>
        </w:numPr>
        <w:ind w:left="720" w:hanging="360"/>
        <w:rPr/>
      </w:pPr>
      <w:r w:rsidDel="00000000" w:rsidR="00000000" w:rsidRPr="00000000">
        <w:rPr>
          <w:rFonts w:ascii="Times New Roman" w:cs="Times New Roman" w:eastAsia="Times New Roman" w:hAnsi="Times New Roman"/>
          <w:rtl w:val="0"/>
        </w:rPr>
        <w:t xml:space="preserve">To implement and train a Random Forest model to serve as a powerful performance baseline.</w:t>
      </w:r>
    </w:p>
    <w:p w:rsidR="00000000" w:rsidDel="00000000" w:rsidP="00000000" w:rsidRDefault="00000000" w:rsidRPr="00000000" w14:paraId="0000000E">
      <w:pPr>
        <w:numPr>
          <w:ilvl w:val="0"/>
          <w:numId w:val="2"/>
        </w:numPr>
        <w:ind w:left="720" w:hanging="360"/>
        <w:rPr/>
      </w:pPr>
      <w:r w:rsidDel="00000000" w:rsidR="00000000" w:rsidRPr="00000000">
        <w:rPr>
          <w:rFonts w:ascii="Times New Roman" w:cs="Times New Roman" w:eastAsia="Times New Roman" w:hAnsi="Times New Roman"/>
          <w:rtl w:val="0"/>
        </w:rPr>
        <w:t xml:space="preserve">To develop, train, and evaluate a comprehensive suite of advanced deep learning models, including Gated Recurrent Unit (GRU), Long Short-Term Memory (LSTM), Temporal Convolutional Network (TCN), Transformer, and Hybrid models.</w:t>
      </w:r>
    </w:p>
    <w:p w:rsidR="00000000" w:rsidDel="00000000" w:rsidP="00000000" w:rsidRDefault="00000000" w:rsidRPr="00000000" w14:paraId="0000000F">
      <w:pPr>
        <w:numPr>
          <w:ilvl w:val="0"/>
          <w:numId w:val="2"/>
        </w:numPr>
        <w:ind w:left="720" w:hanging="360"/>
        <w:rPr/>
      </w:pPr>
      <w:r w:rsidDel="00000000" w:rsidR="00000000" w:rsidRPr="00000000">
        <w:rPr>
          <w:rFonts w:ascii="Times New Roman" w:cs="Times New Roman" w:eastAsia="Times New Roman" w:hAnsi="Times New Roman"/>
          <w:rtl w:val="0"/>
        </w:rPr>
        <w:t xml:space="preserve">To perform a robust comparative study of all implemented models to identify which architecture provides the best forecasting performance for this critical public health task.</w:t>
      </w:r>
    </w:p>
    <w:p w:rsidR="00000000" w:rsidDel="00000000" w:rsidP="00000000" w:rsidRDefault="00000000" w:rsidRPr="00000000" w14:paraId="000000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Background</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literature firmly establishes the link between human mobility and the spread of infectious diseases. Foundational studies by researchers such as Kraemer et al. (2020) and Pepe et al. (2021) used mobile phone and community mobility data to show a strong association between reduced human movement and a slowdown in the spread of COVID-19. Building on this, recent research has demonstrated the effectiveness of a machine learning approach. For example, Jiao et al. (2025) successfully used deep learning models like LSTMs with mobility data to forecast COVID-19 trends. This approach is necessary because deep learning models can capture the complex, non-linear relationships between human behavior and future case numbers, outperforming simpler models.</w:t>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Methodology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will employ a comparative study of several machine learning and deep learning techniques to determine the most effective model for disease outbreak forecasting. The methodologies to be implemented include:</w:t>
      </w:r>
    </w:p>
    <w:p w:rsidR="00000000" w:rsidDel="00000000" w:rsidP="00000000" w:rsidRDefault="00000000" w:rsidRPr="00000000" w14:paraId="00000014">
      <w:pPr>
        <w:numPr>
          <w:ilvl w:val="0"/>
          <w:numId w:val="8"/>
        </w:numPr>
        <w:ind w:left="720" w:hanging="360"/>
        <w:rPr/>
      </w:pPr>
      <w:r w:rsidDel="00000000" w:rsidR="00000000" w:rsidRPr="00000000">
        <w:rPr>
          <w:rFonts w:ascii="Times New Roman" w:cs="Times New Roman" w:eastAsia="Times New Roman" w:hAnsi="Times New Roman"/>
          <w:b w:val="1"/>
          <w:rtl w:val="0"/>
        </w:rPr>
        <w:t xml:space="preserve">Random Forest:</w:t>
      </w:r>
      <w:r w:rsidDel="00000000" w:rsidR="00000000" w:rsidRPr="00000000">
        <w:rPr>
          <w:rFonts w:ascii="Times New Roman" w:cs="Times New Roman" w:eastAsia="Times New Roman" w:hAnsi="Times New Roman"/>
          <w:rtl w:val="0"/>
        </w:rPr>
        <w:t xml:space="preserve"> An ensemble model used to establish a powerful, non-sequential baseline performance.</w:t>
      </w:r>
    </w:p>
    <w:p w:rsidR="00000000" w:rsidDel="00000000" w:rsidP="00000000" w:rsidRDefault="00000000" w:rsidRPr="00000000" w14:paraId="00000015">
      <w:pPr>
        <w:numPr>
          <w:ilvl w:val="0"/>
          <w:numId w:val="8"/>
        </w:numPr>
        <w:ind w:left="720" w:hanging="360"/>
        <w:rPr/>
      </w:pPr>
      <w:r w:rsidDel="00000000" w:rsidR="00000000" w:rsidRPr="00000000">
        <w:rPr>
          <w:rFonts w:ascii="Times New Roman" w:cs="Times New Roman" w:eastAsia="Times New Roman" w:hAnsi="Times New Roman"/>
          <w:b w:val="1"/>
          <w:rtl w:val="0"/>
        </w:rPr>
        <w:t xml:space="preserve">Gated Recurrent Unit (GRU):</w:t>
      </w:r>
      <w:r w:rsidDel="00000000" w:rsidR="00000000" w:rsidRPr="00000000">
        <w:rPr>
          <w:rFonts w:ascii="Times New Roman" w:cs="Times New Roman" w:eastAsia="Times New Roman" w:hAnsi="Times New Roman"/>
          <w:rtl w:val="0"/>
        </w:rPr>
        <w:t xml:space="preserve"> A modern recurrent neural network (RNN) that uses gates to manage a memory state and learn temporal patterns.</w:t>
      </w:r>
    </w:p>
    <w:p w:rsidR="00000000" w:rsidDel="00000000" w:rsidP="00000000" w:rsidRDefault="00000000" w:rsidRPr="00000000" w14:paraId="00000016">
      <w:pPr>
        <w:numPr>
          <w:ilvl w:val="0"/>
          <w:numId w:val="8"/>
        </w:numPr>
        <w:ind w:left="720" w:hanging="360"/>
        <w:rPr/>
      </w:pPr>
      <w:r w:rsidDel="00000000" w:rsidR="00000000" w:rsidRPr="00000000">
        <w:rPr>
          <w:rFonts w:ascii="Times New Roman" w:cs="Times New Roman" w:eastAsia="Times New Roman" w:hAnsi="Times New Roman"/>
          <w:b w:val="1"/>
          <w:rtl w:val="0"/>
        </w:rPr>
        <w:t xml:space="preserve">Long Short-Term Memory (LSTM):</w:t>
      </w:r>
      <w:r w:rsidDel="00000000" w:rsidR="00000000" w:rsidRPr="00000000">
        <w:rPr>
          <w:rFonts w:ascii="Times New Roman" w:cs="Times New Roman" w:eastAsia="Times New Roman" w:hAnsi="Times New Roman"/>
          <w:rtl w:val="0"/>
        </w:rPr>
        <w:t xml:space="preserve"> A classic and powerful RNN highly effective at learning very long-term dependencies in sequence data.</w:t>
      </w:r>
    </w:p>
    <w:p w:rsidR="00000000" w:rsidDel="00000000" w:rsidP="00000000" w:rsidRDefault="00000000" w:rsidRPr="00000000" w14:paraId="00000017">
      <w:pPr>
        <w:numPr>
          <w:ilvl w:val="0"/>
          <w:numId w:val="8"/>
        </w:numPr>
        <w:ind w:left="720" w:hanging="360"/>
        <w:rPr/>
      </w:pPr>
      <w:r w:rsidDel="00000000" w:rsidR="00000000" w:rsidRPr="00000000">
        <w:rPr>
          <w:rFonts w:ascii="Times New Roman" w:cs="Times New Roman" w:eastAsia="Times New Roman" w:hAnsi="Times New Roman"/>
          <w:b w:val="1"/>
          <w:rtl w:val="0"/>
        </w:rPr>
        <w:t xml:space="preserve">Temporal Convolutional Network (TCN):</w:t>
      </w:r>
      <w:r w:rsidDel="00000000" w:rsidR="00000000" w:rsidRPr="00000000">
        <w:rPr>
          <w:rFonts w:ascii="Times New Roman" w:cs="Times New Roman" w:eastAsia="Times New Roman" w:hAnsi="Times New Roman"/>
          <w:rtl w:val="0"/>
        </w:rPr>
        <w:t xml:space="preserve"> A model that adapts convolutional neural networks to sequence data, using dilated convolutions to identify patterns over long periods.</w:t>
      </w:r>
    </w:p>
    <w:p w:rsidR="00000000" w:rsidDel="00000000" w:rsidP="00000000" w:rsidRDefault="00000000" w:rsidRPr="00000000" w14:paraId="00000018">
      <w:pPr>
        <w:numPr>
          <w:ilvl w:val="0"/>
          <w:numId w:val="8"/>
        </w:numPr>
        <w:ind w:left="720" w:hanging="360"/>
        <w:rPr/>
      </w:pPr>
      <w:r w:rsidDel="00000000" w:rsidR="00000000" w:rsidRPr="00000000">
        <w:rPr>
          <w:rFonts w:ascii="Times New Roman" w:cs="Times New Roman" w:eastAsia="Times New Roman" w:hAnsi="Times New Roman"/>
          <w:b w:val="1"/>
          <w:rtl w:val="0"/>
        </w:rPr>
        <w:t xml:space="preserve">Transformer:</w:t>
      </w:r>
      <w:r w:rsidDel="00000000" w:rsidR="00000000" w:rsidRPr="00000000">
        <w:rPr>
          <w:rFonts w:ascii="Times New Roman" w:cs="Times New Roman" w:eastAsia="Times New Roman" w:hAnsi="Times New Roman"/>
          <w:rtl w:val="0"/>
        </w:rPr>
        <w:t xml:space="preserve"> A state-of-the-art model that relies on a self-attention mechanism to weigh the importance of all time steps at once, allowing it to capture complex global relationships.</w:t>
      </w:r>
    </w:p>
    <w:p w:rsidR="00000000" w:rsidDel="00000000" w:rsidP="00000000" w:rsidRDefault="00000000" w:rsidRPr="00000000" w14:paraId="00000019">
      <w:pPr>
        <w:numPr>
          <w:ilvl w:val="0"/>
          <w:numId w:val="8"/>
        </w:numPr>
        <w:ind w:left="720" w:hanging="360"/>
        <w:rPr/>
      </w:pPr>
      <w:r w:rsidDel="00000000" w:rsidR="00000000" w:rsidRPr="00000000">
        <w:rPr>
          <w:rFonts w:ascii="Times New Roman" w:cs="Times New Roman" w:eastAsia="Times New Roman" w:hAnsi="Times New Roman"/>
          <w:b w:val="1"/>
          <w:rtl w:val="0"/>
        </w:rPr>
        <w:t xml:space="preserve">Hybrid Models (e.g., LSTM-Transformer):</w:t>
      </w:r>
      <w:r w:rsidDel="00000000" w:rsidR="00000000" w:rsidRPr="00000000">
        <w:rPr>
          <w:rFonts w:ascii="Times New Roman" w:cs="Times New Roman" w:eastAsia="Times New Roman" w:hAnsi="Times New Roman"/>
          <w:rtl w:val="0"/>
        </w:rPr>
        <w:t xml:space="preserve"> A modern approach that combines the strengths of different architectures to potentially achieve the best performance.</w:t>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Architecture Design Diagram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follow a sequential data processing and modeling architecture, as illustrated below.</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5232400" cy="1117600"/>
                <wp:effectExtent b="0" l="0" r="0" t="0"/>
                <wp:docPr id="1" name=""/>
                <a:graphic>
                  <a:graphicData uri="http://schemas.microsoft.com/office/word/2010/wordprocessingGroup">
                    <wpg:wgp>
                      <wpg:cNvGrpSpPr/>
                      <wpg:grpSpPr>
                        <a:xfrm>
                          <a:off x="0" y="0"/>
                          <a:ext cx="5232400" cy="1117600"/>
                          <a:chOff x="0" y="0"/>
                          <a:chExt cx="5232400" cy="1117600"/>
                        </a:xfrm>
                      </wpg:grpSpPr>
                      <wpg:grpSp>
                        <wpg:cNvGrpSpPr/>
                        <wpg:grpSpPr>
                          <a:xfrm>
                            <a:off x="0" y="0"/>
                            <a:ext cx="5232400" cy="1117600"/>
                            <a:chOff x="0" y="0"/>
                            <a:chExt cx="5232400" cy="1117600"/>
                          </a:xfrm>
                        </wpg:grpSpPr>
                        <wps:wsp>
                          <wps:cNvSpPr/>
                          <wps:cNvPr id="3" name="Shape 3"/>
                          <wps:spPr>
                            <a:xfrm>
                              <a:off x="0" y="0"/>
                              <a:ext cx="5232400" cy="111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680045" y="240395"/>
                              <a:ext cx="636816" cy="636920"/>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701057" y="261630"/>
                              <a:ext cx="594451" cy="594451"/>
                            </a:xfrm>
                            <a:prstGeom prst="ellipse">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3786124" y="346567"/>
                              <a:ext cx="424656" cy="42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Forecasting Output</w:t>
                                </w:r>
                              </w:p>
                            </w:txbxContent>
                          </wps:txbx>
                          <wps:bodyPr anchorCtr="0" anchor="ctr" bIns="6350" lIns="6350" spcFirstLastPara="1" rIns="6350" wrap="square" tIns="6350">
                            <a:noAutofit/>
                          </wps:bodyPr>
                        </wps:wsp>
                        <wps:wsp>
                          <wps:cNvSpPr/>
                          <wps:cNvPr id="7" name="Shape 7"/>
                          <wps:spPr>
                            <a:xfrm rot="2700000">
                              <a:off x="3021575" y="240428"/>
                              <a:ext cx="636742" cy="636742"/>
                            </a:xfrm>
                            <a:prstGeom prst="teardrop">
                              <a:avLst>
                                <a:gd fmla="val 10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043229" y="261630"/>
                              <a:ext cx="594451" cy="594451"/>
                            </a:xfrm>
                            <a:prstGeom prst="ellipse">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3127957" y="346567"/>
                              <a:ext cx="424656" cy="42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Model Training &amp; Evaluation </w:t>
                                </w:r>
                              </w:p>
                            </w:txbxContent>
                          </wps:txbx>
                          <wps:bodyPr anchorCtr="0" anchor="ctr" bIns="6350" lIns="6350" spcFirstLastPara="1" rIns="6350" wrap="square" tIns="6350">
                            <a:noAutofit/>
                          </wps:bodyPr>
                        </wps:wsp>
                        <wps:wsp>
                          <wps:cNvSpPr/>
                          <wps:cNvPr id="10" name="Shape 10"/>
                          <wps:spPr>
                            <a:xfrm rot="2700000">
                              <a:off x="2363747" y="240428"/>
                              <a:ext cx="636742" cy="636742"/>
                            </a:xfrm>
                            <a:prstGeom prst="teardrop">
                              <a:avLst>
                                <a:gd fmla="val 10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385061" y="261630"/>
                              <a:ext cx="594451" cy="594451"/>
                            </a:xfrm>
                            <a:prstGeom prst="ellipse">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2469789" y="346567"/>
                              <a:ext cx="424656" cy="42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Feature Engineering</w:t>
                                </w:r>
                              </w:p>
                            </w:txbxContent>
                          </wps:txbx>
                          <wps:bodyPr anchorCtr="0" anchor="ctr" bIns="6350" lIns="6350" spcFirstLastPara="1" rIns="6350" wrap="square" tIns="6350">
                            <a:noAutofit/>
                          </wps:bodyPr>
                        </wps:wsp>
                        <wps:wsp>
                          <wps:cNvSpPr/>
                          <wps:cNvPr id="13" name="Shape 13"/>
                          <wps:spPr>
                            <a:xfrm rot="2700000">
                              <a:off x="1705579" y="240428"/>
                              <a:ext cx="636742" cy="636742"/>
                            </a:xfrm>
                            <a:prstGeom prst="teardrop">
                              <a:avLst>
                                <a:gd fmla="val 10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726894" y="261630"/>
                              <a:ext cx="594451" cy="594451"/>
                            </a:xfrm>
                            <a:prstGeom prst="ellipse">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1811961" y="346567"/>
                              <a:ext cx="424656" cy="42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Data Ingestion &amp; Preprocessing</w:t>
                                </w:r>
                              </w:p>
                            </w:txbxContent>
                          </wps:txbx>
                          <wps:bodyPr anchorCtr="0" anchor="ctr" bIns="6350" lIns="6350" spcFirstLastPara="1" rIns="6350" wrap="square" tIns="6350">
                            <a:noAutofit/>
                          </wps:bodyPr>
                        </wps:wsp>
                        <wps:wsp>
                          <wps:cNvSpPr/>
                          <wps:cNvPr id="16" name="Shape 16"/>
                          <wps:spPr>
                            <a:xfrm rot="2700000">
                              <a:off x="1047412" y="240428"/>
                              <a:ext cx="636742" cy="636742"/>
                            </a:xfrm>
                            <a:prstGeom prst="teardrop">
                              <a:avLst>
                                <a:gd fmla="val 10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068726" y="261630"/>
                              <a:ext cx="594451" cy="594451"/>
                            </a:xfrm>
                            <a:prstGeom prst="ellipse">
                              <a:avLst/>
                            </a:prstGeom>
                            <a:solidFill>
                              <a:schemeClr val="lt1">
                                <a:alpha val="89803"/>
                              </a:schemeClr>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8" name="Shape 18"/>
                          <wps:spPr>
                            <a:xfrm>
                              <a:off x="1153793" y="346567"/>
                              <a:ext cx="424656" cy="42457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Data Sources</w:t>
                                </w:r>
                              </w:p>
                            </w:txbxContent>
                          </wps:txbx>
                          <wps:bodyPr anchorCtr="0" anchor="ctr" bIns="6350" lIns="6350" spcFirstLastPara="1" rIns="6350" wrap="square" tIns="6350">
                            <a:noAutofit/>
                          </wps:bodyPr>
                        </wps:wsp>
                      </wpg:grpSp>
                    </wpg:wgp>
                  </a:graphicData>
                </a:graphic>
              </wp:inline>
            </w:drawing>
          </mc:Choice>
          <mc:Fallback>
            <w:drawing>
              <wp:inline distB="0" distT="0" distL="0" distR="0">
                <wp:extent cx="5232400" cy="1117600"/>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232400" cy="1117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raw datasets: The OWID COVID-19 dataset (epidemiological data), Google Community Mobility Reports (population mobility data), and the OxCGRT dataset (government policy data).</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Ingestion &amp; Preprocessing: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component, built using the Pandas library, is responsible for loading the raw CSV files, cleaning the data, handling missing values, and merging the three sources into a single, comprehensive time-series dataset aligned by date and country.</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stage involves creating predictor variables for the models. This includes generating "lag" features (e.g., using mobility data from 1-3 weeks prior to predict current cases ) and selecting relevant metrics like positive_rate and the StringencyIndex.</w:t>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Model Training &amp; Evaluation: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core of the project where each of the selected models (Random Forest, LSTM, GRU, TCN, Transformer, Hybrid) is trained on the historical data and evaluated to measure its predictive accuracy.</w:t>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Forecasting 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final component delivers the predictions from the best-performing model, providing an early warning of potential future spikes in disease cases.</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Data Sources</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founded on a multi-dimensional dataset created by integrating three robust, publicly available sources. The primary dataset is the </w:t>
      </w:r>
      <w:r w:rsidDel="00000000" w:rsidR="00000000" w:rsidRPr="00000000">
        <w:rPr>
          <w:rFonts w:ascii="Times New Roman" w:cs="Times New Roman" w:eastAsia="Times New Roman" w:hAnsi="Times New Roman"/>
          <w:b w:val="1"/>
          <w:rtl w:val="0"/>
        </w:rPr>
        <w:t xml:space="preserve">Our World in Data (OWID) COVID-19 Dataset</w:t>
      </w:r>
      <w:r w:rsidDel="00000000" w:rsidR="00000000" w:rsidRPr="00000000">
        <w:rPr>
          <w:rFonts w:ascii="Times New Roman" w:cs="Times New Roman" w:eastAsia="Times New Roman" w:hAnsi="Times New Roman"/>
          <w:rtl w:val="0"/>
        </w:rPr>
        <w:t xml:space="preserve">, which provides the epidemiological target variables we aim to predict, such as positive_rate and new_cases. This is supplemented by our core behavioral predictor, the </w:t>
      </w:r>
      <w:r w:rsidDel="00000000" w:rsidR="00000000" w:rsidRPr="00000000">
        <w:rPr>
          <w:rFonts w:ascii="Times New Roman" w:cs="Times New Roman" w:eastAsia="Times New Roman" w:hAnsi="Times New Roman"/>
          <w:b w:val="1"/>
          <w:rtl w:val="0"/>
        </w:rPr>
        <w:t xml:space="preserve">Google Community Mobility Reports</w:t>
      </w:r>
      <w:r w:rsidDel="00000000" w:rsidR="00000000" w:rsidRPr="00000000">
        <w:rPr>
          <w:rFonts w:ascii="Times New Roman" w:cs="Times New Roman" w:eastAsia="Times New Roman" w:hAnsi="Times New Roman"/>
          <w:rtl w:val="0"/>
        </w:rPr>
        <w:t xml:space="preserve">, which tracks daily population movement trends across categories like workplaces and transit stations. Finally, to provide essential context, we will use the </w:t>
      </w:r>
      <w:r w:rsidDel="00000000" w:rsidR="00000000" w:rsidRPr="00000000">
        <w:rPr>
          <w:rFonts w:ascii="Times New Roman" w:cs="Times New Roman" w:eastAsia="Times New Roman" w:hAnsi="Times New Roman"/>
          <w:b w:val="1"/>
          <w:rtl w:val="0"/>
        </w:rPr>
        <w:t xml:space="preserve">Oxford COVID-19 Government Response Tracker (OxCGRT)</w:t>
      </w:r>
      <w:r w:rsidDel="00000000" w:rsidR="00000000" w:rsidRPr="00000000">
        <w:rPr>
          <w:rFonts w:ascii="Times New Roman" w:cs="Times New Roman" w:eastAsia="Times New Roman" w:hAnsi="Times New Roman"/>
          <w:rtl w:val="0"/>
        </w:rPr>
        <w:t xml:space="preserve">, which quantifies policy interventions through metrics like the StringencyIndex. By combining health data (the target), mobility data (the behavior), and policy data (the context), we can build a model that understands the complex dynamics of an outbreak.</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Literature Review</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review of existing literature confirms that the link between human mobility and disease spread is well-established, validating the core hypothesis of this project. Foundational papers have provided data-driven evidence that changes in mobility directly impact COVID-19 transmission rates. More recent research has successfully leveraged this relationship for prediction, with studies demonstrating that deep learning models like LSTMs can effectively forecast future cases using mobility as a key input feature. Our project builds directly on this work by moving beyond the application of a single model to conduct a comprehensive, comparative study. We will implement and evaluate a full suite of technologies—from a Random Forest baseline to state-of-the-art Transformer and Hybrid models—on the same integrated dataset to provide a clear evaluation of which model offers the best performance for this public health task.</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Implementation Plan</w:t>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Technology Stack</w:t>
      </w:r>
    </w:p>
    <w:p w:rsidR="00000000" w:rsidDel="00000000" w:rsidP="00000000" w:rsidRDefault="00000000" w:rsidRPr="00000000" w14:paraId="00000028">
      <w:pPr>
        <w:numPr>
          <w:ilvl w:val="0"/>
          <w:numId w:val="10"/>
        </w:numPr>
        <w:spacing w:after="0" w:before="280" w:line="240" w:lineRule="auto"/>
        <w:ind w:left="720" w:hanging="360"/>
        <w:rPr/>
      </w:pPr>
      <w:r w:rsidDel="00000000" w:rsidR="00000000" w:rsidRPr="00000000">
        <w:rPr>
          <w:rFonts w:ascii="Times New Roman" w:cs="Times New Roman" w:eastAsia="Times New Roman" w:hAnsi="Times New Roman"/>
          <w:b w:val="1"/>
          <w:rtl w:val="0"/>
        </w:rPr>
        <w:t xml:space="preserve">Programming Language:</w:t>
      </w:r>
      <w:r w:rsidDel="00000000" w:rsidR="00000000" w:rsidRPr="00000000">
        <w:rPr>
          <w:rFonts w:ascii="Times New Roman" w:cs="Times New Roman" w:eastAsia="Times New Roman" w:hAnsi="Times New Roman"/>
          <w:rtl w:val="0"/>
        </w:rPr>
        <w:t xml:space="preserve"> Python </w:t>
      </w:r>
    </w:p>
    <w:p w:rsidR="00000000" w:rsidDel="00000000" w:rsidP="00000000" w:rsidRDefault="00000000" w:rsidRPr="00000000" w14:paraId="00000029">
      <w:pPr>
        <w:numPr>
          <w:ilvl w:val="0"/>
          <w:numId w:val="10"/>
        </w:numPr>
        <w:spacing w:after="0" w:before="0" w:line="240" w:lineRule="auto"/>
        <w:ind w:left="720" w:hanging="360"/>
        <w:rPr/>
      </w:pPr>
      <w:r w:rsidDel="00000000" w:rsidR="00000000" w:rsidRPr="00000000">
        <w:rPr>
          <w:rFonts w:ascii="Times New Roman" w:cs="Times New Roman" w:eastAsia="Times New Roman" w:hAnsi="Times New Roman"/>
          <w:b w:val="1"/>
          <w:rtl w:val="0"/>
        </w:rPr>
        <w:t xml:space="preserve">Libraries:</w:t>
      </w:r>
      <w:r w:rsidDel="00000000" w:rsidR="00000000" w:rsidRPr="00000000">
        <w:rPr>
          <w:rFonts w:ascii="Times New Roman" w:cs="Times New Roman" w:eastAsia="Times New Roman" w:hAnsi="Times New Roman"/>
          <w:rtl w:val="0"/>
        </w:rPr>
        <w:t xml:space="preserve"> Pandas (for data loading, cleaning, and merging), Scikit-learn (for Random Forest baseline).</w:t>
      </w:r>
    </w:p>
    <w:p w:rsidR="00000000" w:rsidDel="00000000" w:rsidP="00000000" w:rsidRDefault="00000000" w:rsidRPr="00000000" w14:paraId="0000002A">
      <w:pPr>
        <w:numPr>
          <w:ilvl w:val="0"/>
          <w:numId w:val="10"/>
        </w:numPr>
        <w:spacing w:after="280" w:before="0" w:line="240" w:lineRule="auto"/>
        <w:ind w:left="720" w:hanging="360"/>
        <w:rPr/>
      </w:pPr>
      <w:r w:rsidDel="00000000" w:rsidR="00000000" w:rsidRPr="00000000">
        <w:rPr>
          <w:rFonts w:ascii="Times New Roman" w:cs="Times New Roman" w:eastAsia="Times New Roman" w:hAnsi="Times New Roman"/>
          <w:b w:val="1"/>
          <w:rtl w:val="0"/>
        </w:rPr>
        <w:t xml:space="preserve">Frameworks:</w:t>
      </w:r>
      <w:r w:rsidDel="00000000" w:rsidR="00000000" w:rsidRPr="00000000">
        <w:rPr>
          <w:rFonts w:ascii="Times New Roman" w:cs="Times New Roman" w:eastAsia="Times New Roman" w:hAnsi="Times New Roman"/>
          <w:rtl w:val="0"/>
        </w:rPr>
        <w:t xml:space="preserve"> TensorFlow or PyTorch will be used to build, train, and evaluate the GRU, LSTM, TCN, Transformer, and Hybrid deep learning models.</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Timeline and Task Distribution</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Timeline (Gantt Chart)</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447040</wp:posOffset>
            </wp:positionH>
            <wp:positionV relativeFrom="paragraph">
              <wp:posOffset>81915</wp:posOffset>
            </wp:positionV>
            <wp:extent cx="6024880" cy="157480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24880" cy="1574800"/>
                    </a:xfrm>
                    <a:prstGeom prst="rect"/>
                    <a:ln/>
                  </pic:spPr>
                </pic:pic>
              </a:graphicData>
            </a:graphic>
          </wp:anchor>
        </w:draw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Distribution Matrix</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40005</wp:posOffset>
            </wp:positionV>
            <wp:extent cx="5222240" cy="136652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22240" cy="1366520"/>
                    </a:xfrm>
                    <a:prstGeom prst="rect"/>
                    <a:ln/>
                  </pic:spPr>
                </pic:pic>
              </a:graphicData>
            </a:graphic>
          </wp:anchor>
        </w:drawing>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Legend:</w:t>
      </w:r>
      <w:r w:rsidDel="00000000" w:rsidR="00000000" w:rsidRPr="00000000">
        <w:rPr>
          <w:rtl w:val="0"/>
        </w:rPr>
      </w:r>
    </w:p>
    <w:p w:rsidR="00000000" w:rsidDel="00000000" w:rsidP="00000000" w:rsidRDefault="00000000" w:rsidRPr="00000000" w14:paraId="0000003A">
      <w:pPr>
        <w:numPr>
          <w:ilvl w:val="0"/>
          <w:numId w:val="3"/>
        </w:numPr>
        <w:ind w:left="720" w:hanging="360"/>
        <w:rPr/>
      </w:pPr>
      <w:r w:rsidDel="00000000" w:rsidR="00000000" w:rsidRPr="00000000">
        <w:rPr>
          <w:rFonts w:ascii="Times New Roman" w:cs="Times New Roman" w:eastAsia="Times New Roman" w:hAnsi="Times New Roman"/>
          <w:b w:val="1"/>
          <w:rtl w:val="0"/>
        </w:rPr>
        <w:t xml:space="preserve">Lead</w:t>
      </w:r>
      <w:r w:rsidDel="00000000" w:rsidR="00000000" w:rsidRPr="00000000">
        <w:rPr>
          <w:rFonts w:ascii="Times New Roman" w:cs="Times New Roman" w:eastAsia="Times New Roman" w:hAnsi="Times New Roman"/>
          <w:rtl w:val="0"/>
        </w:rPr>
        <w:t xml:space="preserve">: Has primary responsibility for completing the task.</w:t>
      </w:r>
    </w:p>
    <w:p w:rsidR="00000000" w:rsidDel="00000000" w:rsidP="00000000" w:rsidRDefault="00000000" w:rsidRPr="00000000" w14:paraId="0000003B">
      <w:pPr>
        <w:numPr>
          <w:ilvl w:val="0"/>
          <w:numId w:val="3"/>
        </w:numPr>
        <w:ind w:left="720" w:hanging="360"/>
        <w:rPr/>
      </w:pPr>
      <w:r w:rsidDel="00000000" w:rsidR="00000000" w:rsidRPr="00000000">
        <w:rPr>
          <w:rFonts w:ascii="Times New Roman" w:cs="Times New Roman" w:eastAsia="Times New Roman" w:hAnsi="Times New Roman"/>
          <w:b w:val="1"/>
          <w:rtl w:val="0"/>
        </w:rPr>
        <w:t xml:space="preserve">Support</w:t>
      </w:r>
      <w:r w:rsidDel="00000000" w:rsidR="00000000" w:rsidRPr="00000000">
        <w:rPr>
          <w:rFonts w:ascii="Times New Roman" w:cs="Times New Roman" w:eastAsia="Times New Roman" w:hAnsi="Times New Roman"/>
          <w:rtl w:val="0"/>
        </w:rPr>
        <w:t xml:space="preserve">: Actively assists the lead and contributes to the task.</w:t>
      </w:r>
    </w:p>
    <w:p w:rsidR="00000000" w:rsidDel="00000000" w:rsidP="00000000" w:rsidRDefault="00000000" w:rsidRPr="00000000" w14:paraId="0000003C">
      <w:pPr>
        <w:numPr>
          <w:ilvl w:val="0"/>
          <w:numId w:val="3"/>
        </w:numPr>
        <w:ind w:left="720" w:hanging="360"/>
        <w:rPr/>
      </w:pPr>
      <w:r w:rsidDel="00000000" w:rsidR="00000000" w:rsidRPr="00000000">
        <w:rPr>
          <w:rFonts w:ascii="Arial Unicode MS" w:cs="Arial Unicode MS" w:eastAsia="Arial Unicode MS" w:hAnsi="Arial Unicode MS"/>
          <w:b w:val="1"/>
          <w:rtl w:val="0"/>
        </w:rPr>
        <w:t xml:space="preserve">✓</w:t>
      </w:r>
      <w:r w:rsidDel="00000000" w:rsidR="00000000" w:rsidRPr="00000000">
        <w:rPr>
          <w:rFonts w:ascii="Times New Roman" w:cs="Times New Roman" w:eastAsia="Times New Roman" w:hAnsi="Times New Roman"/>
          <w:rtl w:val="0"/>
        </w:rPr>
        <w:t xml:space="preserve">: All members have equal responsibility</w:t>
      </w:r>
    </w:p>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Milestones</w:t>
      </w:r>
    </w:p>
    <w:p w:rsidR="00000000" w:rsidDel="00000000" w:rsidP="00000000" w:rsidRDefault="00000000" w:rsidRPr="00000000" w14:paraId="0000003E">
      <w:pPr>
        <w:numPr>
          <w:ilvl w:val="0"/>
          <w:numId w:val="4"/>
        </w:numPr>
        <w:ind w:left="720" w:hanging="360"/>
        <w:rPr/>
      </w:pPr>
      <w:r w:rsidDel="00000000" w:rsidR="00000000" w:rsidRPr="00000000">
        <w:rPr>
          <w:rFonts w:ascii="Times New Roman" w:cs="Times New Roman" w:eastAsia="Times New Roman" w:hAnsi="Times New Roman"/>
          <w:b w:val="1"/>
          <w:rtl w:val="0"/>
        </w:rPr>
        <w:t xml:space="preserve">Week 2:</w:t>
      </w:r>
      <w:r w:rsidDel="00000000" w:rsidR="00000000" w:rsidRPr="00000000">
        <w:rPr>
          <w:rFonts w:ascii="Times New Roman" w:cs="Times New Roman" w:eastAsia="Times New Roman" w:hAnsi="Times New Roman"/>
          <w:rtl w:val="0"/>
        </w:rPr>
        <w:t xml:space="preserve"> A final, cleaned, and merged dataset is created and ready for modeling.</w:t>
      </w:r>
    </w:p>
    <w:p w:rsidR="00000000" w:rsidDel="00000000" w:rsidP="00000000" w:rsidRDefault="00000000" w:rsidRPr="00000000" w14:paraId="0000003F">
      <w:pPr>
        <w:numPr>
          <w:ilvl w:val="0"/>
          <w:numId w:val="4"/>
        </w:numPr>
        <w:ind w:left="720" w:hanging="360"/>
        <w:rPr/>
      </w:pPr>
      <w:r w:rsidDel="00000000" w:rsidR="00000000" w:rsidRPr="00000000">
        <w:rPr>
          <w:rFonts w:ascii="Times New Roman" w:cs="Times New Roman" w:eastAsia="Times New Roman" w:hAnsi="Times New Roman"/>
          <w:b w:val="1"/>
          <w:rtl w:val="0"/>
        </w:rPr>
        <w:t xml:space="preserve">Week 4:</w:t>
      </w:r>
      <w:r w:rsidDel="00000000" w:rsidR="00000000" w:rsidRPr="00000000">
        <w:rPr>
          <w:rFonts w:ascii="Times New Roman" w:cs="Times New Roman" w:eastAsia="Times New Roman" w:hAnsi="Times New Roman"/>
          <w:rtl w:val="0"/>
        </w:rPr>
        <w:t xml:space="preserve"> The Random Forest baseline model is successfully trained and evaluated, establishing a performance benchmark.</w:t>
      </w:r>
    </w:p>
    <w:p w:rsidR="00000000" w:rsidDel="00000000" w:rsidP="00000000" w:rsidRDefault="00000000" w:rsidRPr="00000000" w14:paraId="00000040">
      <w:pPr>
        <w:numPr>
          <w:ilvl w:val="0"/>
          <w:numId w:val="4"/>
        </w:numPr>
        <w:ind w:left="720" w:hanging="360"/>
        <w:rPr/>
      </w:pPr>
      <w:r w:rsidDel="00000000" w:rsidR="00000000" w:rsidRPr="00000000">
        <w:rPr>
          <w:rFonts w:ascii="Times New Roman" w:cs="Times New Roman" w:eastAsia="Times New Roman" w:hAnsi="Times New Roman"/>
          <w:b w:val="1"/>
          <w:rtl w:val="0"/>
        </w:rPr>
        <w:t xml:space="preserve">Week 6:</w:t>
      </w:r>
      <w:r w:rsidDel="00000000" w:rsidR="00000000" w:rsidRPr="00000000">
        <w:rPr>
          <w:rFonts w:ascii="Times New Roman" w:cs="Times New Roman" w:eastAsia="Times New Roman" w:hAnsi="Times New Roman"/>
          <w:rtl w:val="0"/>
        </w:rPr>
        <w:t xml:space="preserve"> LSTM and GRU models are implemented, and their initial performance metrics are recorded.</w:t>
      </w:r>
    </w:p>
    <w:p w:rsidR="00000000" w:rsidDel="00000000" w:rsidP="00000000" w:rsidRDefault="00000000" w:rsidRPr="00000000" w14:paraId="00000041">
      <w:pPr>
        <w:numPr>
          <w:ilvl w:val="0"/>
          <w:numId w:val="4"/>
        </w:numPr>
        <w:ind w:left="720" w:hanging="360"/>
        <w:rPr/>
      </w:pPr>
      <w:r w:rsidDel="00000000" w:rsidR="00000000" w:rsidRPr="00000000">
        <w:rPr>
          <w:rFonts w:ascii="Times New Roman" w:cs="Times New Roman" w:eastAsia="Times New Roman" w:hAnsi="Times New Roman"/>
          <w:b w:val="1"/>
          <w:rtl w:val="0"/>
        </w:rPr>
        <w:t xml:space="preserve">Week 8:</w:t>
      </w:r>
      <w:r w:rsidDel="00000000" w:rsidR="00000000" w:rsidRPr="00000000">
        <w:rPr>
          <w:rFonts w:ascii="Times New Roman" w:cs="Times New Roman" w:eastAsia="Times New Roman" w:hAnsi="Times New Roman"/>
          <w:rtl w:val="0"/>
        </w:rPr>
        <w:t xml:space="preserve"> TCN, Transformer, and Hybrid models are implemented, trained, and evaluated.</w:t>
      </w:r>
    </w:p>
    <w:p w:rsidR="00000000" w:rsidDel="00000000" w:rsidP="00000000" w:rsidRDefault="00000000" w:rsidRPr="00000000" w14:paraId="00000042">
      <w:pPr>
        <w:numPr>
          <w:ilvl w:val="0"/>
          <w:numId w:val="4"/>
        </w:numPr>
        <w:ind w:left="720" w:hanging="360"/>
        <w:rPr/>
      </w:pPr>
      <w:r w:rsidDel="00000000" w:rsidR="00000000" w:rsidRPr="00000000">
        <w:rPr>
          <w:rFonts w:ascii="Times New Roman" w:cs="Times New Roman" w:eastAsia="Times New Roman" w:hAnsi="Times New Roman"/>
          <w:b w:val="1"/>
          <w:rtl w:val="0"/>
        </w:rPr>
        <w:t xml:space="preserve">Week 10:</w:t>
      </w:r>
      <w:r w:rsidDel="00000000" w:rsidR="00000000" w:rsidRPr="00000000">
        <w:rPr>
          <w:rFonts w:ascii="Times New Roman" w:cs="Times New Roman" w:eastAsia="Times New Roman" w:hAnsi="Times New Roman"/>
          <w:rtl w:val="0"/>
        </w:rPr>
        <w:t xml:space="preserve"> The comparative analysis is complete, the best-performing model is identified, and the final project report is drafted.</w:t>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Challenges and Mitigations</w:t>
      </w:r>
    </w:p>
    <w:p w:rsidR="00000000" w:rsidDel="00000000" w:rsidP="00000000" w:rsidRDefault="00000000" w:rsidRPr="00000000" w14:paraId="00000044">
      <w:pPr>
        <w:numPr>
          <w:ilvl w:val="0"/>
          <w:numId w:val="5"/>
        </w:numPr>
        <w:ind w:left="720" w:hanging="360"/>
        <w:rPr/>
      </w:pPr>
      <w:r w:rsidDel="00000000" w:rsidR="00000000" w:rsidRPr="00000000">
        <w:rPr>
          <w:rFonts w:ascii="Times New Roman" w:cs="Times New Roman" w:eastAsia="Times New Roman" w:hAnsi="Times New Roman"/>
          <w:b w:val="1"/>
          <w:rtl w:val="0"/>
        </w:rPr>
        <w:t xml:space="preserve">Challenge: Data Quality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numPr>
          <w:ilvl w:val="1"/>
          <w:numId w:val="5"/>
        </w:numPr>
        <w:ind w:left="1440" w:hanging="360"/>
        <w:rPr/>
      </w:pPr>
      <w:r w:rsidDel="00000000" w:rsidR="00000000" w:rsidRPr="00000000">
        <w:rPr>
          <w:rFonts w:ascii="Times New Roman" w:cs="Times New Roman" w:eastAsia="Times New Roman" w:hAnsi="Times New Roman"/>
          <w:rtl w:val="0"/>
        </w:rPr>
        <w:t xml:space="preserve">Potential issues include missing data points or misalignments between the three datasets.</w:t>
      </w:r>
    </w:p>
    <w:p w:rsidR="00000000" w:rsidDel="00000000" w:rsidP="00000000" w:rsidRDefault="00000000" w:rsidRPr="00000000" w14:paraId="00000046">
      <w:pPr>
        <w:numPr>
          <w:ilvl w:val="1"/>
          <w:numId w:val="5"/>
        </w:numPr>
        <w:ind w:left="1440" w:hanging="360"/>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We will use the Pandas library for systematic data cleaning and interpolation for missing time-series values. A thorough exploratory data analysis (EDA) will be conducted to identify and address inconsistencies before modeling.</w:t>
      </w:r>
    </w:p>
    <w:p w:rsidR="00000000" w:rsidDel="00000000" w:rsidP="00000000" w:rsidRDefault="00000000" w:rsidRPr="00000000" w14:paraId="00000047">
      <w:pPr>
        <w:numPr>
          <w:ilvl w:val="0"/>
          <w:numId w:val="5"/>
        </w:numPr>
        <w:ind w:left="720" w:hanging="360"/>
        <w:rPr/>
      </w:pPr>
      <w:r w:rsidDel="00000000" w:rsidR="00000000" w:rsidRPr="00000000">
        <w:rPr>
          <w:rFonts w:ascii="Times New Roman" w:cs="Times New Roman" w:eastAsia="Times New Roman" w:hAnsi="Times New Roman"/>
          <w:b w:val="1"/>
          <w:rtl w:val="0"/>
        </w:rPr>
        <w:t xml:space="preserve">Challenge: Model Performance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numPr>
          <w:ilvl w:val="1"/>
          <w:numId w:val="5"/>
        </w:numPr>
        <w:ind w:left="1440" w:hanging="360"/>
        <w:rPr/>
      </w:pPr>
      <w:r w:rsidDel="00000000" w:rsidR="00000000" w:rsidRPr="00000000">
        <w:rPr>
          <w:rFonts w:ascii="Times New Roman" w:cs="Times New Roman" w:eastAsia="Times New Roman" w:hAnsi="Times New Roman"/>
          <w:rtl w:val="0"/>
        </w:rPr>
        <w:t xml:space="preserve">Advanced models like the Transformer can be prone to overfitting on smaller datasets.</w:t>
      </w:r>
    </w:p>
    <w:p w:rsidR="00000000" w:rsidDel="00000000" w:rsidP="00000000" w:rsidRDefault="00000000" w:rsidRPr="00000000" w14:paraId="00000049">
      <w:pPr>
        <w:numPr>
          <w:ilvl w:val="1"/>
          <w:numId w:val="5"/>
        </w:numPr>
        <w:ind w:left="1440" w:hanging="360"/>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We will implement regularization techniques such as dropout and early stopping during training. We will start with smaller model architectures and use careful hyperparameter tuning to find the optimal balance between complexity and generalization.</w:t>
      </w:r>
    </w:p>
    <w:p w:rsidR="00000000" w:rsidDel="00000000" w:rsidP="00000000" w:rsidRDefault="00000000" w:rsidRPr="00000000" w14:paraId="0000004A">
      <w:pPr>
        <w:numPr>
          <w:ilvl w:val="0"/>
          <w:numId w:val="5"/>
        </w:numPr>
        <w:ind w:left="720" w:hanging="360"/>
        <w:rPr/>
      </w:pPr>
      <w:r w:rsidDel="00000000" w:rsidR="00000000" w:rsidRPr="00000000">
        <w:rPr>
          <w:rFonts w:ascii="Times New Roman" w:cs="Times New Roman" w:eastAsia="Times New Roman" w:hAnsi="Times New Roman"/>
          <w:b w:val="1"/>
          <w:rtl w:val="0"/>
        </w:rPr>
        <w:t xml:space="preserve">Challenge: Technical Constraints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numPr>
          <w:ilvl w:val="1"/>
          <w:numId w:val="5"/>
        </w:numPr>
        <w:ind w:left="1440" w:hanging="360"/>
        <w:rPr/>
      </w:pPr>
      <w:r w:rsidDel="00000000" w:rsidR="00000000" w:rsidRPr="00000000">
        <w:rPr>
          <w:rFonts w:ascii="Times New Roman" w:cs="Times New Roman" w:eastAsia="Times New Roman" w:hAnsi="Times New Roman"/>
          <w:rtl w:val="0"/>
        </w:rPr>
        <w:t xml:space="preserve">Training multiple deep learning models is computationally expensive and can be time-consuming.</w:t>
      </w:r>
    </w:p>
    <w:p w:rsidR="00000000" w:rsidDel="00000000" w:rsidP="00000000" w:rsidRDefault="00000000" w:rsidRPr="00000000" w14:paraId="0000004C">
      <w:pPr>
        <w:numPr>
          <w:ilvl w:val="1"/>
          <w:numId w:val="5"/>
        </w:numPr>
        <w:ind w:left="1440" w:hanging="360"/>
        <w:rPr/>
      </w:pPr>
      <w:r w:rsidDel="00000000" w:rsidR="00000000" w:rsidRPr="00000000">
        <w:rPr>
          <w:rFonts w:ascii="Times New Roman" w:cs="Times New Roman" w:eastAsia="Times New Roman" w:hAnsi="Times New Roman"/>
          <w:b w:val="1"/>
          <w:rtl w:val="0"/>
        </w:rPr>
        <w:t xml:space="preserve">Mitigation:</w:t>
      </w:r>
      <w:r w:rsidDel="00000000" w:rsidR="00000000" w:rsidRPr="00000000">
        <w:rPr>
          <w:rFonts w:ascii="Times New Roman" w:cs="Times New Roman" w:eastAsia="Times New Roman" w:hAnsi="Times New Roman"/>
          <w:rtl w:val="0"/>
        </w:rPr>
        <w:t xml:space="preserve"> We will leverage cloud-based platforms like Google Colab for access to free GPU resources, which can significantly speed up training. Model development and testing will be done on smaller data subsets to allow for faster iteration.</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Ethical Considerations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designed with key ethical principles in mind.</w:t>
      </w:r>
    </w:p>
    <w:p w:rsidR="00000000" w:rsidDel="00000000" w:rsidP="00000000" w:rsidRDefault="00000000" w:rsidRPr="00000000" w14:paraId="0000004F">
      <w:pPr>
        <w:numPr>
          <w:ilvl w:val="0"/>
          <w:numId w:val="6"/>
        </w:numPr>
        <w:ind w:left="720" w:hanging="360"/>
        <w:rPr/>
      </w:pPr>
      <w:r w:rsidDel="00000000" w:rsidR="00000000" w:rsidRPr="00000000">
        <w:rPr>
          <w:rFonts w:ascii="Times New Roman" w:cs="Times New Roman" w:eastAsia="Times New Roman" w:hAnsi="Times New Roman"/>
          <w:b w:val="1"/>
          <w:rtl w:val="0"/>
        </w:rPr>
        <w:t xml:space="preserve">Data Privacy:</w:t>
      </w:r>
      <w:r w:rsidDel="00000000" w:rsidR="00000000" w:rsidRPr="00000000">
        <w:rPr>
          <w:rFonts w:ascii="Times New Roman" w:cs="Times New Roman" w:eastAsia="Times New Roman" w:hAnsi="Times New Roman"/>
          <w:rtl w:val="0"/>
        </w:rPr>
        <w:t xml:space="preserve"> All datasets used are public and aggregated. The Google Mobility data is anonymized, and the OWID and OxCGRT datasets contain no personally identifiable information, ensuring individual privacy is protected.</w:t>
      </w:r>
    </w:p>
    <w:p w:rsidR="00000000" w:rsidDel="00000000" w:rsidP="00000000" w:rsidRDefault="00000000" w:rsidRPr="00000000" w14:paraId="00000050">
      <w:pPr>
        <w:numPr>
          <w:ilvl w:val="0"/>
          <w:numId w:val="6"/>
        </w:numPr>
        <w:ind w:left="720" w:hanging="360"/>
        <w:rPr/>
      </w:pPr>
      <w:r w:rsidDel="00000000" w:rsidR="00000000" w:rsidRPr="00000000">
        <w:rPr>
          <w:rFonts w:ascii="Times New Roman" w:cs="Times New Roman" w:eastAsia="Times New Roman" w:hAnsi="Times New Roman"/>
          <w:b w:val="1"/>
          <w:rtl w:val="0"/>
        </w:rPr>
        <w:t xml:space="preserve">Bias:</w:t>
      </w:r>
      <w:r w:rsidDel="00000000" w:rsidR="00000000" w:rsidRPr="00000000">
        <w:rPr>
          <w:rFonts w:ascii="Times New Roman" w:cs="Times New Roman" w:eastAsia="Times New Roman" w:hAnsi="Times New Roman"/>
          <w:rtl w:val="0"/>
        </w:rPr>
        <w:t xml:space="preserve"> We acknowledge that mobility data may underrepresent certain demographics (e.g., populations without smartphones). This is a limitation, and the model's predictions will be framed with this potential bias in mind.</w:t>
      </w:r>
    </w:p>
    <w:p w:rsidR="00000000" w:rsidDel="00000000" w:rsidP="00000000" w:rsidRDefault="00000000" w:rsidRPr="00000000" w14:paraId="00000051">
      <w:pPr>
        <w:numPr>
          <w:ilvl w:val="0"/>
          <w:numId w:val="6"/>
        </w:numPr>
        <w:ind w:left="720" w:hanging="360"/>
        <w:rPr/>
      </w:pPr>
      <w:r w:rsidDel="00000000" w:rsidR="00000000" w:rsidRPr="00000000">
        <w:rPr>
          <w:rFonts w:ascii="Times New Roman" w:cs="Times New Roman" w:eastAsia="Times New Roman" w:hAnsi="Times New Roman"/>
          <w:b w:val="1"/>
          <w:rtl w:val="0"/>
        </w:rPr>
        <w:t xml:space="preserve">Impact:</w:t>
      </w:r>
      <w:r w:rsidDel="00000000" w:rsidR="00000000" w:rsidRPr="00000000">
        <w:rPr>
          <w:rFonts w:ascii="Times New Roman" w:cs="Times New Roman" w:eastAsia="Times New Roman" w:hAnsi="Times New Roman"/>
          <w:rtl w:val="0"/>
        </w:rPr>
        <w:t xml:space="preserve"> The output of our model is intended as a decision-support tool for public health experts, not as a definitive public forecast. We recognize that an inaccurate forecast could have negative societal consequences, and therefore the model's limitations and confidence intervals will be clearly communicated.</w:t>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References</w:t>
      </w:r>
    </w:p>
    <w:p w:rsidR="00000000" w:rsidDel="00000000" w:rsidP="00000000" w:rsidRDefault="00000000" w:rsidRPr="00000000" w14:paraId="00000053">
      <w:pPr>
        <w:numPr>
          <w:ilvl w:val="0"/>
          <w:numId w:val="7"/>
        </w:numPr>
        <w:ind w:left="720" w:hanging="360"/>
        <w:rPr/>
      </w:pPr>
      <w:r w:rsidDel="00000000" w:rsidR="00000000" w:rsidRPr="00000000">
        <w:rPr>
          <w:rFonts w:ascii="Times New Roman" w:cs="Times New Roman" w:eastAsia="Times New Roman" w:hAnsi="Times New Roman"/>
          <w:rtl w:val="0"/>
        </w:rPr>
        <w:t xml:space="preserve">Ayyoubzadeh, S. M., et al. (2020). Predicting COVID-19 incidence through Google Trends and mobility data. </w:t>
      </w:r>
      <w:r w:rsidDel="00000000" w:rsidR="00000000" w:rsidRPr="00000000">
        <w:rPr>
          <w:rFonts w:ascii="Times New Roman" w:cs="Times New Roman" w:eastAsia="Times New Roman" w:hAnsi="Times New Roman"/>
          <w:i w:val="1"/>
          <w:rtl w:val="0"/>
        </w:rPr>
        <w:t xml:space="preserve">Health Information Science and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numPr>
          <w:ilvl w:val="0"/>
          <w:numId w:val="7"/>
        </w:numPr>
        <w:ind w:left="720" w:hanging="360"/>
        <w:rPr/>
      </w:pPr>
      <w:r w:rsidDel="00000000" w:rsidR="00000000" w:rsidRPr="00000000">
        <w:rPr>
          <w:rFonts w:ascii="Times New Roman" w:cs="Times New Roman" w:eastAsia="Times New Roman" w:hAnsi="Times New Roman"/>
          <w:rtl w:val="0"/>
        </w:rPr>
        <w:t xml:space="preserve">Bai, S., et al. (2018). An Empirical Evaluation of Generic Convolutional and Recurrent Networks for Sequence Modeling. </w:t>
      </w:r>
      <w:r w:rsidDel="00000000" w:rsidR="00000000" w:rsidRPr="00000000">
        <w:rPr>
          <w:rFonts w:ascii="Times New Roman" w:cs="Times New Roman" w:eastAsia="Times New Roman" w:hAnsi="Times New Roman"/>
          <w:i w:val="1"/>
          <w:rtl w:val="0"/>
        </w:rPr>
        <w:t xml:space="preserve">arXiv:1803.01271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numPr>
          <w:ilvl w:val="0"/>
          <w:numId w:val="7"/>
        </w:numPr>
        <w:ind w:left="720" w:hanging="360"/>
        <w:rPr/>
      </w:pPr>
      <w:r w:rsidDel="00000000" w:rsidR="00000000" w:rsidRPr="00000000">
        <w:rPr>
          <w:rFonts w:ascii="Times New Roman" w:cs="Times New Roman" w:eastAsia="Times New Roman" w:hAnsi="Times New Roman"/>
          <w:rtl w:val="0"/>
        </w:rPr>
        <w:t xml:space="preserve">Chollet, F. (2017). </w:t>
      </w:r>
      <w:r w:rsidDel="00000000" w:rsidR="00000000" w:rsidRPr="00000000">
        <w:rPr>
          <w:rFonts w:ascii="Times New Roman" w:cs="Times New Roman" w:eastAsia="Times New Roman" w:hAnsi="Times New Roman"/>
          <w:i w:val="1"/>
          <w:rtl w:val="0"/>
        </w:rPr>
        <w:t xml:space="preserve">Deep Learning with Python</w:t>
      </w:r>
      <w:r w:rsidDel="00000000" w:rsidR="00000000" w:rsidRPr="00000000">
        <w:rPr>
          <w:rFonts w:ascii="Times New Roman" w:cs="Times New Roman" w:eastAsia="Times New Roman" w:hAnsi="Times New Roman"/>
          <w:rtl w:val="0"/>
        </w:rPr>
        <w:t xml:space="preserve">. Manning Publications.</w:t>
      </w:r>
    </w:p>
    <w:p w:rsidR="00000000" w:rsidDel="00000000" w:rsidP="00000000" w:rsidRDefault="00000000" w:rsidRPr="00000000" w14:paraId="00000056">
      <w:pPr>
        <w:numPr>
          <w:ilvl w:val="0"/>
          <w:numId w:val="7"/>
        </w:numPr>
        <w:ind w:left="720" w:hanging="360"/>
        <w:rPr/>
      </w:pPr>
      <w:r w:rsidDel="00000000" w:rsidR="00000000" w:rsidRPr="00000000">
        <w:rPr>
          <w:rFonts w:ascii="Times New Roman" w:cs="Times New Roman" w:eastAsia="Times New Roman" w:hAnsi="Times New Roman"/>
          <w:rtl w:val="0"/>
        </w:rPr>
        <w:t xml:space="preserve">Jiao, S., et al. (2025). Spatio-temporal epidemic forecasting using mobility data and deep learning. </w:t>
      </w:r>
      <w:r w:rsidDel="00000000" w:rsidR="00000000" w:rsidRPr="00000000">
        <w:rPr>
          <w:rFonts w:ascii="Times New Roman" w:cs="Times New Roman" w:eastAsia="Times New Roman" w:hAnsi="Times New Roman"/>
          <w:i w:val="1"/>
          <w:rtl w:val="0"/>
        </w:rPr>
        <w:t xml:space="preserve">Scientific Reports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Vaswani, A., et al. (2017). Attention Is All You Need.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