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left"/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</w:rPr>
        <w:t>2.3 Information Disclosure</w:t>
      </w:r>
    </w:p>
    <w:p>
      <w:pPr>
        <w:pStyle w:val="TextBody"/>
        <w:widowControl/>
        <w:bidi w:val="0"/>
        <w:ind w:left="0" w:right="0" w:hanging="0"/>
        <w:jc w:val="left"/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Information disclosure plays a pivotal role in mitigating information asymmetry between organizations and their stakeholders. In the context of open-source software (OSS) and decentralized communities like Bitcoin, disclosure serves not only as a mechanism for accountability but also as a strategic tool for governance and signaling.</w:t>
      </w:r>
    </w:p>
    <w:p>
      <w:pPr>
        <w:pStyle w:val="Heading4"/>
        <w:widowControl/>
        <w:bidi w:val="0"/>
        <w:spacing w:lineRule="auto" w:line="336"/>
        <w:ind w:left="0" w:right="0" w:hanging="0"/>
        <w:jc w:val="left"/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</w:rPr>
        <w:t>2.3.1 Voluntary Disclosure and Reducing Asymmetry</w:t>
      </w:r>
    </w:p>
    <w:p>
      <w:pPr>
        <w:pStyle w:val="TextBody"/>
        <w:widowControl/>
        <w:bidi w:val="0"/>
        <w:ind w:left="0" w:right="0" w:hanging="0"/>
        <w:jc w:val="left"/>
        <w:rPr/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The foundational literature on voluntary disclosure, rooted in accounting and finance, posits that managers disclose information voluntarily to reduce information asymmetry and the cost of capital. 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Healy and Palepu (2001)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provide a comprehensive review, arguing that voluntary disclosure allows high-quality firms to distinguish themselves from "lemons" in the market. In the absence of mandatory regulations, the decision to disclose is a strategic choice influenced by the trade-off between the benefits of transparency (e.g., increased trust, lower financing costs) and the proprietary costs of revealing sensitive information (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Verrecchia, 1983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).</w:t>
      </w:r>
    </w:p>
    <w:p>
      <w:pPr>
        <w:pStyle w:val="TextBody"/>
        <w:widowControl/>
        <w:bidi w:val="0"/>
        <w:ind w:left="0" w:right="0" w:hanging="0"/>
        <w:jc w:val="left"/>
        <w:rPr/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In the non-profit and charitable sector, which closely resembles the operational model of Bitcoin funding organizations like Brink, disclosure is critical for building donor trust. 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Saxton and Guo (2011)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demonstrate that web-based accountability and the voluntary disclosure of financial information significantly increase charitable contributions. For open-source foundations, disclosing how funds are allocated serves a similar purpose: it assures the community that resources are being used effectively to support the ecosystem’s longevity.</w:t>
      </w:r>
    </w:p>
    <w:p>
      <w:pPr>
        <w:pStyle w:val="Heading4"/>
        <w:widowControl/>
        <w:bidi w:val="0"/>
        <w:spacing w:lineRule="auto" w:line="336"/>
        <w:ind w:left="0" w:right="0" w:hanging="0"/>
        <w:jc w:val="left"/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</w:rPr>
        <w:t>2.3.2 Signaling Theory in Decentralized Environments</w:t>
      </w:r>
    </w:p>
    <w:p>
      <w:pPr>
        <w:pStyle w:val="TextBody"/>
        <w:widowControl/>
        <w:bidi w:val="0"/>
        <w:ind w:left="0" w:right="0" w:hanging="0"/>
        <w:jc w:val="left"/>
        <w:rPr/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Signaling theory (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Spence, 1973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) offers a theoretical lens to understand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why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organizations disclose specific information. When information asymmetry exists, high-quality agents (organizations) use costly signals—such as detailed disclosure reports—to convey their unobservable quality to principals (investors or developers). 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Connelly et al. (2011)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emphasize that for a signal to be effective, it must be observable and costly to imitate.</w:t>
      </w:r>
    </w:p>
    <w:p>
      <w:pPr>
        <w:pStyle w:val="TextBody"/>
        <w:widowControl/>
        <w:bidi w:val="0"/>
        <w:ind w:left="0" w:right="0" w:hanging="0"/>
        <w:jc w:val="left"/>
        <w:rPr/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In the context of OSS, disclosure acts as a governance signal. Since OSS communities lack traditional hierarchical management, project leaders and foundations use information dissemination to guide developer behavior without issuing direct commands (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O'Mahony &amp; Ferraro, 2007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). By disclosing donation activities, an organization signals its financial health and its commitment to the project's values. Furthermore, the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granularity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of the disclosure—whether it reveals specific recipients (targeted) or general funding pools (untargeted)—may send different signals regarding fairness and the criteria for rewards, potentially influencing the "perceived organizational support" among developers (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Eisenberger et al., 1986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).</w:t>
      </w:r>
    </w:p>
    <w:p>
      <w:pPr>
        <w:pStyle w:val="Heading4"/>
        <w:widowControl/>
        <w:bidi w:val="0"/>
        <w:spacing w:lineRule="auto" w:line="336"/>
        <w:ind w:left="0" w:right="0" w:hanging="0"/>
        <w:jc w:val="left"/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</w:rPr>
        <w:t>2.3.3 Transparency as Community Governance</w:t>
      </w:r>
    </w:p>
    <w:p>
      <w:pPr>
        <w:pStyle w:val="TextBody"/>
        <w:widowControl/>
        <w:bidi w:val="0"/>
        <w:ind w:left="0" w:right="0" w:hanging="0"/>
        <w:jc w:val="left"/>
        <w:rPr/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Transparency is often cited as a core ethos of the open-source movement. 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Granados et al. (2010)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distinguish between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transparent strategy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(revealing intentions) and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transparent operations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(revealing actions). In OSS, operational transparency—such as publicizing code commits and financial grants—facilitates peer monitoring and fosters a sense of community ownership.</w:t>
      </w:r>
    </w:p>
    <w:p>
      <w:pPr>
        <w:pStyle w:val="TextBody"/>
        <w:widowControl/>
        <w:bidi w:val="0"/>
        <w:ind w:left="0" w:right="0" w:hanging="0"/>
        <w:jc w:val="left"/>
        <w:rPr/>
      </w:pP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However, the literature also suggests that transparency is a double-edged sword. While it builds trust, excessive or specific transparency (e.g., disclosing individual rewards) can trigger social comparison and equity concerns among peers. </w:t>
      </w: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Bernstein (2012)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argues that in some innovation contexts, too much transparency can induce pressure that stifles creativity. This tension is particularly relevant to our research question: while disclosing general donation information (untargeted) may signal community support, disclosing specific grantees (targeted) might trigger "expectancy disconfirmation" or feelings of inequity among non-recipients, a dynamic that remains underexplored in current OSS literature.</w:t>
      </w:r>
    </w:p>
    <w:p>
      <w:pPr>
        <w:pStyle w:val="Heading3"/>
        <w:widowControl/>
        <w:bidi w:val="0"/>
        <w:spacing w:lineRule="auto" w:line="343"/>
        <w:ind w:left="0" w:right="0" w:hanging="0"/>
        <w:jc w:val="left"/>
        <w:rPr/>
      </w:pP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</w:rPr>
        <w:t xml:space="preserve">References for 2.3 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Healy, P. M., &amp; Palepu, K. G. (2001).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Information asymmetry, corporate disclosure, and the capital markets: A review of the empirical disclosure literature.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Journal of Accounting and Economics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, 31(1-3), 405-440. </w:t>
      </w:r>
      <w:hyperlink r:id="rId2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https://doi.org/10.1016/S0165-4101(01)00018-0</w:t>
        </w:r>
      </w:hyperlink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Verrecchia, R. E. (1983).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Discretionary disclosure.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Journal of Accounting and Economics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, 5, 179-194. </w:t>
      </w:r>
      <w:hyperlink r:id="rId3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https://doi.org/10.1016/0165-4101(83)90011-3</w:t>
        </w:r>
      </w:hyperlink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Saxton, G. D., &amp; Guo, C. (2011).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Accountability online: Understanding the web-based accountability practices of nonprofit organizations.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Nonprofit and Voluntary Sector Quarterly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, 40(2), 270-295. </w:t>
      </w:r>
      <w:hyperlink r:id="rId4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https://doi.org/10.1177/0899764009341086</w:t>
        </w:r>
      </w:hyperlink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Spence, M. (1973).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Job market signaling.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The Quarterly Journal of Economics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, 87(3), 355-374. </w:t>
      </w:r>
      <w:hyperlink r:id="rId5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https://doi.org/10.2307/1882010</w:t>
        </w:r>
      </w:hyperlink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Connelly, B. L., Certo, S. T., Ireland, R. D., &amp; Reutzel, C. R. (2011).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Signaling theory: A review and assessment.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Journal of Management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, 37(1), 39-67. </w:t>
      </w:r>
      <w:hyperlink r:id="rId6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https://doi.org/10.1177/0149206310388419</w:t>
        </w:r>
      </w:hyperlink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O'Mahony, S., &amp; Ferraro, F. (2007).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The emergence of governance in an open source community.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Academy of Management Journal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, 50(5), 1079-1106. </w:t>
      </w:r>
      <w:hyperlink r:id="rId7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https://doi.org/10.5465/amj.2007.27169153</w:t>
        </w:r>
      </w:hyperlink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Granados, N., Gupta, A., &amp; Kauffman, R. J. (2010).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Information transparency in business-to-consumer markets: Concepts, framework, and research agenda.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Information Systems Research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, 21(2), 207-226. </w:t>
      </w:r>
      <w:hyperlink r:id="rId8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https://doi.org/10.1287/isre.1090.0249</w:t>
        </w:r>
      </w:hyperlink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Bernstein, E. S. (2012).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The transparency paradox: A role for privacy in organizational learning and operational control.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Administrative Science Quarterly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, 57(2), 181-216. </w:t>
      </w:r>
      <w:hyperlink r:id="rId9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https://www.hbs.edu/faculty/Pages/item.aspx?num=43639</w:t>
        </w:r>
      </w:hyperlink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rong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Le, B. H., Duong, C. H., &amp; Nguyen, G. T. (1986).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 Perceived supervisor support and its impact to job performance: Dataset from the hospitality industry in Vietnam. </w:t>
      </w:r>
      <w:r>
        <w:rPr>
          <w:rStyle w:val="Emphasis"/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Data in Brief</w:t>
      </w:r>
      <w:r>
        <w:rPr>
          <w:rFonts w:ascii="Open Sans;Clear Sans;Helvetica Neue;Helvetica;Arial;sans-serif" w:hAnsi="Open Sans;Clear Sans;Helvetica Neue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, 60, 111649. </w:t>
      </w:r>
      <w:hyperlink r:id="rId10">
        <w:r>
          <w:rPr>
            <w:rStyle w:val="InternetLink"/>
            <w:rFonts w:ascii="Open Sans;Clear Sans;Helvetica Neue;Helvetica;Arial;sans-serif" w:hAnsi="Open Sans;Clear Sans;Helvetica Neue;Helvetica;Arial;sans-serif"/>
            <w:b w:val="false"/>
            <w:i w:val="false"/>
            <w:caps w:val="false"/>
            <w:smallCaps w:val="false"/>
            <w:color w:val="4183C4"/>
            <w:spacing w:val="0"/>
            <w:sz w:val="24"/>
          </w:rPr>
          <w:t>https://doi.org/10.1016/j.dib.2025.111649</w:t>
        </w:r>
      </w:hyperlink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Open Sans">
    <w:altName w:val="Clear San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9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16/S0165-4101(01)00018-0" TargetMode="External"/><Relationship Id="rId3" Type="http://schemas.openxmlformats.org/officeDocument/2006/relationships/hyperlink" Target="https://doi.org/10.1016/0165-4101(83)90011-3" TargetMode="External"/><Relationship Id="rId4" Type="http://schemas.openxmlformats.org/officeDocument/2006/relationships/hyperlink" Target="https://doi.org/10.1177/0899764009341086" TargetMode="External"/><Relationship Id="rId5" Type="http://schemas.openxmlformats.org/officeDocument/2006/relationships/hyperlink" Target="https://doi.org/10.2307/1882010" TargetMode="External"/><Relationship Id="rId6" Type="http://schemas.openxmlformats.org/officeDocument/2006/relationships/hyperlink" Target="https://doi.org/10.1177/0149206310388419" TargetMode="External"/><Relationship Id="rId7" Type="http://schemas.openxmlformats.org/officeDocument/2006/relationships/hyperlink" Target="https://doi.org/10.5465/amj.2007.27169153" TargetMode="External"/><Relationship Id="rId8" Type="http://schemas.openxmlformats.org/officeDocument/2006/relationships/hyperlink" Target="https://doi.org/10.1287/isre.1090.0249" TargetMode="External"/><Relationship Id="rId9" Type="http://schemas.openxmlformats.org/officeDocument/2006/relationships/hyperlink" Target="https://www.hbs.edu/faculty/Pages/item.aspx?num=43639" TargetMode="External"/><Relationship Id="rId10" Type="http://schemas.openxmlformats.org/officeDocument/2006/relationships/hyperlink" Target="https://doi.org/10.1016/j.dib.2025.111649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3</Pages>
  <Words>744</Words>
  <Characters>5081</Characters>
  <CharactersWithSpaces>5790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2026-01-15T16:09:31Z</dcterms:created>
  <dc:creator/>
  <dc:description/>
  <dc:language>en-US</dc:language>
  <cp:lastModifiedBy/>
  <dcterms:modified xsi:type="dcterms:W3CDTF">2026-01-15T16:14:03Z</dcterms:modified>
  <cp:revision>2</cp:revision>
  <dc:subject/>
  <dc:title/>
</cp:coreProperties>
</file>