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media/image7.png" ContentType="image/png"/>
  <Override PartName="/word/media/image8.png" ContentType="image/png"/>
  <Override PartName="/word/media/image9.png" ContentType="image/png"/>
  <Override PartName="/word/media/image10.png" ContentType="image/png"/>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2"/>
      </w:pPr>
      <w:bookmarkStart w:id="20" w:name="文献综述"/>
      <w:r>
        <w:t xml:space="preserve">文献综述</w:t>
      </w:r>
      <w:bookmarkEnd w:id="20"/>
    </w:p>
    <w:p>
      <w:pPr>
        <w:pStyle w:val="FirstParagraph"/>
      </w:pPr>
      <w:r>
        <w:t xml:space="preserve">国际学术流动对科研人员发展的影响是近年来高等教育与科学学领域的重要议题。随着全球化进程的推进和各国科技人才政策对国际化的日益重视，大量实证研究从不同国家情境、学科背景和方法路径出发，对国际流动在学术资源与能力积累、科学生产力以及职业发展等方面的效应进行了考察。围绕上述三个维度，本节系统梳理既有研究的主要发现、研究之间的差异与分歧以及造成这些分歧的可能原因。</w:t>
      </w:r>
    </w:p>
    <w:p>
      <w:pPr>
        <w:pStyle w:val="3"/>
      </w:pPr>
      <w:bookmarkStart w:id="21" w:name="一国际流动对学术资源及能力积累的影响"/>
      <w:r>
        <w:t xml:space="preserve">一、国际流动对学术资源及能力积累的影响</w:t>
      </w:r>
      <w:bookmarkEnd w:id="21"/>
    </w:p>
    <w:p>
      <w:pPr>
        <w:pStyle w:val="FirstParagraph"/>
      </w:pPr>
      <w:r>
        <w:t xml:space="preserve">国际学术流动对科研人员学术资源与能力积累的影响，是该领域关注较早、研究积累也最为丰富的方向之一。现有研究主要围绕合作网络拓展、知识与能力积累以及学术声誉建构三个层面展开。</w:t>
      </w:r>
    </w:p>
    <w:p>
      <w:pPr>
        <w:pStyle w:val="BodyText"/>
      </w:pPr>
      <w:r>
        <w:rPr>
          <w:b/>
        </w:rPr>
        <w:t xml:space="preserve">（一）学术合作网络的拓展与重构</w:t>
      </w:r>
    </w:p>
    <w:p>
      <w:pPr>
        <w:pStyle w:val="BodyText"/>
      </w:pPr>
      <w:r>
        <w:t xml:space="preserve">在学术合作网络方面，多数研究得出了较为一致的正向结论。Netz等人基于96项实证研究的系统综述指出，约85%的研究证实国际流动能够显著促进科研人员国际合作网络的拓展（Netz et al., 2020）。在因果推断层面，Gu等人运用倾向得分匹配与双重差分相结合的方法，以CSC资助博士生为研究对象，发现国际流动显著增加了研究者的合作团队规模并提升了合作产出，且这一效应在不同性别和机构层次之间存在异质性（Gu et al., 2024）。Pan等人同样基于中国博士生的十年追踪数据，运用因果推断方法发现，非学位型国际流动显著拓展了博士生的国际合作网络，并提升了其国际合著论文的数量和质量，合作网络的扩展在其中发挥了部分中介作用（Pan et al., 2025）。Momeni等人基于超过118万名学者的Scopus数据分析进一步揭示了网络结构层面的差异：流动学者在合著网络中拥有更高的度中心性和接近中心性，但聚类系数较低，说明他们在不同学术社群之间扮演着</w:t>
      </w:r>
      <w:r>
        <w:t xml:space="preserve">“</w:t>
      </w:r>
      <w:r>
        <w:t xml:space="preserve">桥梁</w:t>
      </w:r>
      <w:r>
        <w:t xml:space="preserve">”</w:t>
      </w:r>
      <w:r>
        <w:t xml:space="preserve">角色（Momeni et al., 2022）。</w:t>
      </w:r>
    </w:p>
    <w:p>
      <w:pPr>
        <w:pStyle w:val="BodyText"/>
      </w:pPr>
      <w:r>
        <w:t xml:space="preserve">从合作网络演变的时间维度来看，国际流动产生的网络效应并非静态不变。Wang等人以新加坡高度流动的学者为对象研究发现，学者迁移到新的国家后，与当地机构的合作会迅速增加，但代价是与此前所在国学者的国际合作逐步减少；同时，与前任东道国的合作在迁移后虽然会持续一段时间，但也呈现出逐渐衰减的趋势（Wang et al., 2019）。Jonkers和Tijssen针对回国的中国生命科学领域研究者的分析也显示，回国后的研究者仍然保持着与前东道国学者的合作联系，但这种合作的活跃程度与海外停留时间的长短密切相关（Jonkers &amp; Tijssen, 2008）。从更宏观的知识流动视角来看，Ito等人基于哥伦比亚研究者的大规模数据发现，流动科学家（包括归国者和海外侨居者）充当了连接非流动科研人员与国际学术网络的</w:t>
      </w:r>
      <w:r>
        <w:t xml:space="preserve">“</w:t>
      </w:r>
      <w:r>
        <w:t xml:space="preserve">桥梁</w:t>
      </w:r>
      <w:r>
        <w:t xml:space="preserve">”</w:t>
      </w:r>
      <w:r>
        <w:t xml:space="preserve">，但值得注意的是，非流动科研人员与国际同行建立的联系高度依赖于流动科学家的持续中介——一旦去除流动科学家参与的合著论文，非流动者的国际合作发表几乎降为零（Ito et al., 2025）。</w:t>
      </w:r>
    </w:p>
    <w:p>
      <w:pPr>
        <w:pStyle w:val="BodyText"/>
      </w:pPr>
      <w:r>
        <w:t xml:space="preserve">然而，并非所有研究都对网络拓展效应持积极评价。Bauder对德国和加拿大流动学者的比较研究指出，在德国较为封闭的学术体制中，长期海外流动常导致母国学术网络的流失，且国际经历作为一种</w:t>
      </w:r>
      <w:r>
        <w:t xml:space="preserve">“</w:t>
      </w:r>
      <w:r>
        <w:t xml:space="preserve">流动崇拜</w:t>
      </w:r>
      <w:r>
        <w:t xml:space="preserve">”</w:t>
      </w:r>
      <w:r>
        <w:t xml:space="preserve">（mobility fetishism）符号，其象征价值可能大于实际的网络收益（Bauder, 2016）。Wang等人对中国博士后群体的研究也发现，这一群体在拓展海外网络与维护国内社会关系之间面临张力，部分博士后因长期缺席而逐渐丧失了在国内积累的学术联系（Wang et al., 2023）。陈丽媛等人以四所</w:t>
      </w:r>
      <w:r>
        <w:t xml:space="preserve">“</w:t>
      </w:r>
      <w:r>
        <w:t xml:space="preserve">双一流</w:t>
      </w:r>
      <w:r>
        <w:t xml:space="preserve">”</w:t>
      </w:r>
      <w:r>
        <w:t xml:space="preserve">高校经济学科为例的研究同样发现，国际流动在促进国际合作的同时，对国内合作网络存在一定的替代效应（陈丽媛等，2023）。</w:t>
      </w:r>
    </w:p>
    <w:p>
      <w:pPr>
        <w:pStyle w:val="BodyText"/>
      </w:pPr>
      <w:r>
        <w:t xml:space="preserve">上述分歧可以从多个维度加以理解。在流动时长方面，Bu等人指出持续合作的效果并非时间越长越好，合作的持续性受学科性质和团队规模等因素的调节（Bu et al., 2017）。在学科差异方面，Momeni等人发现社会科学学者倾向于在职业较晚阶段才进行国际流动，且其国际流动比例显著低于物理科学和生命科学领域（Momeni et al., 2022），这意味着不同学科的合作传统会影响网络拓展的方式和幅度。在制度环境方面，赵鑫和朱佳妮对中国科学院院士国际合作网络的追踪分析揭示了网络演化的阶段性特征：学者在海外求学和任职阶段依托导师建立强关系纽带，归国后则通过占据结构洞位置拓展弱关系网络，社会资本的类型和功能随职业阶段的推移而不断转化（赵鑫、朱佳妮，2025）。</w:t>
      </w:r>
    </w:p>
    <w:p>
      <w:pPr>
        <w:pStyle w:val="BodyText"/>
      </w:pPr>
      <w:r>
        <w:rPr>
          <w:b/>
        </w:rPr>
        <w:t xml:space="preserve">（二）知识与能力积累</w:t>
      </w:r>
    </w:p>
    <w:p>
      <w:pPr>
        <w:pStyle w:val="BodyText"/>
      </w:pPr>
      <w:r>
        <w:t xml:space="preserve">在知识与能力维度，现有研究经历了从关注显性产出到重视隐性收获的拓展。Coey基于欧洲社会科学与人文学科博士毕业生的访谈研究识别出国际流动所产生的三类知识成果——显性知识的获取、隐性知识实践的习得以及世界主义身份的发展，并强调隐性知识具有情境依赖性，必须深入海外学术环境方能真正获得（Coey, 2017）。Aman运用词汇分析方法追踪流动学者的知识传播轨迹，发现流动科学家在返回母国后成为</w:t>
      </w:r>
      <w:r>
        <w:t xml:space="preserve">“</w:t>
      </w:r>
      <w:r>
        <w:t xml:space="preserve">知识传递者</w:t>
      </w:r>
      <w:r>
        <w:t xml:space="preserve">”</w:t>
      </w:r>
      <w:r>
        <w:t xml:space="preserve">，其论文的词汇特征反映出他们将海外学术环境中习得的概念和方法融入了后续研究中（Aman, 2022）。两项综述性研究为上述发现提供了系统支撑：Netz等人的系统综述发现国际流动能够提升外语水平、技术方法能力与跨文化协作能力（Netz et al., 2020）；Shen等人基于《Higher Education》期刊的系统分析则进一步指出，国际流动对显性知识与隐性知识均产生了积极的促进效应（Shen et al., 2022）。</w:t>
      </w:r>
    </w:p>
    <w:p>
      <w:pPr>
        <w:pStyle w:val="BodyText"/>
      </w:pPr>
      <w:r>
        <w:t xml:space="preserve">另一个受到日益关注的维度是跨文化能力的发展。Hanley和Chankseliani基于全球范围的调查发现，国际流动经历与跨文化能力提升之间存在正向关联，但这种关联受到流动深度和参与方式的显著调节（Hanley &amp; Chankseliani, 2025）。Bartel-Radic和Cucchi对法国高校学生的追踪研究进一步揭示了跨文化能力形成的微观机制：与国际同伴的互动增加了跨文化冲突的发生概率，但正是对冲突的成功应对促进了感知学习和跨文化敏感性的提升；相反，持续的负面情绪则会抑制学习效果并强化民族中心主义倾向（Bartel-Radic &amp; Cucchi, 2025）。Pylväs和Nokelainen对工程学科学术人员的调查也表明，国际流动期间的能力增长不仅限于核心学科技能，还涵盖了方法论能力、跨文化沟通与专业自我意识等多个维度（Pylväs &amp; Nokelainen, 2021）。</w:t>
      </w:r>
    </w:p>
    <w:p>
      <w:pPr>
        <w:pStyle w:val="BodyText"/>
      </w:pPr>
      <w:r>
        <w:t xml:space="preserve">国内学者多基于特定项目或院校数据展开实证研究。孙伟和赵世奎基于联合培养博士生的调查数据发现，海外访学期间博士生能够吸收前沿知识、提升科研技能并拓宽学术视野（孙伟、赵世奎，2018）。姜华等人的研究进一步发现，导师指导质量、留学机构学术资源和个人主动性是影响访学收益的关键因素（姜华等，2019）。然而，李澄锋等人基于</w:t>
      </w:r>
      <w:r>
        <w:t xml:space="preserve">“</w:t>
      </w:r>
      <w:r>
        <w:t xml:space="preserve">全国博士毕业生离校调查</w:t>
      </w:r>
      <w:r>
        <w:t xml:space="preserve">”</w:t>
      </w:r>
      <w:r>
        <w:t xml:space="preserve">数据的分析发现，CSC联合培养博士生与未参与留学的博士生在科研能力增值方面并无显著差异（李澄锋等，2021）。李峰对海归学者跨国资本本土化过程的研究提供了一个可能的解释视角：海外积累的学术资本在回国后面临</w:t>
      </w:r>
      <w:r>
        <w:t xml:space="preserve">“</w:t>
      </w:r>
      <w:r>
        <w:t xml:space="preserve">逆向文化冲击</w:t>
      </w:r>
      <w:r>
        <w:t xml:space="preserve">”</w:t>
      </w:r>
      <w:r>
        <w:t xml:space="preserve">，其转化效果受到国内制度环境和学术评价标准的深刻制约，且归国初期往往出现研究产出数量与质量之间的负相关（李峰，2018）。这些发现共同提示，能力积累并非国际流动的自动产物，而是取决于流动时长、嵌入深度、导师支持以及归国后的制度匹配等中介条件。</w:t>
      </w:r>
    </w:p>
    <w:p>
      <w:pPr>
        <w:pStyle w:val="BodyText"/>
      </w:pPr>
      <w:r>
        <w:rPr>
          <w:b/>
        </w:rPr>
        <w:t xml:space="preserve">（三）学术声誉建构</w:t>
      </w:r>
    </w:p>
    <w:p>
      <w:pPr>
        <w:pStyle w:val="BodyText"/>
      </w:pPr>
      <w:r>
        <w:t xml:space="preserve">在学术声誉方面，现有文献揭示了国际流动经历所具有的</w:t>
      </w:r>
      <w:r>
        <w:t xml:space="preserve">“</w:t>
      </w:r>
      <w:r>
        <w:t xml:space="preserve">信号效应</w:t>
      </w:r>
      <w:r>
        <w:t xml:space="preserve">”</w:t>
      </w:r>
      <w:r>
        <w:t xml:space="preserve">。Bauder提出的</w:t>
      </w:r>
      <w:r>
        <w:t xml:space="preserve">“</w:t>
      </w:r>
      <w:r>
        <w:t xml:space="preserve">流动崇拜</w:t>
      </w:r>
      <w:r>
        <w:t xml:space="preserve">”</w:t>
      </w:r>
      <w:r>
        <w:t xml:space="preserve">概念指出，在当代学术评价体系中，国际流动经历本身即被视为学术卓越性的重要标志（Bauder, 2016）。Leung通过对中国赴德学者的深度访谈发现，海外经历被学术劳动力市场视为一种</w:t>
      </w:r>
      <w:r>
        <w:t xml:space="preserve">“</w:t>
      </w:r>
      <w:r>
        <w:t xml:space="preserve">区分标志</w:t>
      </w:r>
      <w:r>
        <w:t xml:space="preserve">”</w:t>
      </w:r>
      <w:r>
        <w:t xml:space="preserve">，其声誉价值随接收机构声望的提升而增强（Leung, 2012）。Hu和Cairns对在挪威留学的中国学生的追踪研究同样证实，</w:t>
      </w:r>
      <w:r>
        <w:t xml:space="preserve">“</w:t>
      </w:r>
      <w:r>
        <w:t xml:space="preserve">流动资本</w:t>
      </w:r>
      <w:r>
        <w:t xml:space="preserve">”</w:t>
      </w:r>
      <w:r>
        <w:t xml:space="preserve">在求职过程中具有积极的信号作用，但这种信号的有效性高度依赖于流动目的地在国际学术等级体系中的位置（Hu &amp; Cairns, 2017）。然而，声誉的转化并非在所有情境中都能顺利实现。Meng和Shen对日本培养的中国博士群体的研究表明，部分留学经历在国内学术市场中并未获得预期的认可，声誉效应的实现受到国内评价标准的深刻调节（Meng &amp; Shen, 2023）。Courtois和O’Keefe基于爱尔兰学术界的研究更为尖锐地指出，在学术近亲繁殖和地方保护主义盛行的环境中，国际经历所承载的声誉价值可能无法被有效兑现，国际资本的价值转化需要以国内社会资本的存量为前提（Courtois &amp; O’Keefe, 2024）。</w:t>
      </w:r>
    </w:p>
    <w:p>
      <w:pPr>
        <w:pStyle w:val="3"/>
      </w:pPr>
      <w:bookmarkStart w:id="22" w:name="二国际流动对科学生产力的影响"/>
      <w:r>
        <w:t xml:space="preserve">二、国际流动对科学生产力的影响</w:t>
      </w:r>
      <w:bookmarkEnd w:id="22"/>
    </w:p>
    <w:p>
      <w:pPr>
        <w:pStyle w:val="FirstParagraph"/>
      </w:pPr>
      <w:r>
        <w:t xml:space="preserve">国际学术流动能否提升科研人员的科学生产力，是该领域受到关注最多、也存在较多争论的问题。现有研究多采用文献计量方法，以论文发表量、引用影响力和期刊层次等指标衡量科研产出，在不同国家和学科中得出了方向一致但程度不同的结论。</w:t>
      </w:r>
    </w:p>
    <w:p>
      <w:pPr>
        <w:pStyle w:val="BodyText"/>
      </w:pPr>
      <w:r>
        <w:t xml:space="preserve">多项运用严格因果推断方法的研究为流动的产出促进效应提供了较为有力的证据。Chinchilla-Rodríguez等人采用合成控制法对巴西研究人员进行分析，发现国际流动在因果层面显著提升了论文发表量和引用影响力，且这一效应在流动结束后仍能持续多年（Chinchilla-Rodríguez et al., 2018）。Aykac同样基于合成控制法，利用Scopus数据库追踪了1500余名国际流动科学家及其匹配的非流动对照组，发现流动显著提升了学者在高影响因子期刊上的发表能力、总引用量以及国际合著比例，且效应的大小与流动持续时间呈正相关（Aykac, 2021）。Gu等人基于CSC资助博士生的纵向数据，运用PSM-DID方法发现国际流动对科研合作和论文产出均有显著正向影响，且合作团队规模的扩大在其中发挥了重要的中介作用；进一步的异质性分析表明，男性研究者和来自非高声望机构的研究者从流动中获益更大（Gu et al., 2024）。Pan等人的研究聚焦于博士阶段的国际流动，基于中国博士生十年追踪面板数据发现，非学位型流动不仅增加了国际合著论文的数量，还提升了合著论文的质量，且长期流动（2013年以后的流动项目）在拓展合作网络和提升合作产出方面的效果优于短期流动（Pan et al., 2025）。在更大规模的比较研究中，Momeni等人基于118万名学者数据的倾向得分匹配分析显示，流动学者在年均发表量和篇均引用量方面均显著高于匹配后的非流动学者（Momeni et al., 2022）。Han等人基于近八万名全球顶尖学者的百年数据同样发现，国际流动总体上提升了学者的科研产出和引用影响力，且流向科研体系更发达的国家（尤其是美国）时效应最为显著（Han et al., 2024）。</w:t>
      </w:r>
    </w:p>
    <w:p>
      <w:pPr>
        <w:pStyle w:val="BodyText"/>
      </w:pPr>
      <w:r>
        <w:t xml:space="preserve">然而，另一些研究对上述积极结论提出了限制和修正，表明流动与产出之间的关系远非简单的线性促进。在国内研究中，叶晓梅和梁文艳基于研究型大学教育学科的数据发现，在控制了个人能力和机构特征等变量后，海归教师与本土教师在科研产出方面的差距并不显著，这一结果对海归教师</w:t>
      </w:r>
      <w:r>
        <w:t xml:space="preserve">“</w:t>
      </w:r>
      <w:r>
        <w:t xml:space="preserve">天然优越</w:t>
      </w:r>
      <w:r>
        <w:t xml:space="preserve">”</w:t>
      </w:r>
      <w:r>
        <w:t xml:space="preserve">的假设提出了挑战（叶晓梅、梁文艳，2019）。陈丽媛等人的研究则揭示了产出结构层面的微妙变化：国际流动主要改变了学者的发表渠道——显著提升了在国际期刊上的发表数量，但对国内期刊发表的促进作用有限，甚至存在一定的替代效应（陈丽媛等，2023）。李澄锋等人基于全国性大规模调查数据的分析也得出了相似发现，即联合培养博士生在论文产出方面的优势主要体现在英文发表上，而在中文论文发表和科研能力自评方面与非流动博士生之间并无显著差异（李澄锋等，2021）。在国际研究中，Li等人对加拿大50所高校逾1.4万名博士生的分析进一步区分了不同类型国际化经历的影响，发现国际科研合作机会与发表产出之间存在显著正向关联，且呈现出剂量效应——合作机会越丰富，发表产出越高；但出国学习经历与发表产出之间的关系远为复杂，甚至对与教师合著论文这一指标呈现负向影响，提示不同形式的国际化经历在产出效应上不可一概而论（Li et al., 2025）。</w:t>
      </w:r>
    </w:p>
    <w:p>
      <w:pPr>
        <w:pStyle w:val="BodyText"/>
      </w:pPr>
      <w:r>
        <w:t xml:space="preserve">不同研究之间的结论差异可以从以下几个方面进行理解。首先，流动目的地和学科背景是重要的调节变量。Han等人的数据表明，从发展中国家流向美国、英国等科研强国的学者产出提升最为显著，而不同流动路径之间的效果差异巨大（Han et al., 2024）。Appelt等人从国家层面的分析也显示，科研体系较强的国家从人才流入中获益更多，呈现一定的累积优势效应（Appelt et al., 2015）。Momeni等人则发现社会科学领域流动对产出的提升效果明显低于自然科学领域（Momeni et al., 2022）。其次，性别差异不容忽视。Acciai等人对全球近1.6万名早期职业研究者的追踪研究发现，虽然男性和女性均从流动中获得了产出优势，但女性的相对绩效提升幅度低于男性——在发表数量和顶刊论文方面，性别差距在流动后显著扩大，女性在全球学术流动中面临</w:t>
      </w:r>
      <w:r>
        <w:t xml:space="preserve">“</w:t>
      </w:r>
      <w:r>
        <w:t xml:space="preserve">双重劣势</w:t>
      </w:r>
      <w:r>
        <w:t xml:space="preserve">”</w:t>
      </w:r>
      <w:r>
        <w:t xml:space="preserve">：流动机会更少，且流动回报更低（Acciai et al., 2025）。再次，流动时长的非线性效应值得关注。李峰和唐莉基于长江学者数据的研究发现，国际流动对科研产出呈现</w:t>
      </w:r>
      <w:r>
        <w:t xml:space="preserve">“</w:t>
      </w:r>
      <w:r>
        <w:t xml:space="preserve">短期回落、长期提升</w:t>
      </w:r>
      <w:r>
        <w:t xml:space="preserve">”</w:t>
      </w:r>
      <w:r>
        <w:t xml:space="preserve">的阶段性特征（李峰、唐莉，2019）。最后，研究方法上的差异也是结论分歧的重要来源——早期相关性分析难以排除选择性偏差，近年来运用PSM-DID和合成控制法的研究在一定程度上缓解了这一问题，但受限于数据的可获得性，内生性问题仍未彻底解决。</w:t>
      </w:r>
    </w:p>
    <w:p>
      <w:pPr>
        <w:pStyle w:val="3"/>
      </w:pPr>
      <w:bookmarkStart w:id="23" w:name="三国际流动对职业发展的影响"/>
      <w:r>
        <w:t xml:space="preserve">三、国际流动对职业发展的影响</w:t>
      </w:r>
      <w:bookmarkEnd w:id="23"/>
    </w:p>
    <w:p>
      <w:pPr>
        <w:pStyle w:val="FirstParagraph"/>
      </w:pPr>
      <w:r>
        <w:t xml:space="preserve">国际学术流动能否切实推动科研人员的职业进步，关系到个体的流动决策与国家层面的人才政策安排。围绕这一问题，现有研究呈现出积极效应与消极效应并存、结论高度情境依赖的研究格局。</w:t>
      </w:r>
    </w:p>
    <w:p>
      <w:pPr>
        <w:pStyle w:val="BodyText"/>
      </w:pPr>
      <w:r>
        <w:t xml:space="preserve">从国内研究来看，多项基于不同群体和数据来源的实证研究记录了国际流动的正向职业回报。黄小燕等人以CSC资助博士生为对象，通过追踪其毕业后的职业轨迹发现，国际流动经历有助于科研人员进入较高声望的机构获得初职、加快早期职称晋升并提升获得国家级基金资助的可能性（黄小燕等，2022）。钟滢的研究也发现，学术流动性对科研人员的职称晋升和学术影响力产生了正向作用，且不同类型的流动在职称进步、科研产出和合作网络等维度上的影响存在差异（钟滢，2023）。施云燕基于问卷调研的结果显示，多数受访者认为国际流动对学术职业发展具有促进作用，且职称层级越高的科研人员对流动积极效应的评价越高，这一发现暗示流动效应可能存在长期累积特征（施云燕，2015）。在国际研究中，Chinchilla-Rodríguez等人的合成控制分析为因果推断提供了更为严谨的支撑，发现国际流动对巴西研究者的h指数等综合性职业发展指标产生了显著的提升效应（Chinchilla-Rodríguez et al., 2018）。Lu和McInerney对中国大学数学家和社会学家的比较研究则发现，海归学者在职称晋升速度上总体快于本土学者，尤其是在获得副教授职称的早期晋升阶段，海归学者占据结构洞位置所带来的网络优势尤为明显；然而，在通向教授的高级晋升阶段，本土学者凭借密集的国内关系网络同样能够获得可观的职业回报（Lu &amp; McInerney, 2016）。</w:t>
      </w:r>
    </w:p>
    <w:p>
      <w:pPr>
        <w:pStyle w:val="BodyText"/>
      </w:pPr>
      <w:r>
        <w:t xml:space="preserve">与上述积极发现形成对照的是，另一些研究揭示了国际流动在特定情境下的消极职业效应。Van Mol等人对荷兰高等教育毕业生的研究发现，运用倾向得分匹配控制选择效应后，流动毕业生在就业速度上的表面优势完全消失，提示早期研究报告的积极效应可能很大程度上源于群体自选择（Van Mol et al., 2021）。Seeber等人基于比利时五所大学长达27年纵向数据的分析结果更为引人注目：国际流动和外国国籍均显著降低了科研人员在原机构获得内部晋升的概率，同时提高了其离职概率，在研究期间仅有1.2%的国际流动外国学者晋升为教授，而非流动本国学者的比例为21.9%（Seeber et al., 2023）。Courtois和O’Keefe的质性研究则揭示了更为深层的结构性困境：对于缺乏初始社会资本和经济资本的不稳定学术劳动者而言，国际流动并非增值手段，反而可能加剧其边缘化处境——流动中积累的国际资本在缺乏国内社会网络支撑的情况下无法被有效兑现（Courtois &amp; O’Keefe, 2024）。</w:t>
      </w:r>
    </w:p>
    <w:p>
      <w:pPr>
        <w:pStyle w:val="BodyText"/>
      </w:pPr>
      <w:r>
        <w:t xml:space="preserve">对上述分歧的理解需要引入多层次的调节因素。第一，制度环境对流动效应的调节最为根本。Bauder的比较研究表明，加拿大开放型学术市场中的流动通常促进职业发展，而德国较封闭的体系中流动则可能导致母国网络流失（Bauder, 2016）。Seeber等人的研究印证了这一判断：在缺乏反学术近亲繁殖规则、教学以本地语言为主的体系中，流动学者面临的语言障碍和同质性偏好构成了实质性的晋升壁垒（Seeber et al., 2023）。这一发现也可以部分解释为何在中国学术体系中——其人才引进政策明确赋予海外经历以制度性优势——国际流动的职业回报往往更为显著。</w:t>
      </w:r>
    </w:p>
    <w:p>
      <w:pPr>
        <w:pStyle w:val="BodyText"/>
      </w:pPr>
      <w:r>
        <w:t xml:space="preserve">第二，流动的类型和深度对职业回报存在差异化影响。潘虹和唐莉针对长江学者特聘教授的研究发现，不同流动路径的职业效应差异显著：海外攻读博士学位和在境外高校全职任教的经历有助于职业发展，而短期访学或长期滞留海外则未表现出积极效应，甚至可能因为远离国内学术场域而不利于本土学术资源的积累（潘虹、唐莉，2021）。李峰和唐莉进一步发现，全职海外工作经历对职业晋升的加速效应最为突出，尤其是海外取得初级职称后归国的学者优势最为明显，而仅拥有海外博士学位或短期访学经历者的职业发展速度与非流动学者并无显著差异（李峰、唐莉，2019）。这些发现提示，流动经历的</w:t>
      </w:r>
      <w:r>
        <w:t xml:space="preserve">“</w:t>
      </w:r>
      <w:r>
        <w:t xml:space="preserve">质量</w:t>
      </w:r>
      <w:r>
        <w:t xml:space="preserve">”</w:t>
      </w:r>
      <w:r>
        <w:t xml:space="preserve">——即其持续时间、参与深度和具体活动类型——对职业回报的影响可能远比流动经历的</w:t>
      </w:r>
      <w:r>
        <w:t xml:space="preserve">“</w:t>
      </w:r>
      <w:r>
        <w:t xml:space="preserve">有无</w:t>
      </w:r>
      <w:r>
        <w:t xml:space="preserve">”</w:t>
      </w:r>
      <w:r>
        <w:t xml:space="preserve">更为关键。</w:t>
      </w:r>
    </w:p>
    <w:p>
      <w:pPr>
        <w:pStyle w:val="BodyText"/>
      </w:pPr>
      <w:r>
        <w:t xml:space="preserve">第三，学科背景所造成的差异同样显著。王艳和赵江南基于2023年Nature全球博士后调查数据的实证分析表明，国际流动在不同学科中的职业效应存在明显异质性：在医学领域呈现负向效应，在理工科领域影响有限，而在社会科学领域则表现出较为积极的促进作用（王艳、赵江南，2024）。Lu和McInerney的研究也显示，数学家和社会学家从国际网络中获取的职业回报存在差异，不同学科的知识生产模式和晋升评价标准深刻影响着流动效应的实现方式（Lu &amp; McInerney, 2016）。此外，Acciai等人的研究表明，性别维度的不平等也延伸到了职业领域：女性不仅国际流动的参与率低于男性，且流动后的科研绩效提升幅度也相对较小，这种绩效差距可能间接影响其职业晋升与发展轨迹（Acciai et al., 2025）。</w:t>
      </w:r>
    </w:p>
    <w:p>
      <w:r>
        <w:pict>
          <v:rect style="width:0;height:1.5pt" o:hralign="center" o:hrstd="t" o:hr="t"/>
        </w:pict>
      </w:r>
    </w:p>
    <w:p>
      <w:pPr>
        <w:pStyle w:val="3"/>
      </w:pPr>
      <w:bookmarkStart w:id="24" w:name="参考文献"/>
      <w:r>
        <w:t xml:space="preserve">参考文献</w:t>
      </w:r>
      <w:bookmarkEnd w:id="24"/>
    </w:p>
    <w:p>
      <w:pPr>
        <w:pStyle w:val="FirstParagraph"/>
      </w:pPr>
      <w:r>
        <w:t xml:space="preserve">Acciai, C., Holding, B. C., Madsen, E. B., Schneider, J. W., &amp; Nielsen, M. W. (2025). The unequal dividend: Gender differences in early-career researchers’ performance gains from international mobility.</w:t>
      </w:r>
      <w:r>
        <w:t xml:space="preserve"> </w:t>
      </w:r>
      <w:r>
        <w:rPr>
          <w:i/>
        </w:rPr>
        <w:t xml:space="preserve">Higher Education</w:t>
      </w:r>
      <w:r>
        <w:t xml:space="preserve">. https://doi.org/10.1007/s10734-025-01568-z</w:t>
      </w:r>
    </w:p>
    <w:p>
      <w:pPr>
        <w:pStyle w:val="BodyText"/>
      </w:pPr>
      <w:r>
        <w:t xml:space="preserve">Aman, V. (2022). Internationally mobile scientists as knowledge transmitters: A lexical-based approach to detect knowledge transfer.</w:t>
      </w:r>
      <w:r>
        <w:t xml:space="preserve"> </w:t>
      </w:r>
      <w:r>
        <w:rPr>
          <w:i/>
        </w:rPr>
        <w:t xml:space="preserve">Journal of the Association for Information Science and Technology</w:t>
      </w:r>
      <w:r>
        <w:t xml:space="preserve">, 73(10), 1418–1431.</w:t>
      </w:r>
    </w:p>
    <w:p>
      <w:pPr>
        <w:pStyle w:val="BodyText"/>
      </w:pPr>
      <w:r>
        <w:t xml:space="preserve">Appelt, S., van Beuzekom, B., Galindo-Rueda, F., &amp; de Pinho, R. (2015). Which factors influence the international mobility of research scientists? In A. Geuna (Ed.),</w:t>
      </w:r>
      <w:r>
        <w:t xml:space="preserve"> </w:t>
      </w:r>
      <w:r>
        <w:rPr>
          <w:i/>
        </w:rPr>
        <w:t xml:space="preserve">Global Mobility of Research Scientists</w:t>
      </w:r>
      <w:r>
        <w:t xml:space="preserve"> </w:t>
      </w:r>
      <w:r>
        <w:t xml:space="preserve">(pp. 177–213). Academic Press.</w:t>
      </w:r>
    </w:p>
    <w:p>
      <w:pPr>
        <w:pStyle w:val="BodyText"/>
      </w:pPr>
      <w:r>
        <w:t xml:space="preserve">Aykac, G. (2021). The value of an overseas research trip.</w:t>
      </w:r>
      <w:r>
        <w:t xml:space="preserve"> </w:t>
      </w:r>
      <w:r>
        <w:rPr>
          <w:i/>
        </w:rPr>
        <w:t xml:space="preserve">Scientometrics</w:t>
      </w:r>
      <w:r>
        <w:t xml:space="preserve">, 126, 7097–7122.</w:t>
      </w:r>
    </w:p>
    <w:p>
      <w:pPr>
        <w:pStyle w:val="BodyText"/>
      </w:pPr>
      <w:r>
        <w:t xml:space="preserve">Bartel-Radic, A., &amp; Cucchi, A. (2025). How do students develop intercultural competence during international mobility?</w:t>
      </w:r>
      <w:r>
        <w:t xml:space="preserve"> </w:t>
      </w:r>
      <w:r>
        <w:rPr>
          <w:i/>
        </w:rPr>
        <w:t xml:space="preserve">International Journal of Intercultural Relations</w:t>
      </w:r>
      <w:r>
        <w:t xml:space="preserve">, 105, 102132.</w:t>
      </w:r>
    </w:p>
    <w:p>
      <w:pPr>
        <w:pStyle w:val="BodyText"/>
      </w:pPr>
      <w:r>
        <w:t xml:space="preserve">Bauder, H. (2016). International experience in the academic field: Knowledge production, symbolic capital and mobility fetishism.</w:t>
      </w:r>
      <w:r>
        <w:t xml:space="preserve"> </w:t>
      </w:r>
      <w:r>
        <w:rPr>
          <w:i/>
        </w:rPr>
        <w:t xml:space="preserve">Population, Space and Place</w:t>
      </w:r>
      <w:r>
        <w:t xml:space="preserve">, 22(4), 355–365.</w:t>
      </w:r>
    </w:p>
    <w:p>
      <w:pPr>
        <w:pStyle w:val="BodyText"/>
      </w:pPr>
      <w:r>
        <w:t xml:space="preserve">Bu, Y., Murray, D. S., Ding, Y., Huang, Y., &amp; Zhao, Y. (2017). Understanding persistent scientific collaboration.</w:t>
      </w:r>
      <w:r>
        <w:t xml:space="preserve"> </w:t>
      </w:r>
      <w:r>
        <w:rPr>
          <w:i/>
        </w:rPr>
        <w:t xml:space="preserve">Journal of the American Society for Information Science and Technology</w:t>
      </w:r>
      <w:r>
        <w:t xml:space="preserve">, 69(3), 438–448.</w:t>
      </w:r>
    </w:p>
    <w:p>
      <w:pPr>
        <w:pStyle w:val="BodyText"/>
      </w:pPr>
      <w:r>
        <w:t xml:space="preserve">Chinchilla-Rodríguez, Z., Miao, L., Murray, D., Robinson-García, N., Costas, R., &amp; Sugimoto, C. R. (2018). International mobility boosts scientific careers: A synthetic control analysis of Brazilian researchers.</w:t>
      </w:r>
      <w:r>
        <w:t xml:space="preserve"> </w:t>
      </w:r>
      <w:r>
        <w:rPr>
          <w:i/>
        </w:rPr>
        <w:t xml:space="preserve">PLOS ONE</w:t>
      </w:r>
      <w:r>
        <w:t xml:space="preserve">, 13(6), e0197328.</w:t>
      </w:r>
    </w:p>
    <w:p>
      <w:pPr>
        <w:pStyle w:val="BodyText"/>
      </w:pPr>
      <w:r>
        <w:t xml:space="preserve">Coey, C. (2017). International researcher mobility and knowledge transfer in the social sciences and humanities.</w:t>
      </w:r>
      <w:r>
        <w:t xml:space="preserve"> </w:t>
      </w:r>
      <w:r>
        <w:rPr>
          <w:i/>
        </w:rPr>
        <w:t xml:space="preserve">Globalisation, Societies and Education</w:t>
      </w:r>
      <w:r>
        <w:t xml:space="preserve">, 16(2), 208–223.</w:t>
      </w:r>
    </w:p>
    <w:p>
      <w:pPr>
        <w:pStyle w:val="BodyText"/>
      </w:pPr>
      <w:r>
        <w:t xml:space="preserve">Courtois, A., &amp; O’Keefe, T. (2024). Precarious mobilities and the uses of international capital in Irish academia.</w:t>
      </w:r>
      <w:r>
        <w:t xml:space="preserve"> </w:t>
      </w:r>
      <w:r>
        <w:rPr>
          <w:i/>
        </w:rPr>
        <w:t xml:space="preserve">Higher Education</w:t>
      </w:r>
      <w:r>
        <w:t xml:space="preserve">, 88, 1871–1887.</w:t>
      </w:r>
    </w:p>
    <w:p>
      <w:pPr>
        <w:pStyle w:val="BodyText"/>
      </w:pPr>
      <w:r>
        <w:t xml:space="preserve">Gu, J., Pan, X., Zhang, S., &amp; Chen, J. (2024). International mobility matters: Research collaboration and scientific productivity.</w:t>
      </w:r>
      <w:r>
        <w:t xml:space="preserve"> </w:t>
      </w:r>
      <w:r>
        <w:rPr>
          <w:i/>
        </w:rPr>
        <w:t xml:space="preserve">Journal of Informetrics</w:t>
      </w:r>
      <w:r>
        <w:t xml:space="preserve">, 18, 101522.</w:t>
      </w:r>
    </w:p>
    <w:p>
      <w:pPr>
        <w:pStyle w:val="BodyText"/>
      </w:pPr>
      <w:r>
        <w:t xml:space="preserve">Han, F., Zhang, R., Zhang, S., &amp; Yuan, J. (2024). International mobility characteristics, effects of, and effects on elite scientists.</w:t>
      </w:r>
      <w:r>
        <w:t xml:space="preserve"> </w:t>
      </w:r>
      <w:r>
        <w:rPr>
          <w:i/>
        </w:rPr>
        <w:t xml:space="preserve">Journal of Informetrics</w:t>
      </w:r>
      <w:r>
        <w:t xml:space="preserve">, 18, 101485.</w:t>
      </w:r>
    </w:p>
    <w:p>
      <w:pPr>
        <w:pStyle w:val="BodyText"/>
      </w:pPr>
      <w:r>
        <w:t xml:space="preserve">Hanley, T., &amp; Chankseliani, M. (2025). Intercultural competence beyond international student mobility: Insights from a global study.</w:t>
      </w:r>
      <w:r>
        <w:t xml:space="preserve"> </w:t>
      </w:r>
      <w:r>
        <w:rPr>
          <w:i/>
        </w:rPr>
        <w:t xml:space="preserve">British Educational Research Journal</w:t>
      </w:r>
      <w:r>
        <w:t xml:space="preserve">, early view.</w:t>
      </w:r>
    </w:p>
    <w:p>
      <w:pPr>
        <w:pStyle w:val="BodyText"/>
      </w:pPr>
      <w:r>
        <w:t xml:space="preserve">Hu, A., &amp; Cairns, D. (2017). Hai Gui or Hai Dai? Chinese student migrants and the role of Norwegian mobility capital in career success.</w:t>
      </w:r>
      <w:r>
        <w:t xml:space="preserve"> </w:t>
      </w:r>
      <w:r>
        <w:rPr>
          <w:i/>
        </w:rPr>
        <w:t xml:space="preserve">YOUNG</w:t>
      </w:r>
      <w:r>
        <w:t xml:space="preserve">, 25(2), 174–189.</w:t>
      </w:r>
    </w:p>
    <w:p>
      <w:pPr>
        <w:pStyle w:val="BodyText"/>
      </w:pPr>
      <w:r>
        <w:t xml:space="preserve">Ito, R., Chavarro, D., Ciarli, T., Cowan, R., &amp; Visentin, F. (2025). From drains to bridges.</w:t>
      </w:r>
      <w:r>
        <w:t xml:space="preserve"> </w:t>
      </w:r>
      <w:r>
        <w:rPr>
          <w:i/>
        </w:rPr>
        <w:t xml:space="preserve">Journal of Development Economics</w:t>
      </w:r>
      <w:r>
        <w:t xml:space="preserve">, 177, 103577.</w:t>
      </w:r>
    </w:p>
    <w:p>
      <w:pPr>
        <w:pStyle w:val="BodyText"/>
      </w:pPr>
      <w:r>
        <w:t xml:space="preserve">Jonkers, K., &amp; Tijssen, R. (2008). Chinese researchers returning home: Impacts of international mobility on research collaboration and scientific productivity.</w:t>
      </w:r>
      <w:r>
        <w:t xml:space="preserve"> </w:t>
      </w:r>
      <w:r>
        <w:rPr>
          <w:i/>
        </w:rPr>
        <w:t xml:space="preserve">Scientometrics</w:t>
      </w:r>
      <w:r>
        <w:t xml:space="preserve">, 77(2), 309–333.</w:t>
      </w:r>
    </w:p>
    <w:p>
      <w:pPr>
        <w:pStyle w:val="BodyText"/>
      </w:pPr>
      <w:r>
        <w:t xml:space="preserve">Leung, M. W. H. (2012).</w:t>
      </w:r>
      <w:r>
        <w:t xml:space="preserve"> </w:t>
      </w:r>
      <w:r>
        <w:t xml:space="preserve">‘</w:t>
      </w:r>
      <w:r>
        <w:t xml:space="preserve">Read ten thousand books, walk ten thousand miles</w:t>
      </w:r>
      <w:r>
        <w:t xml:space="preserve">’</w:t>
      </w:r>
      <w:r>
        <w:t xml:space="preserve">: Geographical mobility and capital accumulation among Chinese scholars.</w:t>
      </w:r>
      <w:r>
        <w:t xml:space="preserve"> </w:t>
      </w:r>
      <w:r>
        <w:rPr>
          <w:i/>
        </w:rPr>
        <w:t xml:space="preserve">Transactions of the Institute of British Geographers</w:t>
      </w:r>
      <w:r>
        <w:t xml:space="preserve">, 37(2), 311–324.</w:t>
      </w:r>
    </w:p>
    <w:p>
      <w:pPr>
        <w:pStyle w:val="BodyText"/>
      </w:pPr>
      <w:r>
        <w:t xml:space="preserve">Li, L., Divaker, R. D., &amp; Fernandez, F. (2025). Internationalizing doctoral education: Examining the relationship between international engagement opportunities and research production.</w:t>
      </w:r>
      <w:r>
        <w:t xml:space="preserve"> </w:t>
      </w:r>
      <w:r>
        <w:rPr>
          <w:i/>
        </w:rPr>
        <w:t xml:space="preserve">Minerva</w:t>
      </w:r>
      <w:r>
        <w:t xml:space="preserve">. https://doi.org/10.1007/s11024-025-09592-0</w:t>
      </w:r>
    </w:p>
    <w:p>
      <w:pPr>
        <w:pStyle w:val="BodyText"/>
      </w:pPr>
      <w:r>
        <w:t xml:space="preserve">Lu, X., &amp; McInerney, P.-B. (2016). Is it better to stand on two boats or sit on the Chinese lap?</w:t>
      </w:r>
      <w:r>
        <w:t xml:space="preserve"> </w:t>
      </w:r>
      <w:r>
        <w:rPr>
          <w:i/>
        </w:rPr>
        <w:t xml:space="preserve">Research Policy</w:t>
      </w:r>
      <w:r>
        <w:t xml:space="preserve">, 45, 2125–2137.</w:t>
      </w:r>
    </w:p>
    <w:p>
      <w:pPr>
        <w:pStyle w:val="BodyText"/>
      </w:pPr>
      <w:r>
        <w:t xml:space="preserve">Meng, Q., &amp; Shen, W. (2023). Determinants of Japanese-trained Chinese PhDs’ academic career choices.</w:t>
      </w:r>
      <w:r>
        <w:t xml:space="preserve"> </w:t>
      </w:r>
      <w:r>
        <w:rPr>
          <w:i/>
        </w:rPr>
        <w:t xml:space="preserve">Higher Education</w:t>
      </w:r>
      <w:r>
        <w:t xml:space="preserve">, 86, 1089–1110.</w:t>
      </w:r>
    </w:p>
    <w:p>
      <w:pPr>
        <w:pStyle w:val="BodyText"/>
      </w:pPr>
      <w:r>
        <w:t xml:space="preserve">Momeni, F., Karimi, F., Mayr, P., Peters, I., &amp; Dietze, S. (2022). The many facets of academic mobility and its impact on scholars’ career.</w:t>
      </w:r>
      <w:r>
        <w:t xml:space="preserve"> </w:t>
      </w:r>
      <w:r>
        <w:rPr>
          <w:i/>
        </w:rPr>
        <w:t xml:space="preserve">Journal of Informetrics</w:t>
      </w:r>
      <w:r>
        <w:t xml:space="preserve">, 16(2), 101280.</w:t>
      </w:r>
    </w:p>
    <w:p>
      <w:pPr>
        <w:pStyle w:val="BodyText"/>
      </w:pPr>
      <w:r>
        <w:t xml:space="preserve">Netz, N., Hampel, S., &amp; Aman, V. (2020). What effects does international mobility have on scientists’ careers? A systematic review.</w:t>
      </w:r>
      <w:r>
        <w:t xml:space="preserve"> </w:t>
      </w:r>
      <w:r>
        <w:rPr>
          <w:i/>
        </w:rPr>
        <w:t xml:space="preserve">Research Evaluation</w:t>
      </w:r>
      <w:r>
        <w:t xml:space="preserve">, 29(3), 327–351.</w:t>
      </w:r>
    </w:p>
    <w:p>
      <w:pPr>
        <w:pStyle w:val="BodyText"/>
      </w:pPr>
      <w:r>
        <w:t xml:space="preserve">Pan, X., Wu, R., Huang, X., &amp; Zhai, Y. (2025). The impact of international academic mobility on doctoral students’ research collaboration and publication output.</w:t>
      </w:r>
      <w:r>
        <w:t xml:space="preserve"> </w:t>
      </w:r>
      <w:r>
        <w:rPr>
          <w:i/>
        </w:rPr>
        <w:t xml:space="preserve">Scientometrics</w:t>
      </w:r>
      <w:r>
        <w:t xml:space="preserve">, 130, 3813–3838.</w:t>
      </w:r>
    </w:p>
    <w:p>
      <w:pPr>
        <w:pStyle w:val="BodyText"/>
      </w:pPr>
      <w:r>
        <w:t xml:space="preserve">Pylväs, L., &amp; Nokelainen, P. (2021). Academics’ perceptions of intercultural competence and professional development after international mobility.</w:t>
      </w:r>
      <w:r>
        <w:t xml:space="preserve"> </w:t>
      </w:r>
      <w:r>
        <w:rPr>
          <w:i/>
        </w:rPr>
        <w:t xml:space="preserve">International Journal of Intercultural Relations</w:t>
      </w:r>
      <w:r>
        <w:t xml:space="preserve">, 80, 336–348.</w:t>
      </w:r>
    </w:p>
    <w:p>
      <w:pPr>
        <w:pStyle w:val="BodyText"/>
      </w:pPr>
      <w:r>
        <w:t xml:space="preserve">Seeber, M., Debacker, N., Meoli, M., &amp; Vandevelde, K. (2023). Exploring the effects of mobility and foreign nationality on internal career progression in universities.</w:t>
      </w:r>
      <w:r>
        <w:t xml:space="preserve"> </w:t>
      </w:r>
      <w:r>
        <w:rPr>
          <w:i/>
        </w:rPr>
        <w:t xml:space="preserve">Higher Education</w:t>
      </w:r>
      <w:r>
        <w:t xml:space="preserve">, 85, 1041–1081.</w:t>
      </w:r>
    </w:p>
    <w:p>
      <w:pPr>
        <w:pStyle w:val="BodyText"/>
      </w:pPr>
      <w:r>
        <w:t xml:space="preserve">Shen, W., Xu, X., &amp; Wang, X. (2022). Reconceptualising international academic mobility in the global knowledge system: Towards a new research agenda.</w:t>
      </w:r>
      <w:r>
        <w:t xml:space="preserve"> </w:t>
      </w:r>
      <w:r>
        <w:rPr>
          <w:i/>
        </w:rPr>
        <w:t xml:space="preserve">Higher Education</w:t>
      </w:r>
      <w:r>
        <w:t xml:space="preserve">, 84, 1317–1342.</w:t>
      </w:r>
    </w:p>
    <w:p>
      <w:pPr>
        <w:pStyle w:val="BodyText"/>
      </w:pPr>
      <w:r>
        <w:t xml:space="preserve">Van Mol, C., Caarls, K., &amp; Souto-Otero, M. (2021). International student mobility and labour market outcomes: An investigation of the role of level of study, type of mobility, and international prestige hierarchies.</w:t>
      </w:r>
      <w:r>
        <w:t xml:space="preserve"> </w:t>
      </w:r>
      <w:r>
        <w:rPr>
          <w:i/>
        </w:rPr>
        <w:t xml:space="preserve">Higher Education</w:t>
      </w:r>
      <w:r>
        <w:t xml:space="preserve">, 82, 1145–1171.</w:t>
      </w:r>
    </w:p>
    <w:p>
      <w:pPr>
        <w:pStyle w:val="BodyText"/>
      </w:pPr>
      <w:r>
        <w:t xml:space="preserve">Wang, J., Hooi, R., Li, A. X., &amp; Chou, M.-H. (2019). Collaboration patterns of mobile academics: The impact of international mobility.</w:t>
      </w:r>
      <w:r>
        <w:t xml:space="preserve"> </w:t>
      </w:r>
      <w:r>
        <w:rPr>
          <w:i/>
        </w:rPr>
        <w:t xml:space="preserve">Science and Public Policy</w:t>
      </w:r>
      <w:r>
        <w:t xml:space="preserve">, 46(3), 450–462.</w:t>
      </w:r>
    </w:p>
    <w:p>
      <w:pPr>
        <w:pStyle w:val="BodyText"/>
      </w:pPr>
      <w:r>
        <w:t xml:space="preserve">Wang, X., Shen, W., &amp; Zhu, J. (2023). Being internationally mobile while keeping domestic social capital: How postdocs from China manage precarity.</w:t>
      </w:r>
      <w:r>
        <w:t xml:space="preserve"> </w:t>
      </w:r>
      <w:r>
        <w:rPr>
          <w:i/>
        </w:rPr>
        <w:t xml:space="preserve">Studies in Higher Education</w:t>
      </w:r>
      <w:r>
        <w:t xml:space="preserve">, 48(12), 1861–1876.</w:t>
      </w:r>
    </w:p>
    <w:p>
      <w:pPr>
        <w:pStyle w:val="BodyText"/>
      </w:pPr>
      <w:r>
        <w:t xml:space="preserve">陈丽媛, 陈小满, 赵世奎. (2023). 学术人才国际流动如何影响科研产出——以四所</w:t>
      </w:r>
      <w:r>
        <w:t xml:space="preserve">“</w:t>
      </w:r>
      <w:r>
        <w:t xml:space="preserve">双一流</w:t>
      </w:r>
      <w:r>
        <w:t xml:space="preserve">”</w:t>
      </w:r>
      <w:r>
        <w:t xml:space="preserve">建设高校的经济学科为例.</w:t>
      </w:r>
      <w:r>
        <w:t xml:space="preserve"> </w:t>
      </w:r>
      <w:r>
        <w:rPr>
          <w:i/>
        </w:rPr>
        <w:t xml:space="preserve">清华大学教育研究</w:t>
      </w:r>
      <w:r>
        <w:t xml:space="preserve">, 44(2), 110–120.</w:t>
      </w:r>
    </w:p>
    <w:p>
      <w:pPr>
        <w:pStyle w:val="BodyText"/>
      </w:pPr>
      <w:r>
        <w:t xml:space="preserve">黄小燕, 沈文钦, 陈洪捷. (2022). 国际流动对科研人员早期职业发展的影响研究.</w:t>
      </w:r>
      <w:r>
        <w:t xml:space="preserve"> </w:t>
      </w:r>
      <w:r>
        <w:rPr>
          <w:i/>
        </w:rPr>
        <w:t xml:space="preserve">高等教育研究</w:t>
      </w:r>
      <w:r>
        <w:t xml:space="preserve">, 43(3), 60–71.</w:t>
      </w:r>
    </w:p>
    <w:p>
      <w:pPr>
        <w:pStyle w:val="BodyText"/>
      </w:pPr>
      <w:r>
        <w:t xml:space="preserve">姜华, 赵世奎, 沈文钦. (2019). 联合培养博士生出国访学收益的影响研究.</w:t>
      </w:r>
      <w:r>
        <w:t xml:space="preserve"> </w:t>
      </w:r>
      <w:r>
        <w:rPr>
          <w:i/>
        </w:rPr>
        <w:t xml:space="preserve">学位与研究生教育</w:t>
      </w:r>
      <w:r>
        <w:t xml:space="preserve">, (11), 56–63.</w:t>
      </w:r>
    </w:p>
    <w:p>
      <w:pPr>
        <w:pStyle w:val="BodyText"/>
      </w:pPr>
      <w:r>
        <w:t xml:space="preserve">李澄锋, 沈文钦, 赵世奎. (2021). 中外联合培养经历对博士生科研能力增值及论文产出的影响——基于</w:t>
      </w:r>
      <w:r>
        <w:t xml:space="preserve">“</w:t>
      </w:r>
      <w:r>
        <w:t xml:space="preserve">全国博士毕业生离校调查</w:t>
      </w:r>
      <w:r>
        <w:t xml:space="preserve">”</w:t>
      </w:r>
      <w:r>
        <w:t xml:space="preserve">数据的分析.</w:t>
      </w:r>
      <w:r>
        <w:t xml:space="preserve"> </w:t>
      </w:r>
      <w:r>
        <w:rPr>
          <w:i/>
        </w:rPr>
        <w:t xml:space="preserve">研究生教育研究</w:t>
      </w:r>
      <w:r>
        <w:t xml:space="preserve">, (3), 45–53.</w:t>
      </w:r>
    </w:p>
    <w:p>
      <w:pPr>
        <w:pStyle w:val="BodyText"/>
      </w:pPr>
      <w:r>
        <w:t xml:space="preserve">李峰. (2018). 海归学者的跨国资本本土化及其效果评价研究.</w:t>
      </w:r>
      <w:r>
        <w:t xml:space="preserve"> </w:t>
      </w:r>
      <w:r>
        <w:rPr>
          <w:i/>
        </w:rPr>
        <w:t xml:space="preserve">华侨华人历史研究</w:t>
      </w:r>
      <w:r>
        <w:t xml:space="preserve">, (2), 26–33.</w:t>
      </w:r>
    </w:p>
    <w:p>
      <w:pPr>
        <w:pStyle w:val="BodyText"/>
      </w:pPr>
      <w:r>
        <w:t xml:space="preserve">李峰, 唐莉. (2019). 海外经历能否加速职业发展：以长江学者为例.</w:t>
      </w:r>
      <w:r>
        <w:t xml:space="preserve"> </w:t>
      </w:r>
      <w:r>
        <w:rPr>
          <w:i/>
        </w:rPr>
        <w:t xml:space="preserve">高等教育研究</w:t>
      </w:r>
      <w:r>
        <w:t xml:space="preserve">, 40(2), 55–63.</w:t>
      </w:r>
    </w:p>
    <w:p>
      <w:pPr>
        <w:pStyle w:val="BodyText"/>
      </w:pPr>
      <w:r>
        <w:t xml:space="preserve">潘虹, 唐莉. (2021). 殊途同归不同效：高层次人才跨国流动影响职业发展的实证研究.</w:t>
      </w:r>
      <w:r>
        <w:t xml:space="preserve"> </w:t>
      </w:r>
      <w:r>
        <w:rPr>
          <w:i/>
        </w:rPr>
        <w:t xml:space="preserve">高等教育研究</w:t>
      </w:r>
      <w:r>
        <w:t xml:space="preserve">, 42(5), 63–73.</w:t>
      </w:r>
    </w:p>
    <w:p>
      <w:pPr>
        <w:pStyle w:val="BodyText"/>
      </w:pPr>
      <w:r>
        <w:t xml:space="preserve">施云燕. (2015). 跨国流动经历对科研人员职业发展的影响分析.</w:t>
      </w:r>
      <w:r>
        <w:t xml:space="preserve"> </w:t>
      </w:r>
      <w:r>
        <w:rPr>
          <w:i/>
        </w:rPr>
        <w:t xml:space="preserve">科学学研究</w:t>
      </w:r>
      <w:r>
        <w:t xml:space="preserve">, 33(12), 1836–1844.</w:t>
      </w:r>
    </w:p>
    <w:p>
      <w:pPr>
        <w:pStyle w:val="BodyText"/>
      </w:pPr>
      <w:r>
        <w:t xml:space="preserve">孙伟, 赵世奎. (2018). 联合培养博士生的留学收益及影响因素分析.</w:t>
      </w:r>
      <w:r>
        <w:t xml:space="preserve"> </w:t>
      </w:r>
      <w:r>
        <w:rPr>
          <w:i/>
        </w:rPr>
        <w:t xml:space="preserve">学位与研究生教育</w:t>
      </w:r>
      <w:r>
        <w:t xml:space="preserve">, (12), 52–58.</w:t>
      </w:r>
    </w:p>
    <w:p>
      <w:pPr>
        <w:pStyle w:val="BodyText"/>
      </w:pPr>
      <w:r>
        <w:t xml:space="preserve">王艳, 赵江南. (2024). 国际流动还能促进博士后学术职业发展吗——基于2023年Nature全球博士后调查的实证分析.</w:t>
      </w:r>
      <w:r>
        <w:t xml:space="preserve"> </w:t>
      </w:r>
      <w:r>
        <w:rPr>
          <w:i/>
        </w:rPr>
        <w:t xml:space="preserve">中国高教研究</w:t>
      </w:r>
      <w:r>
        <w:t xml:space="preserve">, (3), 78–86.</w:t>
      </w:r>
    </w:p>
    <w:p>
      <w:pPr>
        <w:pStyle w:val="BodyText"/>
      </w:pPr>
      <w:r>
        <w:t xml:space="preserve">叶晓梅, 梁文艳. (2019). 海归教师真的优于本土教师吗——来自研究型大学教育学科的证据.</w:t>
      </w:r>
      <w:r>
        <w:t xml:space="preserve"> </w:t>
      </w:r>
      <w:r>
        <w:rPr>
          <w:i/>
        </w:rPr>
        <w:t xml:space="preserve">教育研究</w:t>
      </w:r>
      <w:r>
        <w:t xml:space="preserve">, 40(6), 130–141.</w:t>
      </w:r>
    </w:p>
    <w:p>
      <w:pPr>
        <w:pStyle w:val="BodyText"/>
      </w:pPr>
      <w:r>
        <w:t xml:space="preserve">赵鑫, 朱佳妮. (2025). 从学者到院士：国际科研合作网络中社会资本的流动-桥接机制.</w:t>
      </w:r>
      <w:r>
        <w:t xml:space="preserve"> </w:t>
      </w:r>
      <w:r>
        <w:rPr>
          <w:i/>
        </w:rPr>
        <w:t xml:space="preserve">中国高教研究</w:t>
      </w:r>
      <w:r>
        <w:t xml:space="preserve">, (7), 71–78.</w:t>
      </w:r>
    </w:p>
    <w:p>
      <w:pPr>
        <w:pStyle w:val="BodyText"/>
      </w:pPr>
      <w:r>
        <w:t xml:space="preserve">钟滢. (2023). 学术职业流动性对科研人员职业发展的多维影响.</w:t>
      </w:r>
      <w:r>
        <w:t xml:space="preserve"> </w:t>
      </w:r>
      <w:r>
        <w:rPr>
          <w:i/>
        </w:rPr>
        <w:t xml:space="preserve">科学学研究</w:t>
      </w:r>
      <w:r>
        <w:t xml:space="preserve">, 41(8), 1400–1410.</w:t>
      </w:r>
    </w:p>
    <w:sectPr w:rsidR="00CE4AC5">
      <w:pgSz w:w="11906" w:h="16838"/>
      <w:pgMar w:top="1440" w:right="1800" w:bottom="1440" w:left="1800" w:header="851" w:footer="992" w:gutter="0"/>
      <w:cols w:space="425"/>
      <w:docGrid w:type="lines" w:linePitch="31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170cd2de"/>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000">
    <w:abstractNumId w:val="990"/>
  </w: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spacing w:after="160" w:line="278" w:lineRule="auto"/>
    </w:pPr>
    <w:rPr>
      <w:rFonts w:asciiTheme="minorHAnsi" w:eastAsiaTheme="minorEastAsia" w:hAnsiTheme="minorHAnsi" w:cstheme="minorBidi"/>
      <w:kern w:val="2"/>
      <w:sz w:val="22"/>
      <w:szCs w:val="24"/>
      <w14:ligatures w14:val="standardContextual"/>
    </w:rPr>
  </w:style>
  <w:style w:type="paragraph" w:styleId="1">
    <w:name w:val="heading 1"/>
    <w:basedOn w:val="a"/>
    <w:next w:val="a"/>
    <w:link w:val="10"/>
    <w:uiPriority w:val="9"/>
    <w:qFormat/>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unhideWhenUsed/>
    <w:qFormat/>
  </w:style>
  <w:style w:type="paragraph" w:styleId="a5">
    <w:name w:val="Date"/>
    <w:basedOn w:val="a"/>
    <w:next w:val="a"/>
    <w:link w:val="a6"/>
    <w:uiPriority w:val="99"/>
    <w:semiHidden/>
    <w:unhideWhenUsed/>
    <w:qFormat/>
    <w:pPr>
      <w:ind w:leftChars="2500" w:left="100"/>
    </w:pPr>
  </w:style>
  <w:style w:type="paragraph" w:styleId="a7">
    <w:name w:val="footer"/>
    <w:basedOn w:val="a"/>
    <w:link w:val="a8"/>
    <w:uiPriority w:val="99"/>
    <w:unhideWhenUsed/>
    <w:qFormat/>
    <w:pPr>
      <w:tabs>
        <w:tab w:val="center" w:pos="4153"/>
        <w:tab w:val="right" w:pos="8306"/>
      </w:tabs>
      <w:snapToGrid w:val="0"/>
      <w:spacing w:line="240" w:lineRule="auto"/>
    </w:pPr>
    <w:rPr>
      <w:sz w:val="18"/>
      <w:szCs w:val="18"/>
    </w:rPr>
  </w:style>
  <w:style w:type="paragraph" w:styleId="a9">
    <w:name w:val="header"/>
    <w:basedOn w:val="a"/>
    <w:link w:val="aa"/>
    <w:uiPriority w:val="99"/>
    <w:unhideWhenUsed/>
    <w:qFormat/>
    <w:pPr>
      <w:tabs>
        <w:tab w:val="center" w:pos="4153"/>
        <w:tab w:val="right" w:pos="8306"/>
      </w:tabs>
      <w:snapToGrid w:val="0"/>
      <w:spacing w:line="240" w:lineRule="auto"/>
      <w:jc w:val="center"/>
    </w:pPr>
    <w:rPr>
      <w:sz w:val="18"/>
      <w:szCs w:val="18"/>
    </w:rPr>
  </w:style>
  <w:style w:type="paragraph" w:styleId="ab">
    <w:name w:val="Subtitle"/>
    <w:basedOn w:val="a"/>
    <w:next w:val="a"/>
    <w:link w:val="ac"/>
    <w:uiPriority w:val="11"/>
    <w:qFormat/>
    <w:pPr>
      <w:jc w:val="center"/>
    </w:pPr>
    <w:rPr>
      <w:rFonts w:asciiTheme="majorHAnsi" w:eastAsiaTheme="majorEastAsia" w:hAnsiTheme="majorHAnsi" w:cstheme="majorBidi"/>
      <w:color w:val="595959" w:themeColor="text1" w:themeTint="A6"/>
      <w:spacing w:val="15"/>
      <w:sz w:val="28"/>
      <w:szCs w:val="28"/>
    </w:rPr>
  </w:style>
  <w:style w:type="paragraph" w:styleId="ad">
    <w:name w:val="footnote text"/>
    <w:basedOn w:val="a"/>
    <w:link w:val="ae"/>
    <w:uiPriority w:val="99"/>
    <w:semiHidden/>
    <w:unhideWhenUsed/>
    <w:qFormat/>
    <w:pPr>
      <w:snapToGrid w:val="0"/>
    </w:pPr>
    <w:rPr>
      <w:sz w:val="18"/>
      <w:szCs w:val="18"/>
    </w:rPr>
  </w:style>
  <w:style w:type="paragraph" w:styleId="af">
    <w:name w:val="Title"/>
    <w:basedOn w:val="a"/>
    <w:next w:val="a"/>
    <w:link w:val="af0"/>
    <w:uiPriority w:val="10"/>
    <w:qFormat/>
    <w:pPr>
      <w:spacing w:after="80" w:line="240" w:lineRule="auto"/>
      <w:contextualSpacing/>
      <w:jc w:val="center"/>
    </w:pPr>
    <w:rPr>
      <w:rFonts w:asciiTheme="majorHAnsi" w:eastAsiaTheme="majorEastAsia" w:hAnsiTheme="majorHAnsi" w:cstheme="majorBidi"/>
      <w:spacing w:val="-10"/>
      <w:kern w:val="28"/>
      <w:sz w:val="56"/>
      <w:szCs w:val="56"/>
    </w:rPr>
  </w:style>
  <w:style w:type="paragraph" w:styleId="af1">
    <w:name w:val="annotation subject"/>
    <w:basedOn w:val="a3"/>
    <w:next w:val="a3"/>
    <w:link w:val="af2"/>
    <w:uiPriority w:val="99"/>
    <w:semiHidden/>
    <w:unhideWhenUsed/>
    <w:qFormat/>
    <w:rPr>
      <w:b/>
      <w:bCs/>
    </w:rPr>
  </w:style>
  <w:style w:type="table" w:styleId="af3">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4">
    <w:name w:val="Hyperlink"/>
    <w:basedOn w:val="a0"/>
    <w:uiPriority w:val="99"/>
    <w:unhideWhenUsed/>
    <w:qFormat/>
    <w:rPr>
      <w:color w:val="0563C1" w:themeColor="hyperlink"/>
      <w:u w:val="single"/>
    </w:rPr>
  </w:style>
  <w:style w:type="character" w:styleId="af5">
    <w:name w:val="annotation reference"/>
    <w:basedOn w:val="a0"/>
    <w:uiPriority w:val="99"/>
    <w:semiHidden/>
    <w:unhideWhenUsed/>
    <w:qFormat/>
    <w:rPr>
      <w:sz w:val="21"/>
      <w:szCs w:val="21"/>
    </w:rPr>
  </w:style>
  <w:style w:type="character" w:styleId="af6">
    <w:name w:val="footnote reference"/>
    <w:basedOn w:val="a0"/>
    <w:uiPriority w:val="99"/>
    <w:semiHidden/>
    <w:unhideWhenUsed/>
    <w:qFormat/>
    <w:rPr>
      <w:vertAlign w:val="superscript"/>
    </w:rPr>
  </w:style>
  <w:style w:type="character" w:customStyle="1" w:styleId="10">
    <w:name w:val="标题 1 字符"/>
    <w:basedOn w:val="a0"/>
    <w:link w:val="1"/>
    <w:uiPriority w:val="9"/>
    <w:qFormat/>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qFormat/>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qFormat/>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qFormat/>
    <w:rPr>
      <w:rFonts w:cstheme="majorBidi"/>
      <w:color w:val="2F5496" w:themeColor="accent1" w:themeShade="BF"/>
      <w:sz w:val="28"/>
      <w:szCs w:val="28"/>
    </w:rPr>
  </w:style>
  <w:style w:type="character" w:customStyle="1" w:styleId="50">
    <w:name w:val="标题 5 字符"/>
    <w:basedOn w:val="a0"/>
    <w:link w:val="5"/>
    <w:uiPriority w:val="9"/>
    <w:semiHidden/>
    <w:qFormat/>
    <w:rPr>
      <w:rFonts w:cstheme="majorBidi"/>
      <w:color w:val="2F5496" w:themeColor="accent1" w:themeShade="BF"/>
      <w:sz w:val="24"/>
    </w:rPr>
  </w:style>
  <w:style w:type="character" w:customStyle="1" w:styleId="60">
    <w:name w:val="标题 6 字符"/>
    <w:basedOn w:val="a0"/>
    <w:link w:val="6"/>
    <w:uiPriority w:val="9"/>
    <w:semiHidden/>
    <w:qFormat/>
    <w:rPr>
      <w:rFonts w:cstheme="majorBidi"/>
      <w:b/>
      <w:bCs/>
      <w:color w:val="2F5496" w:themeColor="accent1" w:themeShade="BF"/>
    </w:rPr>
  </w:style>
  <w:style w:type="character" w:customStyle="1" w:styleId="70">
    <w:name w:val="标题 7 字符"/>
    <w:basedOn w:val="a0"/>
    <w:link w:val="7"/>
    <w:uiPriority w:val="9"/>
    <w:semiHidden/>
    <w:qFormat/>
    <w:rPr>
      <w:rFonts w:cstheme="majorBidi"/>
      <w:b/>
      <w:bCs/>
      <w:color w:val="595959" w:themeColor="text1" w:themeTint="A6"/>
    </w:rPr>
  </w:style>
  <w:style w:type="character" w:customStyle="1" w:styleId="80">
    <w:name w:val="标题 8 字符"/>
    <w:basedOn w:val="a0"/>
    <w:link w:val="8"/>
    <w:uiPriority w:val="9"/>
    <w:semiHidden/>
    <w:qFormat/>
    <w:rPr>
      <w:rFonts w:cstheme="majorBidi"/>
      <w:color w:val="595959" w:themeColor="text1" w:themeTint="A6"/>
    </w:rPr>
  </w:style>
  <w:style w:type="character" w:customStyle="1" w:styleId="90">
    <w:name w:val="标题 9 字符"/>
    <w:basedOn w:val="a0"/>
    <w:link w:val="9"/>
    <w:uiPriority w:val="9"/>
    <w:semiHidden/>
    <w:qFormat/>
    <w:rPr>
      <w:rFonts w:eastAsiaTheme="majorEastAsia" w:cstheme="majorBidi"/>
      <w:color w:val="595959" w:themeColor="text1" w:themeTint="A6"/>
    </w:rPr>
  </w:style>
  <w:style w:type="character" w:customStyle="1" w:styleId="af0">
    <w:name w:val="标题 字符"/>
    <w:basedOn w:val="a0"/>
    <w:link w:val="af"/>
    <w:uiPriority w:val="10"/>
    <w:qFormat/>
    <w:rPr>
      <w:rFonts w:asciiTheme="majorHAnsi" w:eastAsiaTheme="majorEastAsia" w:hAnsiTheme="majorHAnsi" w:cstheme="majorBidi"/>
      <w:spacing w:val="-10"/>
      <w:kern w:val="28"/>
      <w:sz w:val="56"/>
      <w:szCs w:val="56"/>
    </w:rPr>
  </w:style>
  <w:style w:type="character" w:customStyle="1" w:styleId="ac">
    <w:name w:val="副标题 字符"/>
    <w:basedOn w:val="a0"/>
    <w:link w:val="ab"/>
    <w:uiPriority w:val="11"/>
    <w:qFormat/>
    <w:rPr>
      <w:rFonts w:asciiTheme="majorHAnsi" w:eastAsiaTheme="majorEastAsia" w:hAnsiTheme="majorHAnsi" w:cstheme="majorBidi"/>
      <w:color w:val="595959" w:themeColor="text1" w:themeTint="A6"/>
      <w:spacing w:val="15"/>
      <w:sz w:val="28"/>
      <w:szCs w:val="28"/>
    </w:rPr>
  </w:style>
  <w:style w:type="paragraph" w:styleId="af7">
    <w:name w:val="Quote"/>
    <w:basedOn w:val="a"/>
    <w:next w:val="a"/>
    <w:link w:val="af8"/>
    <w:uiPriority w:val="29"/>
    <w:qFormat/>
    <w:pPr>
      <w:spacing w:before="160"/>
      <w:jc w:val="center"/>
    </w:pPr>
    <w:rPr>
      <w:i/>
      <w:iCs/>
      <w:color w:val="404040" w:themeColor="text1" w:themeTint="BF"/>
    </w:rPr>
  </w:style>
  <w:style w:type="character" w:customStyle="1" w:styleId="af8">
    <w:name w:val="引用 字符"/>
    <w:basedOn w:val="a0"/>
    <w:link w:val="af7"/>
    <w:uiPriority w:val="29"/>
    <w:qFormat/>
    <w:rPr>
      <w:i/>
      <w:iCs/>
      <w:color w:val="404040" w:themeColor="text1" w:themeTint="BF"/>
    </w:rPr>
  </w:style>
  <w:style w:type="paragraph" w:styleId="af9">
    <w:name w:val="List Paragraph"/>
    <w:basedOn w:val="a"/>
    <w:uiPriority w:val="34"/>
    <w:qFormat/>
    <w:pPr>
      <w:ind w:left="720"/>
      <w:contextualSpacing/>
    </w:pPr>
  </w:style>
  <w:style w:type="character" w:customStyle="1" w:styleId="11">
    <w:name w:val="明显强调1"/>
    <w:basedOn w:val="a0"/>
    <w:uiPriority w:val="21"/>
    <w:qFormat/>
    <w:rPr>
      <w:i/>
      <w:iCs/>
      <w:color w:val="2F5496" w:themeColor="accent1" w:themeShade="BF"/>
    </w:rPr>
  </w:style>
  <w:style w:type="paragraph" w:styleId="afa">
    <w:name w:val="Intense Quote"/>
    <w:basedOn w:val="a"/>
    <w:next w:val="a"/>
    <w:link w:val="afb"/>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fb">
    <w:name w:val="明显引用 字符"/>
    <w:basedOn w:val="a0"/>
    <w:link w:val="afa"/>
    <w:uiPriority w:val="30"/>
    <w:qFormat/>
    <w:rPr>
      <w:i/>
      <w:iCs/>
      <w:color w:val="2F5496" w:themeColor="accent1" w:themeShade="BF"/>
    </w:rPr>
  </w:style>
  <w:style w:type="character" w:customStyle="1" w:styleId="12">
    <w:name w:val="明显参考1"/>
    <w:basedOn w:val="a0"/>
    <w:uiPriority w:val="32"/>
    <w:qFormat/>
    <w:rPr>
      <w:b/>
      <w:bCs/>
      <w:smallCaps/>
      <w:color w:val="2F5496" w:themeColor="accent1" w:themeShade="BF"/>
      <w:spacing w:val="5"/>
    </w:rPr>
  </w:style>
  <w:style w:type="character" w:customStyle="1" w:styleId="aa">
    <w:name w:val="页眉 字符"/>
    <w:basedOn w:val="a0"/>
    <w:link w:val="a9"/>
    <w:uiPriority w:val="99"/>
    <w:qFormat/>
    <w:rPr>
      <w:sz w:val="18"/>
      <w:szCs w:val="18"/>
    </w:rPr>
  </w:style>
  <w:style w:type="character" w:customStyle="1" w:styleId="a8">
    <w:name w:val="页脚 字符"/>
    <w:basedOn w:val="a0"/>
    <w:link w:val="a7"/>
    <w:uiPriority w:val="99"/>
    <w:qFormat/>
    <w:rPr>
      <w:sz w:val="18"/>
      <w:szCs w:val="18"/>
    </w:rPr>
  </w:style>
  <w:style w:type="character" w:customStyle="1" w:styleId="a6">
    <w:name w:val="日期 字符"/>
    <w:basedOn w:val="a0"/>
    <w:link w:val="a5"/>
    <w:uiPriority w:val="99"/>
    <w:semiHidden/>
    <w:qFormat/>
  </w:style>
  <w:style w:type="character" w:customStyle="1" w:styleId="ae">
    <w:name w:val="脚注文本 字符"/>
    <w:basedOn w:val="a0"/>
    <w:link w:val="ad"/>
    <w:uiPriority w:val="99"/>
    <w:semiHidden/>
    <w:qFormat/>
    <w:rPr>
      <w:sz w:val="18"/>
      <w:szCs w:val="18"/>
    </w:rPr>
  </w:style>
  <w:style w:type="paragraph" w:customStyle="1" w:styleId="EndNoteBibliographyTitle">
    <w:name w:val="EndNote Bibliography Title"/>
    <w:basedOn w:val="a"/>
    <w:link w:val="EndNoteBibliographyTitle0"/>
    <w:qFormat/>
    <w:pPr>
      <w:spacing w:after="0"/>
      <w:jc w:val="center"/>
    </w:pPr>
    <w:rPr>
      <w:rFonts w:ascii="等线" w:eastAsia="等线" w:hAnsi="等线"/>
    </w:rPr>
  </w:style>
  <w:style w:type="character" w:customStyle="1" w:styleId="EndNoteBibliographyTitle0">
    <w:name w:val="EndNote Bibliography Title 字符"/>
    <w:basedOn w:val="ae"/>
    <w:link w:val="EndNoteBibliographyTitle"/>
    <w:qFormat/>
    <w:rPr>
      <w:rFonts w:ascii="等线" w:eastAsia="等线" w:hAnsi="等线"/>
      <w:sz w:val="18"/>
      <w:szCs w:val="18"/>
    </w:rPr>
  </w:style>
  <w:style w:type="paragraph" w:customStyle="1" w:styleId="EndNoteBibliography">
    <w:name w:val="EndNote Bibliography"/>
    <w:basedOn w:val="a"/>
    <w:link w:val="EndNoteBibliography0"/>
    <w:qFormat/>
    <w:pPr>
      <w:spacing w:line="240" w:lineRule="auto"/>
    </w:pPr>
    <w:rPr>
      <w:rFonts w:ascii="等线" w:eastAsia="等线" w:hAnsi="等线"/>
    </w:rPr>
  </w:style>
  <w:style w:type="character" w:customStyle="1" w:styleId="EndNoteBibliography0">
    <w:name w:val="EndNote Bibliography 字符"/>
    <w:basedOn w:val="ae"/>
    <w:link w:val="EndNoteBibliography"/>
    <w:qFormat/>
    <w:rPr>
      <w:rFonts w:ascii="等线" w:eastAsia="等线" w:hAnsi="等线"/>
      <w:sz w:val="18"/>
      <w:szCs w:val="18"/>
    </w:rPr>
  </w:style>
  <w:style w:type="character" w:customStyle="1" w:styleId="a4">
    <w:name w:val="批注文字 字符"/>
    <w:basedOn w:val="a0"/>
    <w:link w:val="a3"/>
    <w:uiPriority w:val="99"/>
    <w:qFormat/>
  </w:style>
  <w:style w:type="character" w:customStyle="1" w:styleId="af2">
    <w:name w:val="批注主题 字符"/>
    <w:basedOn w:val="a4"/>
    <w:link w:val="af1"/>
    <w:uiPriority w:val="99"/>
    <w:semiHidden/>
    <w:qFormat/>
    <w:rPr>
      <w:b/>
      <w:bCs/>
    </w:rPr>
  </w:style>
  <w:style w:type="table" w:customStyle="1" w:styleId="afc">
    <w:name w:val="三线表"/>
    <w:basedOn w:val="a1"/>
    <w:uiPriority w:val="99"/>
    <w:qFormat/>
    <w:rPr>
      <w:sz w:val="21"/>
    </w:rPr>
    <w:tblPr>
      <w:tblBorders>
        <w:top w:val="single" w:sz="12" w:space="0" w:color="auto"/>
        <w:bottom w:val="single" w:sz="12" w:space="0" w:color="auto"/>
      </w:tblBorders>
    </w:tblPr>
    <w:tblStylePr w:type="firstRow">
      <w:pPr>
        <w:wordWrap/>
        <w:spacing w:line="360" w:lineRule="exact"/>
        <w:jc w:val="center"/>
      </w:pPr>
      <w:rPr>
        <w:rFonts w:ascii="Times New Roman" w:eastAsia="宋体" w:hAnsi="Times New Roman"/>
        <w:b w:val="0"/>
        <w:i w:val="0"/>
        <w:sz w:val="21"/>
      </w:rPr>
      <w:tblPr/>
      <w:tcPr>
        <w:tcBorders>
          <w:top w:val="single" w:sz="12" w:space="0" w:color="auto"/>
          <w:left w:val="nil"/>
          <w:bottom w:val="single" w:sz="6" w:space="0" w:color="auto"/>
          <w:right w:val="nil"/>
          <w:insideH w:val="nil"/>
          <w:insideV w:val="nil"/>
          <w:tl2br w:val="nil"/>
          <w:tr2bl w:val="nil"/>
        </w:tcBorders>
      </w:tcPr>
    </w:tblStylePr>
  </w:style>
  <w:style w:type="character" w:customStyle="1" w:styleId="13">
    <w:name w:val="未处理的提及1"/>
    <w:basedOn w:val="a0"/>
    <w:uiPriority w:val="99"/>
    <w:semiHidden/>
    <w:unhideWhenUsed/>
    <w:qFormat/>
    <w:rPr>
      <w:color w:val="605E5C"/>
      <w:shd w:val="clear" w:color="auto" w:fill="E1DFDD"/>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comments.xml.rels><?xml version="1.0" encoding="UTF-8" standalone="yes"?>
<Relationships xmlns="http://schemas.openxmlformats.org/package/2006/relationships"><Relationship Id="rId1" Type="http://schemas.openxmlformats.org/officeDocument/2006/relationships/hyperlink" Target="https://www.csc.edu.cn/about" TargetMode="External"/></Relationship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11994</TotalTime>
  <Pages>70</Pages>
  <Words>11492</Words>
  <Characters>65508</Characters>
  <Application>Microsoft Office Word</Application>
  <DocSecurity>0</DocSecurity>
  <Lines>545</Lines>
  <Paragraphs>153</Paragraphs>
  <ScaleCrop>false</ScaleCrop>
  <Company/>
  <LinksUpToDate>false</LinksUpToDate>
  <CharactersWithSpaces>76847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2026-03-24T06:40:09Z</dcterms:created>
  <dcterms:modified xsi:type="dcterms:W3CDTF">2026-03-24T06:40:09Z</dcterms:modified>
</cp:coreProperties>
</file>

<file path=docProps/custom.xml><?xml version="1.0" encoding="utf-8"?>
<Properties xmlns="http://schemas.openxmlformats.org/officeDocument/2006/custom-properties" xmlns:vt="http://schemas.openxmlformats.org/officeDocument/2006/docPropsVTypes"/>
</file>