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bookmarkStart w:id="20" w:name="摘要"/>
      <w:r>
        <w:t xml:space="preserve">摘要</w:t>
      </w:r>
      <w:bookmarkEnd w:id="20"/>
    </w:p>
    <w:p>
      <w:pPr>
        <w:pStyle w:val="FirstParagraph"/>
      </w:pPr>
      <w:r>
        <w:t xml:space="preserve">在全球科学体系日益联结的背景下，国际学术流动已成为科研人员学术成长与职业发展的重要途径。然而，现有研究多以宏观层面的量化指标评估流动效应，对科研人员在流动过程中究竟积累了哪些学术资源、这些资源如何在后续职业发展中发挥作用等微观机制问题关注不足。本研究以国家留学基金委（CSC）资助的博士研究生为研究对象，采用深度访谈与扎根理论相结合的质性研究方法，对22位具有国际流动经历的归国科研人员进行了半结构化访谈，系统考察国际学术流动对科研人员早期学术资本积累与职业发展的影响。</w:t>
      </w:r>
    </w:p>
    <w:p>
      <w:pPr>
        <w:pStyle w:val="BodyText"/>
      </w:pPr>
      <w:r>
        <w:t xml:space="preserve">研究发现：第一，博士生在国际学术流动过程中主要积累了文化资本、社会资本、象征资本和心理资本四类学术资本。其中，文化资本包括具身化文化资本（学术技能提升、学术认知拓展、学术思维拓展、学术规范与经验内化）和客观化文化资本（产出型与使用型）；社会资本包括强关系网络（师生关系、同门关系、同胞关系）和弱关系网络（学术会议结识、社群活动结识、偶然结识）；象征资本主要体现为留学身份声望与关联性声望；心理资本主要体现为正确科研观构建、自我效能感、韧性与乐观。四类学术资本在流动过程中呈现出相互促进、动态转化的关系。第二，留学环境特征（语言环境、机构特征、导师特征）、个人特征（目标明确性、主动性、学科背景）与流动时长共同影响学术资本积累，留学环境特征与个人特征的作用效果受到流动时长的调节。第三，四类学术资本在初职获得、职称晋升、项目申请和机会拓展等职业发展环节中发挥了差异化的作用：文化资本在多个环节中均发挥基础性作用，社会资本在初职获得和机会拓展中尤为重要，象征资本在职称晋升和项目申请中发挥制度性作用，心理资本对职业方向选择产生关键影响。基于上述发现，本研究构建了</w:t>
      </w:r>
      <w:r>
        <w:t xml:space="preserve">“</w:t>
      </w:r>
      <w:r>
        <w:t xml:space="preserve">国际流动特征——学术资本积累——职业发展</w:t>
      </w:r>
      <w:r>
        <w:t xml:space="preserve">”</w:t>
      </w:r>
      <w:r>
        <w:t xml:space="preserve">的理论模型，揭示了国际学术流动影响科研人员早期职业发展的过程与内在逻辑。</w:t>
      </w:r>
    </w:p>
    <w:p>
      <w:pPr>
        <w:pStyle w:val="BodyText"/>
      </w:pPr>
      <w:r>
        <w:t xml:space="preserve">本研究的理论贡献在于：构建了涵盖文化资本、社会资本、象征资本与心理资本的学术资本分析框架，拓展了布迪厄资本理论在国际学术流动情境下的适用性；明晰了国际流动特征对学术资本积累的影响机制；揭示了不同类型学术资本对科研人员早期职业发展的差异化作用路径。本研究为CSC资助政策的优化、博士生国际流动规划以及高校人才培养实践提供了实证参考。</w:t>
      </w:r>
    </w:p>
    <w:p>
      <w:pPr>
        <w:pStyle w:val="BodyText"/>
      </w:pPr>
      <w:r>
        <w:rPr>
          <w:b/>
        </w:rPr>
        <w:t xml:space="preserve">关键词：</w:t>
      </w:r>
      <w:r>
        <w:t xml:space="preserve"> </w:t>
      </w:r>
      <w:r>
        <w:t xml:space="preserve">国际学术流动；学术资本；职业发展；博士研究生；国家留学基金委；扎根理论</w:t>
      </w:r>
    </w:p>
    <w:p>
      <w:r>
        <w:pict>
          <v:rect style="width:0;height:1.5pt" o:hralign="center" o:hrstd="t" o:hr="t"/>
        </w:pict>
      </w:r>
    </w:p>
    <w:p>
      <w:pPr>
        <w:pStyle w:val="1"/>
      </w:pPr>
      <w:bookmarkStart w:id="21" w:name="abstract"/>
      <w:r>
        <w:t xml:space="preserve">Abstract</w:t>
      </w:r>
      <w:bookmarkEnd w:id="21"/>
    </w:p>
    <w:p>
      <w:pPr>
        <w:pStyle w:val="FirstParagraph"/>
      </w:pPr>
      <w:r>
        <w:t xml:space="preserve">Against the backdrop of an increasingly interconnected global scientific system, international academic mobility has become a vital pathway for researchers’ scholarly growth and career development. However, existing studies predominantly rely on macro-level quantitative indicators to assess the effects of mobility, paying insufficient attention to the micro-level mechanisms through which researchers accumulate academic resources during their mobility experience and how these resources subsequently contribute to career advancement. This study focuses on doctoral students funded by the China Scholarship Council (CSC), employing a qualitative research approach that combines in-depth interviews with grounded theory methodology. Semi-structured interviews were conducted with 22 returned researchers who had international mobility experience, systematically examining the impact of international academic mobility on early-career academic capital accumulation and career development.</w:t>
      </w:r>
    </w:p>
    <w:p>
      <w:pPr>
        <w:pStyle w:val="BodyText"/>
      </w:pPr>
      <w:r>
        <w:t xml:space="preserve">The study yields three main findings. First, doctoral students primarily accumulated four types of academic capital during international academic mobility: cultural capital, social capital, symbolic capital, and psychological capital. Cultural capital encompasses embodied cultural capital (enhancement of academic skills, expansion of academic cognition, broadening of academic thinking, and internalization of academic norms and experience) and objectified cultural capital (output-oriented and usage-oriented). Social capital includes strong-tie networks (advisor-student relationships, peer relationships within research groups, and compatriot relationships) and weak-tie networks (connections through academic conferences, community activities, and serendipitous encounters). Symbolic capital is mainly manifested as prestige derived from study-abroad identity and associative prestige linked to advisors and institutions. Psychological capital is primarily reflected in the construction of sound research values, self-efficacy, resilience, and optimism. These four types of academic capital exhibit mutually reinforcing and dynamically transformative relationships throughout the mobility process. Second, the characteristics of the study-abroad environment (language environment, institutional features, and advisor characteristics), personal attributes (goal clarity, proactiveness, and disciplinary background), and the duration of mobility jointly influence academic capital accumulation, with the effects of environmental and personal factors being moderated by mobility duration. Third, the four types of academic capital play differentiated roles across various stages of career development, including initial job attainment, promotion, research grant applications, and opportunity expansion. Cultural capital serves as a foundational resource across multiple stages; social capital is particularly significant for initial employment and opportunity expansion; symbolic capital plays an institutional role in promotion and grant applications; and psychological capital exerts a critical influence on career direction decisions. Based on these findings, this study constructs a theoretical model of</w:t>
      </w:r>
      <w:r>
        <w:t xml:space="preserve"> </w:t>
      </w:r>
      <w:r>
        <w:t xml:space="preserve">“</w:t>
      </w:r>
      <w:r>
        <w:t xml:space="preserve">international mobility characteristics — academic capital accumulation — career development,</w:t>
      </w:r>
      <w:r>
        <w:t xml:space="preserve">”</w:t>
      </w:r>
      <w:r>
        <w:t xml:space="preserve"> </w:t>
      </w:r>
      <w:r>
        <w:t xml:space="preserve">revealing the process and internal logic through which international academic mobility shapes early-career development of researchers.</w:t>
      </w:r>
    </w:p>
    <w:p>
      <w:pPr>
        <w:pStyle w:val="BodyText"/>
      </w:pPr>
      <w:r>
        <w:t xml:space="preserve">The theoretical contributions of this study include: constructing an analytical framework of academic capital encompassing cultural, social, symbolic, and psychological capital, thereby extending the applicability of Bourdieu’s capital theory to the context of international academic mobility; elucidating the mechanisms through which international mobility characteristics influence academic capital accumulation; and uncovering the differentiated pathways through which different types of academic capital affect early-career development. This study provides empirical references for optimizing CSC funding policies, planning doctoral students’ international mobility, and improving talent cultivation practices in higher education institutions.</w:t>
      </w:r>
    </w:p>
    <w:p>
      <w:pPr>
        <w:pStyle w:val="BodyText"/>
      </w:pPr>
      <w:r>
        <w:rPr>
          <w:b/>
        </w:rPr>
        <w:t xml:space="preserve">Keywords:</w:t>
      </w:r>
      <w:r>
        <w:t xml:space="preserve"> </w:t>
      </w:r>
      <w:r>
        <w:t xml:space="preserve">International academic mobility; Academic capital; Career development; Doctoral students; China Scholarship Council; Grounded theory</w:t>
      </w:r>
    </w:p>
    <w:sectPr w:rsidR="00CE4AC5">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2026-03-24T03:47:25Z</dcterms:created>
  <dcterms:modified xsi:type="dcterms:W3CDTF">2026-03-24T03:47:25Z</dcterms:modified>
</cp:coreProperties>
</file>

<file path=docProps/custom.xml><?xml version="1.0" encoding="utf-8"?>
<Properties xmlns="http://schemas.openxmlformats.org/officeDocument/2006/custom-properties" xmlns:vt="http://schemas.openxmlformats.org/officeDocument/2006/docPropsVTypes"/>
</file>