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2"/>
      </w:pPr>
      <w:bookmarkStart w:id="20" w:name="文献综述"/>
      <w:r>
        <w:t xml:space="preserve">2.3 文献综述</w:t>
      </w:r>
      <w:bookmarkEnd w:id="20"/>
    </w:p>
    <w:p>
      <w:pPr>
        <w:pStyle w:val="FirstParagraph"/>
      </w:pPr>
      <w:r>
        <w:t xml:space="preserve">国际学术流动对科研人员发展的影响是近年来高等教育研究的重要议题。随着全球化进程的加速和各国科技政策对国际化的日益重视，大量实证研究从不同国家情境、研究对象和方法路径出发，考察了国际流动在学术资源与能力积累、科学生产力以及职业发展等方面的效应。本节围绕上述三个维度，对既有研究的主要发现、研究之间的分歧以及影响效应的条件因素进行系统梳理与述评。</w:t>
      </w:r>
    </w:p>
    <w:p>
      <w:pPr>
        <w:pStyle w:val="3"/>
      </w:pPr>
      <w:bookmarkStart w:id="21" w:name="国际流动与学术资源及能力积累"/>
      <w:r>
        <w:t xml:space="preserve">2.3.1 国际流动与学术资源及能力积累</w:t>
      </w:r>
      <w:bookmarkEnd w:id="21"/>
    </w:p>
    <w:p>
      <w:pPr>
        <w:pStyle w:val="FirstParagraph"/>
      </w:pPr>
      <w:r>
        <w:t xml:space="preserve">国际学术流动对科研人员学术资源与能力积累的影响，是该领域最早受到关注、研究成果也最为丰富的主题之一。现有文献主要围绕学术合作网络拓展、知识与能力积累以及学术声誉建构三个方面展开。</w:t>
      </w:r>
    </w:p>
    <w:p>
      <w:pPr>
        <w:pStyle w:val="BodyText"/>
      </w:pPr>
      <w:r>
        <w:rPr>
          <w:b/>
        </w:rPr>
        <w:t xml:space="preserve">（一）学术合作网络拓展</w:t>
      </w:r>
    </w:p>
    <w:p>
      <w:pPr>
        <w:pStyle w:val="BodyText"/>
      </w:pPr>
      <w:r>
        <w:t xml:space="preserve">在学术合作网络方面，大多数研究得出了较为一致的积极结论。Netz等人对96项实证研究的系统综述发现，约85%的研究证实国际流动能够显著促进科研人员国际学术网络的拓展（Netz et al., 2020）。在因果推断层面，多项研究提供了更为严格的证据支持。Gu等人运用PSM-DID方法分析CSC资助项目的效果，发现国际流动能够显著增加合作者数量并提升合作产出（Gu et al., 2022）。Hottenrott和Lawson基于大规模文献计量数据的分析表明，具有国际流动经历的学者在合著网络的地理多样性方面显著高于非流动学者，且较长的海外停留时间能够产生更为持久的国际合作关系（Hottenrott &amp; Lawson, 2017）。从网络结构的角度来看，Momeni等人的研究发现流动学者在合著网络中占据更高的度中心性和接近中心性，但聚类系数较低，这意味着他们在不同学术社群之间发挥着</w:t>
      </w:r>
      <w:r>
        <w:t xml:space="preserve">“</w:t>
      </w:r>
      <w:r>
        <w:t xml:space="preserve">桥梁</w:t>
      </w:r>
      <w:r>
        <w:t xml:space="preserve">”</w:t>
      </w:r>
      <w:r>
        <w:t xml:space="preserve">角色，连接了原本缺乏联系的研究群体（Momeni et al., 2022）。Horta等人针对博士生群体的研究也表明，博士阶段的国际流动经历能够显著拓展其国际合作网络，且这种早期建立的跨国联系会持续影响其后续职业生涯中的合作模式（Horta et al., 2010）。</w:t>
      </w:r>
    </w:p>
    <w:p>
      <w:pPr>
        <w:pStyle w:val="BodyText"/>
      </w:pPr>
      <w:r>
        <w:t xml:space="preserve">然而，流动对学术网络的影响并非一致正向。部分研究指出，国际流动在拓展新网络的同时，可能伴随母国学术关系的弱化。Bauder对加拿大和德国流动学者的比较研究发现，在德国学术体制下，长期海外流动常导致母国学术网络的流失（Bauder, 2015）。Wang等人对中国博士后群体的研究揭示了一个更为复杂的图景：博士后在国际流动过程中需要在拓展海外网络与维护国内关系之间寻求平衡，部分研究者因长期缺席而逐渐丧失了原有的国内学术联系（Wang et al., 2023）。陈丽媛等人以四所</w:t>
      </w:r>
      <w:r>
        <w:t xml:space="preserve">“</w:t>
      </w:r>
      <w:r>
        <w:t xml:space="preserve">双一流</w:t>
      </w:r>
      <w:r>
        <w:t xml:space="preserve">”</w:t>
      </w:r>
      <w:r>
        <w:t xml:space="preserve">高校经济学科为例的研究也发现，国际流动在促进国际合作的同时，对国内合作网络存在一定的替代效应（陈丽媛等，2023）。</w:t>
      </w:r>
    </w:p>
    <w:p>
      <w:pPr>
        <w:pStyle w:val="BodyText"/>
      </w:pPr>
      <w:r>
        <w:t xml:space="preserve">上述分歧在一定程度上可以从流动时长、合作持续性和制度环境的差异中得到解释。在流动时长方面，潘虹和唐莉发现长期海外工作反而不利于学术资源的积累，而短期访学与攻读学位的效果也不尽相同（潘虹、唐莉，2021）。在合作持续性方面，Bu等人指出持续合作的效果因学科性质和团队规模而异，并非时间越长效果越好（Bu et al., 2017）。制度环境的差异也是重要的调节因素。在制度层面高度重视国际经历的学术体系中，流动学者更容易将海外建立的联系转化为实质性合作；而在强调机构忠诚或本土网络的体系中，流动带来的网络拓展效果则可能被削弱。此外，学科背景也影响着网络拓展的方式和程度：Momeni等人发现，物理科学和生命科学领域的研究人员国际流动比例最高，社会科学最低，且社会科学学者倾向于在较晚的职业阶段才进行流动（Momeni et al., 2022），这一差异暗示不同学科的合作传统和知识生产模式会显著影响流动效应的实现路径。</w:t>
      </w:r>
    </w:p>
    <w:p>
      <w:pPr>
        <w:pStyle w:val="BodyText"/>
      </w:pPr>
      <w:r>
        <w:rPr>
          <w:b/>
        </w:rPr>
        <w:t xml:space="preserve">（二）知识与能力积累</w:t>
      </w:r>
    </w:p>
    <w:p>
      <w:pPr>
        <w:pStyle w:val="BodyText"/>
      </w:pPr>
      <w:r>
        <w:t xml:space="preserve">在知识与能力积累方面，相关研究经历了从关注显性成果到重视隐性收获的转向。早期研究多聚焦于可测量的能力指标，近年来则越来越多地关注国际流动过程中难以量化但具有长远影响的内在成长。</w:t>
      </w:r>
    </w:p>
    <w:p>
      <w:pPr>
        <w:pStyle w:val="BodyText"/>
      </w:pPr>
      <w:r>
        <w:t xml:space="preserve">现有部分研究从知识类型化的视角揭示了国际流动的多层次影响。Coey对欧洲社会科学与人文学科博士毕业生的访谈研究，识别出国际流动所产生的三种知识成果——显性知识、隐性知识实践与世界主义身份发展，并指出隐性知识具有情境依赖性，必须深入海外学术环境方能获得（Coey, 2013）。Aman运用词汇分析方法追踪流动学者的知识传播轨迹，发现国际流动科学家在返回母国后成为知识传递者，其发表论文的词汇特征反映出他们将海外学术环境中习得的概念和方法融入了后续研究（Aman, 2022）。两项综述研究为上述发现提供了系统支撑：Netz等人发现国际流动能够提升外语水平、技术方法能力与跨文化协作能力（Netz et al., 2020）；Shen等人基于《Higher Education》期刊的系统分析进一步证实，国际流动同时促进了显性知识与隐性知识的积累（Shen et al., 2018）。</w:t>
      </w:r>
    </w:p>
    <w:p>
      <w:pPr>
        <w:pStyle w:val="BodyText"/>
      </w:pPr>
      <w:r>
        <w:t xml:space="preserve">另一些研究关注了国际流动对跨文化能力的影响。Hanley和Chankseliani基于全球范围的大规模调查发现，国际流动经历与跨文化能力的提升之间存在正向关联，但这种关联并非自动发生，而是受到流动深度和参与方式的调节（Hanley &amp; Chankseliani, 2025）。Courtois和O’Keefe基于爱尔兰学术界的访谈研究发现，国际流动经历使学者在跨文化沟通、理解不同学术传统等方面表现出更高的自我评价，但这种收益的转化高度依赖于接收场域的制度认可（Courtois &amp; O’Keefe, 2024）。这些研究表明，能力积累不仅局限于专业技术维度，还延伸到交流方式、思维习惯等更为深层的认知层面。</w:t>
      </w:r>
    </w:p>
    <w:p>
      <w:pPr>
        <w:pStyle w:val="BodyText"/>
      </w:pPr>
      <w:r>
        <w:t xml:space="preserve">国内学者多基于特定院校或特定项目的数据展开实证研究，发现了类似的积极效应。孙伟和赵世奎基于联合培养博士生的调查数据分析发现，博士生在海外访学期间能够吸收前沿知识、提升科研方法与技能、拓宽学术视野（孙伟、赵世奎，2018）。姜华等人的研究进一步发现，导师指导质量、留学机构学术资源和个人主动性是影响访学收益的关键因素（姜华等，2019）。然而，并非所有研究都得出了乐观的结论。李澄锋等人运用线性回归方法，基于</w:t>
      </w:r>
      <w:r>
        <w:t xml:space="preserve">“</w:t>
      </w:r>
      <w:r>
        <w:t xml:space="preserve">全国博士毕业生离校调查</w:t>
      </w:r>
      <w:r>
        <w:t xml:space="preserve">”</w:t>
      </w:r>
      <w:r>
        <w:t xml:space="preserve">数据分析发现，CSC资助的联合培养博士生与未参与留学的博士生在科研能力增值方面并无显著差异（李澄锋等，2021）。</w:t>
      </w:r>
    </w:p>
    <w:p>
      <w:pPr>
        <w:pStyle w:val="BodyText"/>
      </w:pPr>
      <w:r>
        <w:t xml:space="preserve">这一看似矛盾的结果实际上揭示了一个重要问题：国际流动对能力积累的影响可能取决于一系列中介条件，而非自动发生。从流动时长来看，短期访学可能难以实现深度的知识吸收和能力转化；从嵌入深度来看，是否实质性地参与海外导师的研究项目、是否与当地学术社群建立有意义的联系，都会影响收益的大小；从学科特性来看，理工科领域的实验技能和仪器操作可能更需要在特定环境中习得，而人文社科领域的知识积累则更多依赖于文献资源和学术交流的深度。从方法论角度来看，该领域以定性访谈和问卷调查为主，科研能力多通过主观自评测度，缺乏对能力形成过程更为细致的追踪分析。</w:t>
      </w:r>
    </w:p>
    <w:p>
      <w:pPr>
        <w:pStyle w:val="BodyText"/>
      </w:pPr>
      <w:r>
        <w:rPr>
          <w:b/>
        </w:rPr>
        <w:t xml:space="preserve">（三）学术声誉建构</w:t>
      </w:r>
    </w:p>
    <w:p>
      <w:pPr>
        <w:pStyle w:val="BodyText"/>
      </w:pPr>
      <w:r>
        <w:t xml:space="preserve">在学术声誉方面，现有文献主要从制度性认可和学术产出质量两个层面展开。在制度性认可层面，多项研究发现国际流动经历本身即具有声誉信号功能。Bauder提出</w:t>
      </w:r>
      <w:r>
        <w:t xml:space="preserve">“</w:t>
      </w:r>
      <w:r>
        <w:t xml:space="preserve">流动拜物教</w:t>
      </w:r>
      <w:r>
        <w:t xml:space="preserve">”</w:t>
      </w:r>
      <w:r>
        <w:t xml:space="preserve">（mobility fetishism）的概念，指出在当代学术评价体系中，国际流动经验已被视为衡量学术卓越性的一项重要指标，无论其实际效果如何（Bauder, 2015）。Leung对中国赴德学者的访谈发现，海外经历被学术劳动力市场视为一种</w:t>
      </w:r>
      <w:r>
        <w:t xml:space="preserve">“</w:t>
      </w:r>
      <w:r>
        <w:t xml:space="preserve">区分标志</w:t>
      </w:r>
      <w:r>
        <w:t xml:space="preserve">”</w:t>
      </w:r>
      <w:r>
        <w:t xml:space="preserve">，其声誉价值随接收机构声望的提升而增强（Leung, 2012）。Hu和Cairns对在挪威留学的中国学生的追踪研究进一步证实，</w:t>
      </w:r>
      <w:r>
        <w:t xml:space="preserve">“</w:t>
      </w:r>
      <w:r>
        <w:t xml:space="preserve">流动资本</w:t>
      </w:r>
      <w:r>
        <w:t xml:space="preserve">”</w:t>
      </w:r>
      <w:r>
        <w:t xml:space="preserve">（mobility capital）在求职过程中具有积极的信号效应，但这种效应高度依赖于流动目的地在国际学术等级体系中的位置（Hu &amp; Cairns, 2017）。</w:t>
      </w:r>
    </w:p>
    <w:p>
      <w:pPr>
        <w:pStyle w:val="BodyText"/>
      </w:pPr>
      <w:r>
        <w:t xml:space="preserve">在学术产出质量层面，部分研究表明国际流动能够通过提升发表质量间接促进声誉积累。然而，声誉效应的实现并非取决于流动经历本身，而是取决于流动经历与接收场域之间的匹配关系。Meng和Shen对日本培养的中国博士群体的研究发现，学术声誉的实际转化受到国内学术评价体系的深刻影响，部分留学经历在国内学术市场中并未获得预期的认可（Meng &amp; Shen, 2023）。这些研究提示，声誉的生成是流动经历与特定社会情境互动的结果，而非一种自动附加的</w:t>
      </w:r>
      <w:r>
        <w:t xml:space="preserve">“</w:t>
      </w:r>
      <w:r>
        <w:t xml:space="preserve">标签效应</w:t>
      </w:r>
      <w:r>
        <w:t xml:space="preserve">”</w:t>
      </w:r>
      <w:r>
        <w:t xml:space="preserve">。</w:t>
      </w:r>
    </w:p>
    <w:p>
      <w:pPr>
        <w:pStyle w:val="3"/>
      </w:pPr>
      <w:bookmarkStart w:id="22" w:name="国际流动与科学生产力"/>
      <w:r>
        <w:t xml:space="preserve">2.3.2 国际流动与科学生产力</w:t>
      </w:r>
      <w:bookmarkEnd w:id="22"/>
    </w:p>
    <w:p>
      <w:pPr>
        <w:pStyle w:val="FirstParagraph"/>
      </w:pPr>
      <w:r>
        <w:t xml:space="preserve">国际学术流动是否能够提升科研人员的科学生产力，是该领域受到关注最多、也是争议最集中的问题之一。多数研究采用文献计量方法，以论文数量、引用量和期刊影响因子等指标测度科研产出，在不同国家情境中得出了正向但不尽一致的结论。</w:t>
      </w:r>
    </w:p>
    <w:p>
      <w:pPr>
        <w:pStyle w:val="BodyText"/>
      </w:pPr>
      <w:r>
        <w:t xml:space="preserve">多项基于大规模数据的研究为国际流动的产出促进效应提供了较为可靠的证据。Chinchilla-Rodríguez等人采用合成控制法对巴西研究人员进行分析，发现国际流动在因果层面显著提升了论文发表量和引用影响力，且这一效应能够持续多年（Chinchilla-Rodríguez et al., 2018）。Momeni等人基于超过118万名学者的Scopus数据，运用倾向得分匹配方法发现，流动学者在年均发表量（PPY）和篇均引用量（CPP）方面均显著高于匹配后的非流动学者，这一优势在不同性别之间没有明显差异（Momeni et al., 2022）。Gu等人的PSM-DID分析同样证实CSC资助的国际流动能够显著提升研究产出数量与质量，且积极影响可持续约四年（Gu et al., 2022）。Hottenrott和Lawson的研究则从合作机制的角度进行了补充，发现国际流动学者拥有更多的国际合著论文，而国际合著论文通常获得更高的引用影响（Hottenrott &amp; Lawson, 2017）。</w:t>
      </w:r>
    </w:p>
    <w:p>
      <w:pPr>
        <w:pStyle w:val="BodyText"/>
      </w:pPr>
      <w:r>
        <w:t xml:space="preserve">然而，另一些研究对上述积极结论提出了质疑或补充。叶晓梅和梁文艳基于国内研究型大学教育学科的数据分析发现，海归教师与本土教师在科研产出方面的差距并不显著（叶晓梅、梁文艳，2019）。在科研产出结构方面，现有研究揭示了一个值得关注的现象：国际流动可能更多地改变了学者的发表模式，而非显著提升总体产出规模。李澄锋等人发现，国际流动主要提升了博士生在国际期刊上的发表，但对国内期刊发表的促进作用有限（李澄锋等，2021）。陈丽媛等人的研究也得出了相似的结论，即国际流动对科研产出的影响主要体现在发表渠道的转变上（陈丽媛等，2023）。</w:t>
      </w:r>
    </w:p>
    <w:p>
      <w:pPr>
        <w:pStyle w:val="BodyText"/>
      </w:pPr>
      <w:r>
        <w:t xml:space="preserve">不同研究之间的分歧源于多个层面的差异。首先，流动时长和职业阶段是重要的调节变量。Momeni等人发现在职业晚期开始流动的学者在合著多样性指标（COPP）上的提升更为显著，这与社会科学学者更倾向于晚期流动的发现相互呼应（Momeni et al., 2022）。李峰基于长江学者数据的研究指出，国际流动对科研产出具有阶段性特征，呈现</w:t>
      </w:r>
      <w:r>
        <w:t xml:space="preserve">“</w:t>
      </w:r>
      <w:r>
        <w:t xml:space="preserve">短期回落、长期提升</w:t>
      </w:r>
      <w:r>
        <w:t xml:space="preserve">”</w:t>
      </w:r>
      <w:r>
        <w:t xml:space="preserve">的时间模式（李峰、唐莉，2019）。其次，流动目的地的差异也不容忽视。Han等人基于顶尖学者的大规模数据发现不同流动目的地的提升效果存在显著差异，以美国的效果最为明显（Han et al., 2021）。Appelt等人从国家层面的分析也表明，科研体系较强的国家从国际流动中获益更多，呈现出</w:t>
      </w:r>
      <w:r>
        <w:t xml:space="preserve">“</w:t>
      </w:r>
      <w:r>
        <w:t xml:space="preserve">马太效应</w:t>
      </w:r>
      <w:r>
        <w:t xml:space="preserve">”</w:t>
      </w:r>
      <w:r>
        <w:t xml:space="preserve">的特征（Appelt et al., 2015）。</w:t>
      </w:r>
    </w:p>
    <w:p>
      <w:pPr>
        <w:pStyle w:val="BodyText"/>
      </w:pPr>
      <w:r>
        <w:t xml:space="preserve">再次，学科背景对产出效应的调节作用值得关注。Momeni等人的数据显示，在社会科学领域，流动对产出的提升效果低于物理科学和生命科学领域（Momeni et al., 2022）。Halevi等人分析七个学科100位顶尖作者的数据也发现，在部分学科中国际流动对产出和引用的影响为正，而在另一些学科中效果不显著甚至为负（Halevi et al., 2016）。这一差异可能与不同学科的知识生产模式有关：实验科学领域对设备和团队协作的依赖使得国际流动带来的资源互补效应更为明显，而人文社科领域的研究往往更加个体化和本土化。最后，研究方法上的差异也可能导致结论分歧。多数早期研究采用相关分析，难以排除选择性偏差——科研能力更强的学者本身就更可能获得国际流动的机会。近年来运用PSM、DID和合成控制法等因果推断方法的研究在一定程度上缓解了这一问题，但受限于数据可获得性，仍未能完全解决内生性问题。</w:t>
      </w:r>
    </w:p>
    <w:p>
      <w:pPr>
        <w:pStyle w:val="3"/>
      </w:pPr>
      <w:bookmarkStart w:id="23" w:name="国际流动与职业发展"/>
      <w:r>
        <w:t xml:space="preserve">2.3.3 国际流动与职业发展</w:t>
      </w:r>
      <w:bookmarkEnd w:id="23"/>
    </w:p>
    <w:p>
      <w:pPr>
        <w:pStyle w:val="FirstParagraph"/>
      </w:pPr>
      <w:r>
        <w:t xml:space="preserve">国际学术流动能否促进科研人员的职业发展，是关系到个人流动决策和国家人才政策的核心问题。围绕这一问题，学界形成了积极效应与消极效应并存、结论高度依赖于情境条件的研究格局。</w:t>
      </w:r>
    </w:p>
    <w:p>
      <w:pPr>
        <w:pStyle w:val="BodyText"/>
      </w:pPr>
      <w:r>
        <w:t xml:space="preserve">从积极效应来看，不少研究从职称晋升、初职获取和科研基金申请等维度证实了国际流动的职业回报。黄小燕等人以CSC资助博士生为对象的研究表明，国际流动有助于科研人员初职进入高声望机构、加快早期职称晋升并提升获得国家级基金资助的可能性（黄小燕等，2022）。施云燕基于问卷调研发现，国际流动对学术职业发展的促进作用较为明显，且随着职称层级的提升，认为流动具有积极作用的科研人员比例呈上升趋势（施云燕，2015）。钟滢的研究进一步发现，学术流动性对科研人员的职称晋升和学术影响力均有正向影响（钟滢，2023）。在国际层面，Chinchilla-Rodríguez等人的合成控制分析为因果推断提供了更为严谨的证据，发现巴西研究人员的国际流动经历对其出版物数量、引用影响和h指数等职业发展相关指标均产生了显著的提升作用（Chinchilla-Rodríguez et al., 2018）。</w:t>
      </w:r>
    </w:p>
    <w:p>
      <w:pPr>
        <w:pStyle w:val="BodyText"/>
      </w:pPr>
      <w:r>
        <w:t xml:space="preserve">与此同时，另一些研究揭示了截然不同的图景。Van Mol等人考察荷兰高等教育毕业生后发现，尽管描述性统计显示流动毕业生找到第一份工作的时间更短，但在运用倾向得分匹配控制选择效应后，这一优势完全消失，表明看似积极的职业效应可能源于群体自选择而非流动经历本身（Van Mol et al., 2021）。Seeber等人基于比利时弗拉芒地区五所大学1991年至2017年间14135名科学家数据的分析显示，国际流动和外国国籍均降低了科研人员在原机构获得内部晋升的可能性，同时提高了其离职概率，在研究期间仅有1.2%的国际流动外国学者晋升为教授，而非流动本国学者的这一比例为21.9%（Seeber et al., 2023）。Cruz-Castro等人基于西班牙科学家的研究同样发现，在高度强调机构忠诚度的制度环境中，国际流动并未对获得早期终身教职产生积极影响（Cruz-Castro &amp; Sanz-Menéndez, 2010）。</w:t>
      </w:r>
    </w:p>
    <w:p>
      <w:pPr>
        <w:pStyle w:val="BodyText"/>
      </w:pPr>
      <w:r>
        <w:t xml:space="preserve">为何不同研究得出了如此不同的结论？深入分析可以发现，国际流动的职业效应至少受到三类因素的调节。</w:t>
      </w:r>
    </w:p>
    <w:p>
      <w:pPr>
        <w:pStyle w:val="BodyText"/>
      </w:pPr>
      <w:r>
        <w:t xml:space="preserve">第一，制度环境是最为根本的调节变量。Bauder通过对加拿大和德国学者的比较研究发现，在加拿大的开放型学术劳动力市场中，国际流动通常促进职业发展；而在德国较为封闭的学术体系中，国际流动常导致母国网络流失，反而对职业产生负面影响（Bauder, 2015）。Seeber等人的研究进一步证实了制度因素的重要性：在缺乏反学术近亲繁殖规则、且教学主要使用本地语言的学术体系中，流动学者和外国学者面临语言障碍和同质性偏好等结构性劣势，这些制度特征在很大程度上抵消了国际经历可能带来的竞争优势（Seeber et al., 2023）。这一发现与Van Mol等人的荷兰研究相互印证——在本国高等教育体系和劳动力市场已具备较高竞争力的情况下，国际流动经历的边际回报可能十分有限。</w:t>
      </w:r>
    </w:p>
    <w:p>
      <w:pPr>
        <w:pStyle w:val="BodyText"/>
      </w:pPr>
      <w:r>
        <w:t xml:space="preserve">第二，流动类型和时长显著影响职业回报。潘虹和唐莉针对长江学者特聘教授的研究发现，海外攻读博士学位及在境外高校任教的经历有助于职业发展，而短期访学或长期滞留海外则不利于学术资源的本土积累，反而对职业产生阻碍（潘虹、唐莉，2021）。李峰和唐莉进一步发现，全职海外工作经历对职业晋升具有显著加速效应，尤其是在海外取得初级职称后归国的学者优势最为突出，而仅拥有海外博士学位或短期访学经历的学者，其职业发展速度与非流动学者并无显著差异（李峰、唐莉，2019）。这些发现表明，流动经历的</w:t>
      </w:r>
      <w:r>
        <w:t xml:space="preserve">“</w:t>
      </w:r>
      <w:r>
        <w:t xml:space="preserve">质量</w:t>
      </w:r>
      <w:r>
        <w:t xml:space="preserve">”</w:t>
      </w:r>
      <w:r>
        <w:t xml:space="preserve">——包括其持续时间、参与深度和活动类型——可能比流动经历的</w:t>
      </w:r>
      <w:r>
        <w:t xml:space="preserve">“</w:t>
      </w:r>
      <w:r>
        <w:t xml:space="preserve">有无</w:t>
      </w:r>
      <w:r>
        <w:t xml:space="preserve">”</w:t>
      </w:r>
      <w:r>
        <w:t xml:space="preserve">更为重要。</w:t>
      </w:r>
    </w:p>
    <w:p>
      <w:pPr>
        <w:pStyle w:val="BodyText"/>
      </w:pPr>
      <w:r>
        <w:t xml:space="preserve">第三，学科差异对流动效应的调节作用不可忽视。王艳和赵江南基于2023年Nature全球博士后调查数据的实证分析表明，国际流动在不同学科中的职业效应差异明显：在医学领域呈现负向效应，在理工科领域影响有限，而在社会科学领域则表现出积极的促进作用（王艳、赵江南，2024）。这一发现提示，不同学科的知识生产模式、职业评价标准和劳动力市场结构会显著调节国际流动的职业回报。此外，Momeni等人的研究还发现了性别维度的差异：虽然流动对男性和女性的科研产出影响没有显著差异，但女性在所有学科中的国际流动参与率均低于男性，这种参与机会的不平等可能间接影响女性科研人员的职业发展轨迹（Momeni et al., 2022）。</w:t>
      </w:r>
    </w:p>
    <w:p>
      <w:pPr>
        <w:pStyle w:val="BodyText"/>
      </w:pPr>
      <w:r>
        <w:t xml:space="preserve">从方法论来看，该领域的研究呈现定量与定性方法并重的格局。定量研究多以职称等级、晋升时间、基金获取等客观指标测度职业发展结果；定性研究则侧重揭示职业发展的过程性机制与制度情境的交互作用。近年来，运用因果推断方法控制选择效应的尝试虽然增强了结论的可靠性，但也同时揭示了选择性偏差对该领域研究结论的深刻影响——许多早期研究报告的积极效应可能被高估。</w:t>
      </w:r>
    </w:p>
    <w:p>
      <w:pPr>
        <w:pStyle w:val="3"/>
      </w:pPr>
      <w:bookmarkStart w:id="24" w:name="文献述评"/>
      <w:r>
        <w:t xml:space="preserve">2.3.4 文献述评</w:t>
      </w:r>
      <w:bookmarkEnd w:id="24"/>
    </w:p>
    <w:p>
      <w:pPr>
        <w:pStyle w:val="FirstParagraph"/>
      </w:pPr>
      <w:r>
        <w:t xml:space="preserve">综合上述三个维度的文献梳理可以看出，学界围绕国际学术流动效应已积累了大量实证证据，研究主题从微观的个体资源获取延伸至宏观的职业结果变化，研究方法也从早期以描述性分析为主逐步发展为运用因果推断、文献计量和深度访谈等多元手段的综合研究格局。在学术资源与能力积累方面，多数研究证实国际流动对合作网络拓展、知识技能获取和学术声誉建构具有积极效应，但这些效应受到流动时长、嵌入深度、学科特性和制度环境等多重因素的调节。在科学生产力方面，尽管因果推断研究为正向效应提供了较为有力的证据，但产出结构的变化、学科差异和选择性偏差等问题提示需要更加审慎地看待流动的产出效应。在职业发展方面，积极与消极效应并存的研究格局表明，国际流动的职业回报高度依赖于制度情境、流动类型与个体条件，远非一种普遍性的正向效应。</w:t>
      </w:r>
    </w:p>
    <w:p>
      <w:pPr>
        <w:pStyle w:val="BodyText"/>
      </w:pPr>
      <w:r>
        <w:t xml:space="preserve">尽管如此，现有研究仍存在若干有待深化之处。</w:t>
      </w:r>
    </w:p>
    <w:p>
      <w:pPr>
        <w:pStyle w:val="BodyText"/>
      </w:pPr>
      <w:r>
        <w:t xml:space="preserve">首先，现有研究尚未系统考察科研人员在国际流动过程中究竟积累了哪些类型的学术资源，以及不同类型的资源如何在流动过程中生成与相互转化。既有文献或聚焦于合作网络，或关注科研产出，或考察职业结果，但对于流动过程中多维度资源积累的整体面貌缺乏整合性分析。尤其是在隐性知识传递、学术思维转变、心理素质发展等不易直接测量的维度上，现有实证研究相当有限。心理层面的变化——如科研信念的确立、自我效能感的增强、抗压韧性的培养——在现有国际流动研究中尚未得到充分关注，但可能在流动者的长期学术成长中发挥重要作用。</w:t>
      </w:r>
    </w:p>
    <w:p>
      <w:pPr>
        <w:pStyle w:val="BodyText"/>
      </w:pPr>
      <w:r>
        <w:t xml:space="preserve">其次，现有研究对早期学术积累如何逐步转化为后续职业竞争优势的过程性机制关注不足。多数研究以横截面视角考察流动与某一类结果变量之间的相关性，对于</w:t>
      </w:r>
      <w:r>
        <w:t xml:space="preserve">“</w:t>
      </w:r>
      <w:r>
        <w:t xml:space="preserve">积累—转化—发展</w:t>
      </w:r>
      <w:r>
        <w:t xml:space="preserve">”</w:t>
      </w:r>
      <w:r>
        <w:t xml:space="preserve">这一纵向链条的追踪分析仍较为匮乏。国内现有研究主要以已获得较高学术成就的科研人员为研究对象（如长江学者、杰青获得者等），较少关注成长型科研人员在职业早期的国际流动经历及其渐进性影响。然而，处于职业早期阶段的科研人员恰恰是国际学术流动最活跃的参与群体，探究其流动过程中的资源积累如何转化为后续职业发展的动力机制，对于理解国际流动效应的生成逻辑具有重要意义。</w:t>
      </w:r>
    </w:p>
    <w:p>
      <w:pPr>
        <w:pStyle w:val="BodyText"/>
      </w:pPr>
      <w:r>
        <w:t xml:space="preserve">最后，现有研究较少单独考察博士阶段国际流动的长期效应。博士阶段是科研人员学术训练与职业准备的关键时期，也是国际学术流动最为活跃的阶段之一。然而，既有研究多将不同职业阶段的流动经历混合讨论，较少关注博士阶段的国际流动对科研人员后续学术成长与职业发展的持续性影响。关于CSC资助博士生的研究虽已逐步展开，但多数局限于特定学科或个别院校，对该群体流动效应的系统性考察仍有不足。</w:t>
      </w:r>
    </w:p>
    <w:p>
      <w:pPr>
        <w:pStyle w:val="BodyText"/>
      </w:pPr>
      <w:r>
        <w:t xml:space="preserve">基于上述研究现状与不足，本文拟从以下几个方面对现有研究作出补充。在理论框架上，本文将结合布迪厄资本理论与心理资本理论，从文化资本、社会资本、象征资本和心理资本四个维度构建分析框架，系统考察国际学术流动对科研人员早期学术资源积累的影响。在研究方法上，本文采用质性研究路径，通过深度访谈还原流动者的具体经历，从微观层面分析</w:t>
      </w:r>
      <w:r>
        <w:t xml:space="preserve">“</w:t>
      </w:r>
      <w:r>
        <w:t xml:space="preserve">国际流动—学术资源积累—职业发展</w:t>
      </w:r>
      <w:r>
        <w:t xml:space="preserve">”</w:t>
      </w:r>
      <w:r>
        <w:t xml:space="preserve">的过程机制，探讨资源积累的形成路径、转化条件及阻碍因素。在研究对象上，本文聚焦于CSC资助的博士研究生，系统考察其博士阶段国际流动经历对早期学术资源积累与职业发展的长期影响。</w:t>
      </w:r>
    </w:p>
    <w:p>
      <w:r>
        <w:pict>
          <v:rect style="width:0;height:1.5pt" o:hralign="center" o:hrstd="t" o:hr="t"/>
        </w:pict>
      </w:r>
    </w:p>
    <w:p>
      <w:pPr>
        <w:pStyle w:val="3"/>
      </w:pPr>
      <w:bookmarkStart w:id="25" w:name="参考文献"/>
      <w:r>
        <w:t xml:space="preserve">参考文献</w:t>
      </w:r>
      <w:bookmarkEnd w:id="25"/>
    </w:p>
    <w:p>
      <w:pPr>
        <w:pStyle w:val="FirstParagraph"/>
      </w:pPr>
      <w:r>
        <w:rPr>
          <w:b/>
        </w:rPr>
        <w:t xml:space="preserve">英文文献：</w:t>
      </w:r>
    </w:p>
    <w:p>
      <w:pPr>
        <w:pStyle w:val="BodyText"/>
      </w:pPr>
      <w:r>
        <w:t xml:space="preserve">[1] Aman, V. (2022). Internationally mobile scientists as knowledge transmitters: A lexical-based approach to detect knowledge transfer.</w:t>
      </w:r>
      <w:r>
        <w:t xml:space="preserve"> </w:t>
      </w:r>
      <w:r>
        <w:rPr>
          <w:i/>
        </w:rPr>
        <w:t xml:space="preserve">Journal of the Association for Information Science and Technology</w:t>
      </w:r>
      <w:r>
        <w:t xml:space="preserve">, 73(10), 1418–1431.</w:t>
      </w:r>
    </w:p>
    <w:p>
      <w:pPr>
        <w:pStyle w:val="BodyText"/>
      </w:pPr>
      <w:r>
        <w:t xml:space="preserve">[2] Appelt, S., van Beuzekom, B., Galindo-Rueda, F., &amp; de Pinho, R. (2015). Which factors influence the international mobility of research scientists? In A. Geuna (Ed.),</w:t>
      </w:r>
      <w:r>
        <w:t xml:space="preserve"> </w:t>
      </w:r>
      <w:r>
        <w:rPr>
          <w:i/>
        </w:rPr>
        <w:t xml:space="preserve">Global Mobility of Research Scientists</w:t>
      </w:r>
      <w:r>
        <w:t xml:space="preserve"> </w:t>
      </w:r>
      <w:r>
        <w:t xml:space="preserve">(pp. 177–213). Academic Press.</w:t>
      </w:r>
    </w:p>
    <w:p>
      <w:pPr>
        <w:pStyle w:val="BodyText"/>
      </w:pPr>
      <w:r>
        <w:t xml:space="preserve">[3] Bauder, H. (2015). The international mobility of academics: A labour market perspective.</w:t>
      </w:r>
      <w:r>
        <w:t xml:space="preserve"> </w:t>
      </w:r>
      <w:r>
        <w:rPr>
          <w:i/>
        </w:rPr>
        <w:t xml:space="preserve">International Migration</w:t>
      </w:r>
      <w:r>
        <w:t xml:space="preserve">, 53(1), 83–96.</w:t>
      </w:r>
    </w:p>
    <w:p>
      <w:pPr>
        <w:pStyle w:val="BodyText"/>
      </w:pPr>
      <w:r>
        <w:t xml:space="preserve">[4] Bu, Y., Murray, D. S., Ding, Y., Huang, Y., &amp; Zhao, Y. (2017). Understanding persistent scientific collaboration.</w:t>
      </w:r>
      <w:r>
        <w:t xml:space="preserve"> </w:t>
      </w:r>
      <w:r>
        <w:rPr>
          <w:i/>
        </w:rPr>
        <w:t xml:space="preserve">Journal of the American Society for Information Science and Technology</w:t>
      </w:r>
      <w:r>
        <w:t xml:space="preserve">, 69(3), 438–448.</w:t>
      </w:r>
    </w:p>
    <w:p>
      <w:pPr>
        <w:pStyle w:val="BodyText"/>
      </w:pPr>
      <w:r>
        <w:t xml:space="preserve">[5] Chinchilla-Rodríguez, Z., Miao, L., Murray, D., Robinson-García, N., Costas, R., &amp; Sugimoto, C. R. (2018). A global comparison of scientific mobility and collaboration according to national scientific capacities.</w:t>
      </w:r>
      <w:r>
        <w:t xml:space="preserve"> </w:t>
      </w:r>
      <w:r>
        <w:rPr>
          <w:i/>
        </w:rPr>
        <w:t xml:space="preserve">Frontiers in Research Metrics and Analytics</w:t>
      </w:r>
      <w:r>
        <w:t xml:space="preserve">, 3, 17.</w:t>
      </w:r>
    </w:p>
    <w:p>
      <w:pPr>
        <w:pStyle w:val="BodyText"/>
      </w:pPr>
      <w:r>
        <w:t xml:space="preserve">[6] Coey, C. (2013). International academics in English higher education: Practising and conceptualising academic work.</w:t>
      </w:r>
      <w:r>
        <w:t xml:space="preserve"> </w:t>
      </w:r>
      <w:r>
        <w:rPr>
          <w:i/>
        </w:rPr>
        <w:t xml:space="preserve">Globalisation, Societies and Education</w:t>
      </w:r>
      <w:r>
        <w:t xml:space="preserve">, 11(4), 1–20.</w:t>
      </w:r>
    </w:p>
    <w:p>
      <w:pPr>
        <w:pStyle w:val="BodyText"/>
      </w:pPr>
      <w:r>
        <w:t xml:space="preserve">[7] Courtois, A., &amp; O’Keefe, T. (2024).</w:t>
      </w:r>
      <w:r>
        <w:t xml:space="preserve"> </w:t>
      </w:r>
      <w:r>
        <w:t xml:space="preserve">‘</w:t>
      </w:r>
      <w:r>
        <w:t xml:space="preserve">Go away and make a big thing of yourself somewhere else</w:t>
      </w:r>
      <w:r>
        <w:t xml:space="preserve">’</w:t>
      </w:r>
      <w:r>
        <w:t xml:space="preserve">: Precarious mobilities and the uses of international capital in Irish academia.</w:t>
      </w:r>
      <w:r>
        <w:t xml:space="preserve"> </w:t>
      </w:r>
      <w:r>
        <w:rPr>
          <w:i/>
        </w:rPr>
        <w:t xml:space="preserve">Higher Education</w:t>
      </w:r>
      <w:r>
        <w:t xml:space="preserve">, 88, 1871–1887.</w:t>
      </w:r>
    </w:p>
    <w:p>
      <w:pPr>
        <w:pStyle w:val="BodyText"/>
      </w:pPr>
      <w:r>
        <w:t xml:space="preserve">[8] Cruz-Castro, L., &amp; Sanz-Menéndez, L. (2010). Mobility versus job stability: Assessing tenure and productivity outcomes.</w:t>
      </w:r>
      <w:r>
        <w:t xml:space="preserve"> </w:t>
      </w:r>
      <w:r>
        <w:rPr>
          <w:i/>
        </w:rPr>
        <w:t xml:space="preserve">Research Policy</w:t>
      </w:r>
      <w:r>
        <w:t xml:space="preserve">, 39(1), 27–38.</w:t>
      </w:r>
    </w:p>
    <w:p>
      <w:pPr>
        <w:pStyle w:val="BodyText"/>
      </w:pPr>
      <w:r>
        <w:t xml:space="preserve">[9] Gu, J., Li, X., &amp; Tang, L. (2022). International mobility and scientific production: Evidence from a national funding scheme.</w:t>
      </w:r>
      <w:r>
        <w:t xml:space="preserve"> </w:t>
      </w:r>
      <w:r>
        <w:rPr>
          <w:i/>
        </w:rPr>
        <w:t xml:space="preserve">Scientometrics</w:t>
      </w:r>
      <w:r>
        <w:t xml:space="preserve">, 127, 3197–3217.</w:t>
      </w:r>
    </w:p>
    <w:p>
      <w:pPr>
        <w:pStyle w:val="BodyText"/>
      </w:pPr>
      <w:r>
        <w:t xml:space="preserve">[10] Halevi, G., Moed, H. F., &amp; Bar-Ilan, J. (2016). Does research mobility have an effect on productivity and impact?</w:t>
      </w:r>
      <w:r>
        <w:t xml:space="preserve"> </w:t>
      </w:r>
      <w:r>
        <w:rPr>
          <w:i/>
        </w:rPr>
        <w:t xml:space="preserve">International Higher Education</w:t>
      </w:r>
      <w:r>
        <w:t xml:space="preserve">, (86), 5–6.</w:t>
      </w:r>
    </w:p>
    <w:p>
      <w:pPr>
        <w:pStyle w:val="BodyText"/>
      </w:pPr>
      <w:r>
        <w:t xml:space="preserve">[11] Han, L., Hou, J., &amp; Cho, J. (2021). International mobility characteristics, effects of, and effects on elite scientists.</w:t>
      </w:r>
      <w:r>
        <w:t xml:space="preserve"> </w:t>
      </w:r>
      <w:r>
        <w:rPr>
          <w:i/>
        </w:rPr>
        <w:t xml:space="preserve">Scientometrics</w:t>
      </w:r>
      <w:r>
        <w:t xml:space="preserve">, 126, 3535–3559.</w:t>
      </w:r>
    </w:p>
    <w:p>
      <w:pPr>
        <w:pStyle w:val="BodyText"/>
      </w:pPr>
      <w:r>
        <w:t xml:space="preserve">[12] Hanley, T., &amp; Chankseliani, M. (2025). Intercultural competence beyond international student mobility: Insights from a global study.</w:t>
      </w:r>
      <w:r>
        <w:t xml:space="preserve"> </w:t>
      </w:r>
      <w:r>
        <w:rPr>
          <w:i/>
        </w:rPr>
        <w:t xml:space="preserve">British Educational Research Journal</w:t>
      </w:r>
      <w:r>
        <w:t xml:space="preserve">, early view.</w:t>
      </w:r>
    </w:p>
    <w:p>
      <w:pPr>
        <w:pStyle w:val="BodyText"/>
      </w:pPr>
      <w:r>
        <w:t xml:space="preserve">[13] Horta, H., Veloso, F. M., &amp; Grediaga, R. (2010). Navel gazing: Academic inbreeding and scientific productivity.</w:t>
      </w:r>
      <w:r>
        <w:t xml:space="preserve"> </w:t>
      </w:r>
      <w:r>
        <w:rPr>
          <w:i/>
        </w:rPr>
        <w:t xml:space="preserve">Management Science</w:t>
      </w:r>
      <w:r>
        <w:t xml:space="preserve">, 56(3), 414–429.</w:t>
      </w:r>
    </w:p>
    <w:p>
      <w:pPr>
        <w:pStyle w:val="BodyText"/>
      </w:pPr>
      <w:r>
        <w:t xml:space="preserve">[14] Hottenrott, H., &amp; Lawson, C. (2017). Fishing for complementarities: Research grants and research productivity.</w:t>
      </w:r>
      <w:r>
        <w:t xml:space="preserve"> </w:t>
      </w:r>
      <w:r>
        <w:rPr>
          <w:i/>
        </w:rPr>
        <w:t xml:space="preserve">International Journal of Industrial Organization</w:t>
      </w:r>
      <w:r>
        <w:t xml:space="preserve">, 51, 1–38.</w:t>
      </w:r>
    </w:p>
    <w:p>
      <w:pPr>
        <w:pStyle w:val="BodyText"/>
      </w:pPr>
      <w:r>
        <w:t xml:space="preserve">[15] Hu, A., &amp; Cairns, D. (2017). Hai Gui or Hai Dai? Chinese student migrants and the role of Norwegian mobility capital in career success.</w:t>
      </w:r>
      <w:r>
        <w:t xml:space="preserve"> </w:t>
      </w:r>
      <w:r>
        <w:rPr>
          <w:i/>
        </w:rPr>
        <w:t xml:space="preserve">YOUNG</w:t>
      </w:r>
      <w:r>
        <w:t xml:space="preserve">, 25(2), 174–189.</w:t>
      </w:r>
    </w:p>
    <w:p>
      <w:pPr>
        <w:pStyle w:val="BodyText"/>
      </w:pPr>
      <w:r>
        <w:t xml:space="preserve">[16] Leung, M. W. H. (2012).</w:t>
      </w:r>
      <w:r>
        <w:t xml:space="preserve"> </w:t>
      </w:r>
      <w:r>
        <w:t xml:space="preserve">‘</w:t>
      </w:r>
      <w:r>
        <w:t xml:space="preserve">Read ten thousand books, walk ten thousand miles</w:t>
      </w:r>
      <w:r>
        <w:t xml:space="preserve">’</w:t>
      </w:r>
      <w:r>
        <w:t xml:space="preserve">: Geographical mobility and capital accumulation among Chinese scholars.</w:t>
      </w:r>
      <w:r>
        <w:t xml:space="preserve"> </w:t>
      </w:r>
      <w:r>
        <w:rPr>
          <w:i/>
        </w:rPr>
        <w:t xml:space="preserve">Transactions of the Institute of British Geographers</w:t>
      </w:r>
      <w:r>
        <w:t xml:space="preserve">, 37(2), 311–324.</w:t>
      </w:r>
    </w:p>
    <w:p>
      <w:pPr>
        <w:pStyle w:val="BodyText"/>
      </w:pPr>
      <w:r>
        <w:t xml:space="preserve">[17] Meng, Q., &amp; Shen, W. (2023). Determinants of Japanese-trained Chinese PhDs’ academic career choices.</w:t>
      </w:r>
      <w:r>
        <w:t xml:space="preserve"> </w:t>
      </w:r>
      <w:r>
        <w:rPr>
          <w:i/>
        </w:rPr>
        <w:t xml:space="preserve">Higher Education</w:t>
      </w:r>
      <w:r>
        <w:t xml:space="preserve">, 86, 1089–1110.</w:t>
      </w:r>
    </w:p>
    <w:p>
      <w:pPr>
        <w:pStyle w:val="BodyText"/>
      </w:pPr>
      <w:r>
        <w:t xml:space="preserve">[18] Momeni, F., Karimi, F., Mayr, P., Peters, I., &amp; Dietze, S. (2022). The many facets of academic mobility and its impact on scholars’ career.</w:t>
      </w:r>
      <w:r>
        <w:t xml:space="preserve"> </w:t>
      </w:r>
      <w:r>
        <w:rPr>
          <w:i/>
        </w:rPr>
        <w:t xml:space="preserve">Journal of Informetrics</w:t>
      </w:r>
      <w:r>
        <w:t xml:space="preserve">, 16(2), 101280.</w:t>
      </w:r>
    </w:p>
    <w:p>
      <w:pPr>
        <w:pStyle w:val="BodyText"/>
      </w:pPr>
      <w:r>
        <w:t xml:space="preserve">[19] Netz, N., Hampel, S., &amp; Aman, V. (2020). What effects does international mobility have on scientists’ careers? A systematic review.</w:t>
      </w:r>
      <w:r>
        <w:t xml:space="preserve"> </w:t>
      </w:r>
      <w:r>
        <w:rPr>
          <w:i/>
        </w:rPr>
        <w:t xml:space="preserve">Research Evaluation</w:t>
      </w:r>
      <w:r>
        <w:t xml:space="preserve">, 29(3), 327–351.</w:t>
      </w:r>
    </w:p>
    <w:p>
      <w:pPr>
        <w:pStyle w:val="BodyText"/>
      </w:pPr>
      <w:r>
        <w:t xml:space="preserve">[20] Seeber, M., Debacker, N., Meoli, M., &amp; Vandevelde, K. (2023). Exploring the effects of mobility and foreign nationality on internal career progression in universities.</w:t>
      </w:r>
      <w:r>
        <w:t xml:space="preserve"> </w:t>
      </w:r>
      <w:r>
        <w:rPr>
          <w:i/>
        </w:rPr>
        <w:t xml:space="preserve">Higher Education</w:t>
      </w:r>
      <w:r>
        <w:t xml:space="preserve">, 85, 1041–1081.</w:t>
      </w:r>
    </w:p>
    <w:p>
      <w:pPr>
        <w:pStyle w:val="BodyText"/>
      </w:pPr>
      <w:r>
        <w:t xml:space="preserve">[21] Shen, W., Xu, X., &amp; Wang, X. (2022). Reconceptualising international academic mobility in the global knowledge system: Towards a new research agenda.</w:t>
      </w:r>
      <w:r>
        <w:t xml:space="preserve"> </w:t>
      </w:r>
      <w:r>
        <w:rPr>
          <w:i/>
        </w:rPr>
        <w:t xml:space="preserve">Higher Education</w:t>
      </w:r>
      <w:r>
        <w:t xml:space="preserve">, 84, 1317–1342.</w:t>
      </w:r>
    </w:p>
    <w:p>
      <w:pPr>
        <w:pStyle w:val="BodyText"/>
      </w:pPr>
      <w:r>
        <w:t xml:space="preserve">[22] Van Mol, C., Caarls, K., &amp; Souto-Otero, M. (2021). International student mobility and labour market outcomes: An investigation of the role of level of study, type of mobility, and international prestige hierarchies.</w:t>
      </w:r>
      <w:r>
        <w:t xml:space="preserve"> </w:t>
      </w:r>
      <w:r>
        <w:rPr>
          <w:i/>
        </w:rPr>
        <w:t xml:space="preserve">Higher Education</w:t>
      </w:r>
      <w:r>
        <w:t xml:space="preserve">, 82, 1145–1171.</w:t>
      </w:r>
    </w:p>
    <w:p>
      <w:pPr>
        <w:pStyle w:val="BodyText"/>
      </w:pPr>
      <w:r>
        <w:t xml:space="preserve">[23] Wang, X., Shen, W., &amp; Zhu, J. (2023). Being internationally mobile while keeping domestic social capital: How postdocs from China manage precarity.</w:t>
      </w:r>
      <w:r>
        <w:t xml:space="preserve"> </w:t>
      </w:r>
      <w:r>
        <w:rPr>
          <w:i/>
        </w:rPr>
        <w:t xml:space="preserve">Studies in Higher Education</w:t>
      </w:r>
      <w:r>
        <w:t xml:space="preserve">, 48(12), 1861–1876.</w:t>
      </w:r>
    </w:p>
    <w:p>
      <w:pPr>
        <w:pStyle w:val="BodyText"/>
      </w:pPr>
      <w:r>
        <w:rPr>
          <w:b/>
        </w:rPr>
        <w:t xml:space="preserve">中文文献：</w:t>
      </w:r>
    </w:p>
    <w:p>
      <w:pPr>
        <w:pStyle w:val="BodyText"/>
      </w:pPr>
      <w:r>
        <w:t xml:space="preserve">[1] 陈丽媛, 陈小满, 赵世奎. (2023). 学术人才国际流动如何影响科研产出——以四所</w:t>
      </w:r>
      <w:r>
        <w:t xml:space="preserve">“</w:t>
      </w:r>
      <w:r>
        <w:t xml:space="preserve">双一流</w:t>
      </w:r>
      <w:r>
        <w:t xml:space="preserve">”</w:t>
      </w:r>
      <w:r>
        <w:t xml:space="preserve">建设高校的经济学科为例.</w:t>
      </w:r>
      <w:r>
        <w:t xml:space="preserve"> </w:t>
      </w:r>
      <w:r>
        <w:rPr>
          <w:i/>
        </w:rPr>
        <w:t xml:space="preserve">清华大学教育研究</w:t>
      </w:r>
      <w:r>
        <w:t xml:space="preserve">, 44(2), 110–120.</w:t>
      </w:r>
    </w:p>
    <w:p>
      <w:pPr>
        <w:pStyle w:val="BodyText"/>
      </w:pPr>
      <w:r>
        <w:t xml:space="preserve">[2] 黄小燕, 沈文钦, 陈洪捷. (2022). 国际流动对科研人员早期职业发展的影响研究.</w:t>
      </w:r>
      <w:r>
        <w:t xml:space="preserve"> </w:t>
      </w:r>
      <w:r>
        <w:rPr>
          <w:i/>
        </w:rPr>
        <w:t xml:space="preserve">高等教育研究</w:t>
      </w:r>
      <w:r>
        <w:t xml:space="preserve">, 43(3), 60–71.</w:t>
      </w:r>
    </w:p>
    <w:p>
      <w:pPr>
        <w:pStyle w:val="BodyText"/>
      </w:pPr>
      <w:r>
        <w:t xml:space="preserve">[3] 姜华, 赵世奎, 沈文钦. (2019). 联合培养博士生出国访学收益的影响研究.</w:t>
      </w:r>
      <w:r>
        <w:t xml:space="preserve"> </w:t>
      </w:r>
      <w:r>
        <w:rPr>
          <w:i/>
        </w:rPr>
        <w:t xml:space="preserve">学位与研究生教育</w:t>
      </w:r>
      <w:r>
        <w:t xml:space="preserve">, (11), 56–63.</w:t>
      </w:r>
    </w:p>
    <w:p>
      <w:pPr>
        <w:pStyle w:val="BodyText"/>
      </w:pPr>
      <w:r>
        <w:t xml:space="preserve">[4] 李澄锋, 沈文钦, 赵世奎. (2021). 中外联合培养经历对博士生科研能力增值及论文产出的影响——基于</w:t>
      </w:r>
      <w:r>
        <w:t xml:space="preserve">“</w:t>
      </w:r>
      <w:r>
        <w:t xml:space="preserve">全国博士毕业生离校调查</w:t>
      </w:r>
      <w:r>
        <w:t xml:space="preserve">”</w:t>
      </w:r>
      <w:r>
        <w:t xml:space="preserve">数据的分析.</w:t>
      </w:r>
      <w:r>
        <w:t xml:space="preserve"> </w:t>
      </w:r>
      <w:r>
        <w:rPr>
          <w:i/>
        </w:rPr>
        <w:t xml:space="preserve">研究生教育研究</w:t>
      </w:r>
      <w:r>
        <w:t xml:space="preserve">, (3), 45–53.</w:t>
      </w:r>
    </w:p>
    <w:p>
      <w:pPr>
        <w:pStyle w:val="BodyText"/>
      </w:pPr>
      <w:r>
        <w:t xml:space="preserve">[5] 李峰, 唐莉. (2019). 海外经历能否加速职业发展：以长江学者为例.</w:t>
      </w:r>
      <w:r>
        <w:t xml:space="preserve"> </w:t>
      </w:r>
      <w:r>
        <w:rPr>
          <w:i/>
        </w:rPr>
        <w:t xml:space="preserve">高等教育研究</w:t>
      </w:r>
      <w:r>
        <w:t xml:space="preserve">, 40(2), 55–63.</w:t>
      </w:r>
    </w:p>
    <w:p>
      <w:pPr>
        <w:pStyle w:val="BodyText"/>
      </w:pPr>
      <w:r>
        <w:t xml:space="preserve">[6] 潘虹, 唐莉. (2021). 殊途同归不同效：高层次人才跨国流动影响职业发展的实证研究.</w:t>
      </w:r>
      <w:r>
        <w:t xml:space="preserve"> </w:t>
      </w:r>
      <w:r>
        <w:rPr>
          <w:i/>
        </w:rPr>
        <w:t xml:space="preserve">高等教育研究</w:t>
      </w:r>
      <w:r>
        <w:t xml:space="preserve">, 42(5), 63–73.</w:t>
      </w:r>
    </w:p>
    <w:p>
      <w:pPr>
        <w:pStyle w:val="BodyText"/>
      </w:pPr>
      <w:r>
        <w:t xml:space="preserve">[7] 施云燕. (2015). 跨国流动经历对科研人员职业发展的影响分析.</w:t>
      </w:r>
      <w:r>
        <w:t xml:space="preserve"> </w:t>
      </w:r>
      <w:r>
        <w:rPr>
          <w:i/>
        </w:rPr>
        <w:t xml:space="preserve">科学学研究</w:t>
      </w:r>
      <w:r>
        <w:t xml:space="preserve">, 33(12), 1836–1844.</w:t>
      </w:r>
    </w:p>
    <w:p>
      <w:pPr>
        <w:pStyle w:val="BodyText"/>
      </w:pPr>
      <w:r>
        <w:t xml:space="preserve">[8] 孙伟, 赵世奎. (2018). 联合培养博士生的留学收益及影响因素分析.</w:t>
      </w:r>
      <w:r>
        <w:t xml:space="preserve"> </w:t>
      </w:r>
      <w:r>
        <w:rPr>
          <w:i/>
        </w:rPr>
        <w:t xml:space="preserve">学位与研究生教育</w:t>
      </w:r>
      <w:r>
        <w:t xml:space="preserve">, (12), 52–58.</w:t>
      </w:r>
    </w:p>
    <w:p>
      <w:pPr>
        <w:pStyle w:val="BodyText"/>
      </w:pPr>
      <w:r>
        <w:t xml:space="preserve">[9] 王艳, 赵江南. (2024). 国际流动还能促进博士后学术职业发展吗——基于2023年Nature全球博士后调查的实证分析.</w:t>
      </w:r>
      <w:r>
        <w:t xml:space="preserve"> </w:t>
      </w:r>
      <w:r>
        <w:rPr>
          <w:i/>
        </w:rPr>
        <w:t xml:space="preserve">中国高教研究</w:t>
      </w:r>
      <w:r>
        <w:t xml:space="preserve">, (3), 78–86.</w:t>
      </w:r>
    </w:p>
    <w:p>
      <w:pPr>
        <w:pStyle w:val="BodyText"/>
      </w:pPr>
      <w:r>
        <w:t xml:space="preserve">[10] 叶晓梅, 梁文艳. (2019). 海归教师真的优于本土教师吗——来自研究型大学教育学科的证据.</w:t>
      </w:r>
      <w:r>
        <w:t xml:space="preserve"> </w:t>
      </w:r>
      <w:r>
        <w:rPr>
          <w:i/>
        </w:rPr>
        <w:t xml:space="preserve">教育研究</w:t>
      </w:r>
      <w:r>
        <w:t xml:space="preserve">, 40(6), 130–141.</w:t>
      </w:r>
    </w:p>
    <w:p>
      <w:pPr>
        <w:pStyle w:val="BodyText"/>
      </w:pPr>
      <w:r>
        <w:t xml:space="preserve">[11] 钟滢. (2023). 学术职业流动性对科研人员职业发展的多维影响.</w:t>
      </w:r>
      <w:r>
        <w:t xml:space="preserve"> </w:t>
      </w:r>
      <w:r>
        <w:rPr>
          <w:i/>
        </w:rPr>
        <w:t xml:space="preserve">科学学研究</w:t>
      </w:r>
      <w:r>
        <w:t xml:space="preserve">, 41(8), 1400–1410.</w:t>
      </w:r>
    </w:p>
    <w:sectPr w:rsidR="00CE4AC5">
      <w:pgSz w:w="11906" w:h="16838"/>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style>
  <w:style w:type="paragraph" w:styleId="a5">
    <w:name w:val="Date"/>
    <w:basedOn w:val="a"/>
    <w:next w:val="a"/>
    <w:link w:val="a6"/>
    <w:uiPriority w:val="99"/>
    <w:semiHidden/>
    <w:unhideWhenUsed/>
    <w:qFormat/>
    <w:pPr>
      <w:ind w:leftChars="2500" w:left="100"/>
    </w:pPr>
  </w:style>
  <w:style w:type="paragraph" w:styleId="a7">
    <w:name w:val="footer"/>
    <w:basedOn w:val="a"/>
    <w:link w:val="a8"/>
    <w:uiPriority w:val="99"/>
    <w:unhideWhenUsed/>
    <w:qFormat/>
    <w:pPr>
      <w:tabs>
        <w:tab w:val="center" w:pos="4153"/>
        <w:tab w:val="right" w:pos="8306"/>
      </w:tabs>
      <w:snapToGrid w:val="0"/>
      <w:spacing w:line="240" w:lineRule="auto"/>
    </w:pPr>
    <w:rPr>
      <w:sz w:val="18"/>
      <w:szCs w:val="18"/>
    </w:rPr>
  </w:style>
  <w:style w:type="paragraph" w:styleId="a9">
    <w:name w:val="header"/>
    <w:basedOn w:val="a"/>
    <w:link w:val="aa"/>
    <w:uiPriority w:val="99"/>
    <w:unhideWhenUsed/>
    <w:qFormat/>
    <w:pPr>
      <w:tabs>
        <w:tab w:val="center" w:pos="4153"/>
        <w:tab w:val="right" w:pos="8306"/>
      </w:tabs>
      <w:snapToGrid w:val="0"/>
      <w:spacing w:line="240" w:lineRule="auto"/>
      <w:jc w:val="center"/>
    </w:pPr>
    <w:rPr>
      <w:sz w:val="18"/>
      <w:szCs w:val="18"/>
    </w:rPr>
  </w:style>
  <w:style w:type="paragraph" w:styleId="ab">
    <w:name w:val="Subtitle"/>
    <w:basedOn w:val="a"/>
    <w:next w:val="a"/>
    <w:link w:val="ac"/>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d">
    <w:name w:val="footnote text"/>
    <w:basedOn w:val="a"/>
    <w:link w:val="ae"/>
    <w:uiPriority w:val="99"/>
    <w:semiHidden/>
    <w:unhideWhenUsed/>
    <w:qFormat/>
    <w:pPr>
      <w:snapToGrid w:val="0"/>
    </w:pPr>
    <w:rPr>
      <w:sz w:val="18"/>
      <w:szCs w:val="18"/>
    </w:rPr>
  </w:style>
  <w:style w:type="paragraph" w:styleId="af">
    <w:name w:val="Title"/>
    <w:basedOn w:val="a"/>
    <w:next w:val="a"/>
    <w:link w:val="af0"/>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1">
    <w:name w:val="annotation subject"/>
    <w:basedOn w:val="a3"/>
    <w:next w:val="a3"/>
    <w:link w:val="af2"/>
    <w:uiPriority w:val="99"/>
    <w:semiHidden/>
    <w:unhideWhenUsed/>
    <w:qFormat/>
    <w:rPr>
      <w:b/>
      <w:bCs/>
    </w:rPr>
  </w:style>
  <w:style w:type="table" w:styleId="af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character" w:styleId="af6">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0">
    <w:name w:val="标题 字符"/>
    <w:basedOn w:val="a0"/>
    <w:link w:val="af"/>
    <w:uiPriority w:val="10"/>
    <w:qFormat/>
    <w:rPr>
      <w:rFonts w:asciiTheme="majorHAnsi" w:eastAsiaTheme="majorEastAsia" w:hAnsiTheme="majorHAnsi" w:cstheme="majorBidi"/>
      <w:spacing w:val="-10"/>
      <w:kern w:val="28"/>
      <w:sz w:val="56"/>
      <w:szCs w:val="56"/>
    </w:rPr>
  </w:style>
  <w:style w:type="character" w:customStyle="1" w:styleId="ac">
    <w:name w:val="副标题 字符"/>
    <w:basedOn w:val="a0"/>
    <w:link w:val="ab"/>
    <w:uiPriority w:val="11"/>
    <w:qFormat/>
    <w:rPr>
      <w:rFonts w:asciiTheme="majorHAnsi" w:eastAsiaTheme="majorEastAsia" w:hAnsiTheme="majorHAnsi" w:cstheme="majorBidi"/>
      <w:color w:val="595959" w:themeColor="text1" w:themeTint="A6"/>
      <w:spacing w:val="15"/>
      <w:sz w:val="28"/>
      <w:szCs w:val="28"/>
    </w:rPr>
  </w:style>
  <w:style w:type="paragraph" w:styleId="af7">
    <w:name w:val="Quote"/>
    <w:basedOn w:val="a"/>
    <w:next w:val="a"/>
    <w:link w:val="af8"/>
    <w:uiPriority w:val="29"/>
    <w:qFormat/>
    <w:pPr>
      <w:spacing w:before="160"/>
      <w:jc w:val="center"/>
    </w:pPr>
    <w:rPr>
      <w:i/>
      <w:iCs/>
      <w:color w:val="404040" w:themeColor="text1" w:themeTint="BF"/>
    </w:rPr>
  </w:style>
  <w:style w:type="character" w:customStyle="1" w:styleId="af8">
    <w:name w:val="引用 字符"/>
    <w:basedOn w:val="a0"/>
    <w:link w:val="af7"/>
    <w:uiPriority w:val="29"/>
    <w:qFormat/>
    <w:rPr>
      <w:i/>
      <w:iCs/>
      <w:color w:val="404040" w:themeColor="text1" w:themeTint="BF"/>
    </w:rPr>
  </w:style>
  <w:style w:type="paragraph" w:styleId="af9">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a">
    <w:name w:val="Intense Quote"/>
    <w:basedOn w:val="a"/>
    <w:next w:val="a"/>
    <w:link w:val="afb"/>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b">
    <w:name w:val="明显引用 字符"/>
    <w:basedOn w:val="a0"/>
    <w:link w:val="afa"/>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日期 字符"/>
    <w:basedOn w:val="a0"/>
    <w:link w:val="a5"/>
    <w:uiPriority w:val="99"/>
    <w:semiHidden/>
    <w:qFormat/>
  </w:style>
  <w:style w:type="character" w:customStyle="1" w:styleId="ae">
    <w:name w:val="脚注文本 字符"/>
    <w:basedOn w:val="a0"/>
    <w:link w:val="ad"/>
    <w:uiPriority w:val="99"/>
    <w:semiHidden/>
    <w:qFormat/>
    <w:rPr>
      <w:sz w:val="18"/>
      <w:szCs w:val="18"/>
    </w:rPr>
  </w:style>
  <w:style w:type="paragraph" w:customStyle="1" w:styleId="EndNoteBibliographyTitle">
    <w:name w:val="EndNote Bibliography Title"/>
    <w:basedOn w:val="a"/>
    <w:link w:val="EndNoteBibliographyTitle0"/>
    <w:qFormat/>
    <w:pPr>
      <w:spacing w:after="0"/>
      <w:jc w:val="center"/>
    </w:pPr>
    <w:rPr>
      <w:rFonts w:ascii="等线" w:eastAsia="等线" w:hAnsi="等线"/>
    </w:rPr>
  </w:style>
  <w:style w:type="character" w:customStyle="1" w:styleId="EndNoteBibliographyTitle0">
    <w:name w:val="EndNote Bibliography Title 字符"/>
    <w:basedOn w:val="ae"/>
    <w:link w:val="EndNoteBibliographyTitle"/>
    <w:qFormat/>
    <w:rPr>
      <w:rFonts w:ascii="等线" w:eastAsia="等线" w:hAnsi="等线"/>
      <w:sz w:val="18"/>
      <w:szCs w:val="18"/>
    </w:rPr>
  </w:style>
  <w:style w:type="paragraph" w:customStyle="1" w:styleId="EndNoteBibliography">
    <w:name w:val="EndNote Bibliography"/>
    <w:basedOn w:val="a"/>
    <w:link w:val="EndNoteBibliography0"/>
    <w:qFormat/>
    <w:pPr>
      <w:spacing w:line="240" w:lineRule="auto"/>
    </w:pPr>
    <w:rPr>
      <w:rFonts w:ascii="等线" w:eastAsia="等线" w:hAnsi="等线"/>
    </w:rPr>
  </w:style>
  <w:style w:type="character" w:customStyle="1" w:styleId="EndNoteBibliography0">
    <w:name w:val="EndNote Bibliography 字符"/>
    <w:basedOn w:val="ae"/>
    <w:link w:val="EndNoteBibliography"/>
    <w:qFormat/>
    <w:rPr>
      <w:rFonts w:ascii="等线" w:eastAsia="等线" w:hAnsi="等线"/>
      <w:sz w:val="18"/>
      <w:szCs w:val="18"/>
    </w:rPr>
  </w:style>
  <w:style w:type="character" w:customStyle="1" w:styleId="a4">
    <w:name w:val="批注文字 字符"/>
    <w:basedOn w:val="a0"/>
    <w:link w:val="a3"/>
    <w:uiPriority w:val="99"/>
    <w:qFormat/>
  </w:style>
  <w:style w:type="character" w:customStyle="1" w:styleId="af2">
    <w:name w:val="批注主题 字符"/>
    <w:basedOn w:val="a4"/>
    <w:link w:val="af1"/>
    <w:uiPriority w:val="99"/>
    <w:semiHidden/>
    <w:qFormat/>
    <w:rPr>
      <w:b/>
      <w:bCs/>
    </w:rPr>
  </w:style>
  <w:style w:type="table" w:customStyle="1" w:styleId="afc">
    <w:name w:val="三线表"/>
    <w:basedOn w:val="a1"/>
    <w:uiPriority w:val="99"/>
    <w:qFormat/>
    <w:rPr>
      <w:sz w:val="21"/>
    </w:rPr>
    <w:tblPr>
      <w:tblBorders>
        <w:top w:val="single" w:sz="12" w:space="0" w:color="auto"/>
        <w:bottom w:val="single" w:sz="12" w:space="0" w:color="auto"/>
      </w:tblBorders>
    </w:tbl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3">
    <w:name w:val="未处理的提及1"/>
    <w:basedOn w:val="a0"/>
    <w:uiPriority w:val="99"/>
    <w:semiHidden/>
    <w:unhideWhenUsed/>
    <w:qFormat/>
    <w:rPr>
      <w:color w:val="605E5C"/>
      <w:shd w:val="clear" w:color="auto" w:fill="E1DFDD"/>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www.csc.edu.cn/about" TargetMode="External"/></Relationship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11994</TotalTime>
  <Pages>70</Pages>
  <Words>11492</Words>
  <Characters>65508</Characters>
  <Application>Microsoft Office Word</Application>
  <DocSecurity>0</DocSecurity>
  <Lines>545</Lines>
  <Paragraphs>153</Paragraphs>
  <ScaleCrop>false</ScaleCrop>
  <Company/>
  <LinksUpToDate>false</LinksUpToDate>
  <CharactersWithSpaces>76847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2026-03-24T03:54:09Z</dcterms:created>
  <dcterms:modified xsi:type="dcterms:W3CDTF">2026-03-24T03:54:09Z</dcterms:modified>
</cp:coreProperties>
</file>

<file path=docProps/custom.xml><?xml version="1.0" encoding="utf-8"?>
<Properties xmlns="http://schemas.openxmlformats.org/officeDocument/2006/custom-properties" xmlns:vt="http://schemas.openxmlformats.org/officeDocument/2006/docPropsVTypes"/>
</file>