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media/image1.png" ContentType="image/png"/>
  <Override PartName="/word/media/image4.png" ContentType="image/png"/>
  <Override PartName="/word/media/image3.png" ContentType="image/png"/>
  <Override PartName="/word/media/image5.png" ContentType="image/png"/>
  <Override PartName="/word/media/image6.png" ContentType="image/png"/>
  <Override PartName="/word/media/image2.png" ContentType="image/png"/>
  <Override PartName="/word/media/image7.png" ContentType="image/png"/>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keepNext w:val="true"/>
        <w:keepLines/>
        <w:spacing w:before="200" w:after="0"/>
        <w:rPr/>
      </w:pPr>
      <w:r>
        <w:rPr/>
      </w:r>
    </w:p>
    <w:p>
      <w:pPr>
        <w:pStyle w:val="Heading2"/>
        <w:spacing w:before="200" w:after="0"/>
        <w:rPr/>
      </w:pPr>
      <w:r>
        <w:rPr/>
      </w:r>
    </w:p>
    <w:p>
      <w:pPr>
        <w:pStyle w:val="Heading2"/>
        <w:spacing w:before="200" w:after="0"/>
        <w:rPr/>
      </w:pPr>
      <w:r>
        <w:rPr/>
      </w:r>
    </w:p>
    <w:p>
      <w:pPr>
        <w:pStyle w:val="Title"/>
        <w:spacing w:before="0" w:after="0"/>
        <w:contextualSpacing w:val="false"/>
        <w:rPr>
          <w:vanish/>
          <w:specVanish/>
        </w:rPr>
      </w:pPr>
      <w:r>
        <w:rPr/>
        <w:t>Portfolio Of Evidence (POE)</w:t>
      </w:r>
    </w:p>
    <w:p>
      <w:pPr>
        <w:pStyle w:val="Heading2"/>
        <w:jc w:val="center"/>
        <w:rPr/>
      </w:pPr>
      <w:r/>
      <w:r>
        <w:rPr/>
      </w:r>
      <w:r>
        <w:rPr/>
        <w:br/>
        <w:t>Module: INSY7315 – Information Systems</w:t>
        <w:br/>
        <w:t>Project Title: TWS-Scan Barcode Driven Warehouse Management System for Tele Wholesale Stationers</w:t>
        <w:br/>
        <w:t>Student Name: ST10089184</w:t>
        <w:br/>
        <w:t>Submission Date: 4 November</w:t>
      </w:r>
    </w:p>
    <w:p>
      <w:pPr>
        <w:pStyle w:val="Heading2"/>
        <w:spacing w:before="200" w:after="0"/>
        <w:rPr/>
      </w:pPr>
      <w:r>
        <w:rPr/>
      </w:r>
    </w:p>
    <w:p>
      <w:pPr>
        <w:pStyle w:val="Heading2"/>
        <w:spacing w:before="200" w:after="0"/>
        <w:rPr/>
      </w:pPr>
      <w:r>
        <w:rPr/>
      </w:r>
    </w:p>
    <w:p>
      <w:pPr>
        <w:pStyle w:val="Heading2"/>
        <w:spacing w:before="200" w:after="0"/>
        <w:rPr/>
      </w:pPr>
      <w:r>
        <w:rPr/>
      </w:r>
    </w:p>
    <w:p>
      <w:pPr>
        <w:pStyle w:val="Heading2"/>
        <w:spacing w:before="200" w:after="0"/>
        <w:rPr/>
      </w:pPr>
      <w:r>
        <w:rPr/>
      </w:r>
    </w:p>
    <w:p>
      <w:pPr>
        <w:pStyle w:val="Heading2"/>
        <w:spacing w:before="200" w:after="0"/>
        <w:rPr/>
      </w:pPr>
      <w:r>
        <w:rPr/>
      </w:r>
    </w:p>
    <w:p>
      <w:pPr>
        <w:pStyle w:val="Heading2"/>
        <w:spacing w:before="200" w:after="0"/>
        <w:rPr/>
      </w:pPr>
      <w:r>
        <w:rPr/>
      </w:r>
    </w:p>
    <w:p>
      <w:pPr>
        <w:pStyle w:val="Heading2"/>
        <w:spacing w:before="200" w:after="0"/>
        <w:rPr/>
      </w:pPr>
      <w:r>
        <w:rPr/>
      </w:r>
    </w:p>
    <w:p>
      <w:pPr>
        <w:pStyle w:val="Heading2"/>
        <w:spacing w:before="200" w:after="0"/>
        <w:rPr/>
      </w:pPr>
      <w:r>
        <w:rPr/>
      </w:r>
    </w:p>
    <w:p>
      <w:pPr>
        <w:pStyle w:val="Heading2"/>
        <w:spacing w:before="200" w:after="0"/>
        <w:rPr/>
      </w:pPr>
      <w:r>
        <w:rPr/>
      </w:r>
    </w:p>
    <w:p>
      <w:pPr>
        <w:pStyle w:val="Heading2"/>
        <w:spacing w:before="200" w:after="0"/>
        <w:rPr/>
      </w:pPr>
      <w:r>
        <w:rPr/>
      </w:r>
    </w:p>
    <w:p>
      <w:pPr>
        <w:pStyle w:val="Heading2"/>
        <w:spacing w:before="200" w:after="0"/>
        <w:rPr/>
      </w:pPr>
      <w:r>
        <w:rPr/>
      </w:r>
    </w:p>
    <w:p>
      <w:pPr>
        <w:pStyle w:val="Heading2"/>
        <w:spacing w:before="200" w:after="0"/>
        <w:rPr/>
      </w:pPr>
      <w:r>
        <w:rPr/>
      </w:r>
    </w:p>
    <w:p>
      <w:pPr>
        <w:pStyle w:val="Heading2"/>
        <w:spacing w:before="200" w:after="0"/>
        <w:rPr/>
      </w:pPr>
      <w:r>
        <w:rPr/>
      </w:r>
    </w:p>
    <w:p>
      <w:pPr>
        <w:pStyle w:val="Heading2"/>
        <w:spacing w:before="200" w:after="0"/>
        <w:rPr/>
      </w:pPr>
      <w:r>
        <w:rPr/>
      </w:r>
    </w:p>
    <w:p>
      <w:pPr>
        <w:pStyle w:val="Heading2"/>
        <w:spacing w:before="200" w:after="0"/>
        <w:rPr/>
      </w:pPr>
      <w:r>
        <w:rPr/>
      </w:r>
    </w:p>
    <w:p>
      <w:pPr>
        <w:pStyle w:val="p1"/>
        <w:spacing w:before="280" w:after="280"/>
        <w:rPr>
          <w:b/>
          <w:bCs/>
          <w:sz w:val="36"/>
          <w:szCs w:val="36"/>
        </w:rPr>
      </w:pPr>
      <w:r>
        <w:rPr>
          <w:b/>
          <w:bCs/>
          <w:sz w:val="36"/>
          <w:szCs w:val="36"/>
        </w:rPr>
        <w:t>1. Company Overview and Identified Problems</w:t>
      </w:r>
    </w:p>
    <w:p>
      <w:pPr>
        <w:pStyle w:val="p3"/>
        <w:spacing w:before="280" w:after="280"/>
        <w:rPr/>
      </w:pPr>
      <w:r>
        <w:rPr/>
        <w:t xml:space="preserve">Tele Wholesale Stationers is a long-standing, family-owned Portuguese stationery wholesaler located at </w:t>
      </w:r>
      <w:r>
        <w:rPr>
          <w:rStyle w:val="s2"/>
          <w:rFonts w:eastAsia="" w:eastAsiaTheme="majorEastAsia"/>
          <w:b/>
          <w:bCs/>
        </w:rPr>
        <w:t>155 Pretoria Road, Rynfield, Benoni, Gauteng, South Africa</w:t>
      </w:r>
      <w:r>
        <w:rPr/>
        <w:t xml:space="preserve">. Operated by </w:t>
      </w:r>
      <w:r>
        <w:rPr>
          <w:rStyle w:val="s2"/>
          <w:rFonts w:eastAsia="" w:eastAsiaTheme="majorEastAsia"/>
          <w:b/>
          <w:bCs/>
        </w:rPr>
        <w:t>Michael and Rita Luiz</w:t>
      </w:r>
      <w:r>
        <w:rPr/>
        <w:t xml:space="preserve">, the company has been in business for </w:t>
      </w:r>
      <w:r>
        <w:rPr>
          <w:rStyle w:val="s2"/>
          <w:rFonts w:eastAsia="" w:eastAsiaTheme="majorEastAsia"/>
          <w:b/>
          <w:bCs/>
        </w:rPr>
        <w:t>over two decades</w:t>
      </w:r>
      <w:r>
        <w:rPr/>
        <w:t>, supplying a wide range of stationery and office essentials to local schools, retailers, and corporate clients. Their reputation is built on reliability, personal relationships with customers, and consistency in product quality.</w:t>
      </w:r>
    </w:p>
    <w:p>
      <w:pPr>
        <w:pStyle w:val="p3"/>
        <w:spacing w:before="280" w:after="280"/>
        <w:rPr/>
      </w:pPr>
      <w:r>
        <w:rPr/>
        <w:t xml:space="preserve">Despite their success, the company’s </w:t>
      </w:r>
      <w:r>
        <w:rPr>
          <w:rStyle w:val="s2"/>
          <w:rFonts w:eastAsia="" w:eastAsiaTheme="majorEastAsia"/>
          <w:b/>
          <w:bCs/>
        </w:rPr>
        <w:t>warehouse and stock management processes remain heavily manual</w:t>
      </w:r>
      <w:r>
        <w:rPr/>
        <w:t xml:space="preserve">. Staff members routinely conduct stock counts using pen, paper, or basic note-taking applications on tablets. After completing these counts, employees must </w:t>
      </w:r>
      <w:r>
        <w:rPr>
          <w:rStyle w:val="s2"/>
          <w:rFonts w:eastAsia="" w:eastAsiaTheme="majorEastAsia"/>
          <w:b/>
          <w:bCs/>
        </w:rPr>
        <w:t>manually capture data into spreadsheets or outdated desktop systems</w:t>
      </w:r>
      <w:r>
        <w:rPr/>
        <w:t>, creating a repetitive cycle prone to error. This traditional approach has led to several key operational issues:</w:t>
      </w:r>
    </w:p>
    <w:p>
      <w:pPr>
        <w:pStyle w:val="p1"/>
        <w:numPr>
          <w:ilvl w:val="0"/>
          <w:numId w:val="7"/>
        </w:numPr>
        <w:spacing w:before="280" w:after="0"/>
        <w:rPr/>
      </w:pPr>
      <w:r>
        <w:rPr>
          <w:rStyle w:val="s1"/>
          <w:b/>
          <w:bCs/>
        </w:rPr>
        <w:t>Duplicate data entry</w:t>
      </w:r>
      <w:r>
        <w:rPr/>
        <w:t xml:space="preserve"> between handwritten notes and digital systems, wasting valuable time.</w:t>
      </w:r>
    </w:p>
    <w:p>
      <w:pPr>
        <w:pStyle w:val="p1"/>
        <w:numPr>
          <w:ilvl w:val="0"/>
          <w:numId w:val="7"/>
        </w:numPr>
        <w:spacing w:before="0" w:after="0"/>
        <w:rPr/>
      </w:pPr>
      <w:r>
        <w:rPr>
          <w:rStyle w:val="s1"/>
          <w:b/>
          <w:bCs/>
        </w:rPr>
        <w:t>Human error</w:t>
      </w:r>
      <w:r>
        <w:rPr/>
        <w:t xml:space="preserve"> in transcription, leading to mismatched stock levels and discrepancies between recorded and actual inventory.</w:t>
      </w:r>
    </w:p>
    <w:p>
      <w:pPr>
        <w:pStyle w:val="p1"/>
        <w:numPr>
          <w:ilvl w:val="0"/>
          <w:numId w:val="7"/>
        </w:numPr>
        <w:spacing w:before="0" w:after="0"/>
        <w:rPr/>
      </w:pPr>
      <w:r>
        <w:rPr>
          <w:rStyle w:val="s1"/>
          <w:b/>
          <w:bCs/>
        </w:rPr>
        <w:t>Poor real-time visibility</w:t>
      </w:r>
      <w:r>
        <w:rPr/>
        <w:t>, with managers unable to see accurate stock updates until data is manually processed.</w:t>
      </w:r>
    </w:p>
    <w:p>
      <w:pPr>
        <w:pStyle w:val="p1"/>
        <w:numPr>
          <w:ilvl w:val="0"/>
          <w:numId w:val="7"/>
        </w:numPr>
        <w:spacing w:before="0" w:after="0"/>
        <w:rPr/>
      </w:pPr>
      <w:r>
        <w:rPr>
          <w:rStyle w:val="s1"/>
          <w:b/>
          <w:bCs/>
        </w:rPr>
        <w:t>Delayed order fulfilment</w:t>
      </w:r>
      <w:r>
        <w:rPr/>
        <w:t>, as picking and packing depend on reconciled spreadsheets rather than live data.</w:t>
      </w:r>
    </w:p>
    <w:p>
      <w:pPr>
        <w:pStyle w:val="p1"/>
        <w:numPr>
          <w:ilvl w:val="0"/>
          <w:numId w:val="7"/>
        </w:numPr>
        <w:spacing w:before="0" w:after="280"/>
        <w:rPr/>
      </w:pPr>
      <w:r>
        <w:rPr>
          <w:rStyle w:val="s1"/>
          <w:b/>
          <w:bCs/>
        </w:rPr>
        <w:t>Limited traceability</w:t>
      </w:r>
      <w:r>
        <w:rPr/>
        <w:t xml:space="preserve"> of goods once they are picked for delivery or received from suppliers.</w:t>
      </w:r>
    </w:p>
    <w:p>
      <w:pPr>
        <w:pStyle w:val="p3"/>
        <w:spacing w:before="280" w:after="280"/>
        <w:rPr/>
      </w:pPr>
      <w:r>
        <w:rPr/>
        <w:t xml:space="preserve">The Luiz family recognises that while their business has a strong local presence and loyal customer base, </w:t>
      </w:r>
      <w:r>
        <w:rPr>
          <w:rStyle w:val="s2"/>
          <w:rFonts w:eastAsia="" w:eastAsiaTheme="majorEastAsia"/>
          <w:b/>
          <w:bCs/>
        </w:rPr>
        <w:t>their internal systems have not kept pace with modern digital practices</w:t>
      </w:r>
      <w:r>
        <w:rPr/>
        <w:t xml:space="preserve">. They have already taken steps toward modernisation — operating a functioning website and offering delivery services — but their </w:t>
      </w:r>
      <w:r>
        <w:rPr>
          <w:rStyle w:val="s2"/>
          <w:rFonts w:eastAsia="" w:eastAsiaTheme="majorEastAsia"/>
          <w:b/>
          <w:bCs/>
        </w:rPr>
        <w:t>warehouse operations still depend on paper trails</w:t>
      </w:r>
      <w:r>
        <w:rPr/>
        <w:t xml:space="preserve"> that slow down productivity and make reporting cumbersome.</w:t>
      </w:r>
    </w:p>
    <w:p>
      <w:pPr>
        <w:pStyle w:val="p2"/>
        <w:spacing w:before="280" w:after="280"/>
        <w:rPr/>
      </w:pPr>
      <w:r>
        <w:rPr/>
      </w:r>
    </w:p>
    <w:p>
      <w:pPr>
        <w:pStyle w:val="p3"/>
        <w:spacing w:before="280" w:after="280"/>
        <w:rPr/>
      </w:pPr>
      <w:r>
        <w:rPr/>
        <w:t xml:space="preserve">The opportunity therefore lies in </w:t>
      </w:r>
      <w:r>
        <w:rPr>
          <w:rStyle w:val="s2"/>
          <w:rFonts w:eastAsia="" w:eastAsiaTheme="majorEastAsia"/>
          <w:b/>
          <w:bCs/>
        </w:rPr>
        <w:t>digitally transforming their stock-taking, packing, and delivery processes</w:t>
      </w:r>
      <w:r>
        <w:rPr/>
        <w:t xml:space="preserve"> without disrupting their day-to-day workflow. Any solution would need to respect their existing culture of trust and personal oversight while introducing </w:t>
      </w:r>
      <w:r>
        <w:rPr>
          <w:rStyle w:val="s2"/>
          <w:rFonts w:eastAsia="" w:eastAsiaTheme="majorEastAsia"/>
          <w:b/>
          <w:bCs/>
        </w:rPr>
        <w:t>real-time visibility, data integrity, and automation</w:t>
      </w:r>
      <w:r>
        <w:rPr/>
        <w:t>.</w:t>
      </w:r>
    </w:p>
    <w:p>
      <w:pPr>
        <w:pStyle w:val="Normal"/>
        <w:rPr>
          <w:rStyle w:val="s1"/>
        </w:rPr>
      </w:pPr>
      <w:r>
        <w:rPr/>
        <mc:AlternateContent>
          <mc:Choice Requires="wps">
            <w:drawing>
              <wp:inline distT="0" distB="0" distL="0" distR="0" wp14:anchorId="56551C43">
                <wp:extent cx="5486400" cy="1270"/>
                <wp:effectExtent l="0" t="0" r="12700" b="24130"/>
                <wp:docPr id="1" name="Rectangle 71"/>
                <a:graphic xmlns:a="http://schemas.openxmlformats.org/drawingml/2006/main">
                  <a:graphicData uri="http://schemas.microsoft.com/office/word/2010/wordprocessingShape">
                    <wps:wsp>
                      <wps:cNvSpPr/>
                      <wps:spPr>
                        <a:xfrm>
                          <a:off x="0" y="0"/>
                          <a:ext cx="5486400" cy="1440"/>
                        </a:xfrm>
                        <a:prstGeom prst="rect">
                          <a:avLst/>
                        </a:prstGeom>
                        <a:noFill/>
                        <a:ln w="9525">
                          <a:solidFill>
                            <a:srgbClr val="a0a0a0"/>
                          </a:solidFill>
                          <a:miter/>
                        </a:ln>
                      </wps:spPr>
                      <wps:style>
                        <a:lnRef idx="0"/>
                        <a:fillRef idx="0"/>
                        <a:effectRef idx="0"/>
                        <a:fontRef idx="minor"/>
                      </wps:style>
                      <wps:bodyPr/>
                    </wps:wsp>
                  </a:graphicData>
                </a:graphic>
              </wp:inline>
            </w:drawing>
          </mc:Choice>
          <mc:Fallback>
            <w:pict>
              <v:rect id="shape_0" ID="Rectangle 71" path="m0,0l-2147483645,0l-2147483645,-2147483646l0,-2147483646xe" stroked="t" o:allowincell="f" style="position:absolute;margin-left:0pt;margin-top:-2.05pt;width:431.95pt;height:0.05pt;mso-wrap-style:none;v-text-anchor:middle;mso-position-vertical:top" wp14:anchorId="56551C43">
                <v:fill o:detectmouseclick="t" on="false"/>
                <v:stroke color="#a0a0a0" weight="9360" joinstyle="miter" endcap="flat"/>
                <w10:wrap type="square"/>
              </v:rect>
            </w:pict>
          </mc:Fallback>
        </mc:AlternateContent>
      </w:r>
    </w:p>
    <w:p>
      <w:pPr>
        <w:pStyle w:val="p1"/>
        <w:spacing w:before="280" w:after="280"/>
        <w:rPr>
          <w:sz w:val="36"/>
          <w:szCs w:val="36"/>
        </w:rPr>
      </w:pPr>
      <w:r>
        <w:rPr>
          <w:sz w:val="36"/>
          <w:szCs w:val="36"/>
        </w:rPr>
      </w:r>
    </w:p>
    <w:p>
      <w:pPr>
        <w:pStyle w:val="p1"/>
        <w:spacing w:before="280" w:after="280"/>
        <w:rPr>
          <w:b/>
          <w:bCs/>
        </w:rPr>
      </w:pPr>
      <w:r>
        <w:rPr>
          <w:b/>
          <w:bCs/>
          <w:sz w:val="36"/>
          <w:szCs w:val="36"/>
        </w:rPr>
        <w:t>2. Proposed Digital Solution – TWS-Scan</w:t>
      </w:r>
    </w:p>
    <w:p>
      <w:pPr>
        <w:pStyle w:val="p3"/>
        <w:spacing w:before="280" w:after="280"/>
        <w:rPr/>
      </w:pPr>
      <w:r>
        <w:rPr/>
        <w:t xml:space="preserve">In response to these operational challenges, I, </w:t>
      </w:r>
      <w:r>
        <w:rPr>
          <w:rStyle w:val="s2"/>
          <w:rFonts w:eastAsia="" w:eastAsiaTheme="majorEastAsia"/>
          <w:b/>
          <w:bCs/>
        </w:rPr>
        <w:t>Ryan Adams</w:t>
      </w:r>
      <w:r>
        <w:rPr/>
        <w:t xml:space="preserve">, designed and developed a custom-built mobile and backend system named </w:t>
      </w:r>
      <w:r>
        <w:rPr>
          <w:rStyle w:val="s2"/>
          <w:rFonts w:eastAsia="" w:eastAsiaTheme="majorEastAsia"/>
          <w:b/>
          <w:bCs/>
        </w:rPr>
        <w:t>TWS-Scan</w:t>
      </w:r>
      <w:r>
        <w:rPr/>
        <w:t xml:space="preserve"> (Tele Wholesale Stationers Scan System). The goal of TWS-Scan is to </w:t>
      </w:r>
      <w:r>
        <w:rPr>
          <w:rStyle w:val="s2"/>
          <w:rFonts w:eastAsia="" w:eastAsiaTheme="majorEastAsia"/>
          <w:b/>
          <w:bCs/>
        </w:rPr>
        <w:t>modernise inventory management and delivery tracking</w:t>
      </w:r>
      <w:r>
        <w:rPr/>
        <w:t xml:space="preserve"> through the use of mobile barcode scanning and cloud-connected data systems — eliminating redundant paperwork while providing fast, accurate, and accessible insights into warehouse operations.</w:t>
      </w:r>
    </w:p>
    <w:p>
      <w:pPr>
        <w:pStyle w:val="Heading3"/>
        <w:rPr/>
      </w:pPr>
      <w:r>
        <w:rPr/>
        <w:br/>
        <w:t>System Overview</w:t>
      </w:r>
    </w:p>
    <w:p>
      <w:pPr>
        <w:pStyle w:val="p3"/>
        <w:spacing w:before="280" w:after="280"/>
        <w:rPr/>
      </w:pPr>
      <w:r>
        <w:rPr/>
        <w:t xml:space="preserve">TWS-Scan consists of </w:t>
      </w:r>
      <w:r>
        <w:rPr>
          <w:rStyle w:val="s2"/>
          <w:rFonts w:eastAsia="" w:eastAsiaTheme="majorEastAsia"/>
          <w:b/>
          <w:bCs/>
        </w:rPr>
        <w:t>three main subsystems</w:t>
      </w:r>
      <w:r>
        <w:rPr/>
        <w:t>, integrated within one mobile application and supported by a robust cloud backend:</w:t>
      </w:r>
    </w:p>
    <w:p>
      <w:pPr>
        <w:pStyle w:val="p1"/>
        <w:numPr>
          <w:ilvl w:val="0"/>
          <w:numId w:val="8"/>
        </w:numPr>
        <w:spacing w:before="280" w:after="0"/>
        <w:rPr/>
      </w:pPr>
      <w:r>
        <w:rPr>
          <w:rStyle w:val="s1"/>
          <w:b/>
          <w:bCs/>
        </w:rPr>
        <w:t>Stock-Taking System</w:t>
      </w:r>
      <w:r>
        <w:rPr/>
        <w:t xml:space="preserve"> – allows warehouse staff to scan item barcodes using their Android smartphones. Each scan automatically updates stock quantities in a centralised Azure SQL database, ensuring that inventory records are accurate in real time.</w:t>
      </w:r>
    </w:p>
    <w:p>
      <w:pPr>
        <w:pStyle w:val="p1"/>
        <w:numPr>
          <w:ilvl w:val="0"/>
          <w:numId w:val="8"/>
        </w:numPr>
        <w:spacing w:before="0" w:after="0"/>
        <w:rPr/>
      </w:pPr>
      <w:r>
        <w:rPr>
          <w:rStyle w:val="s1"/>
          <w:b/>
          <w:bCs/>
        </w:rPr>
        <w:t>Picking and Packing System</w:t>
      </w:r>
      <w:r>
        <w:rPr/>
        <w:t xml:space="preserve"> – manages the order fulfilment process by verifying that the correct items and quantities are picked for dispatch. This module ensures error-free packaging and records completion timestamps for accountability.</w:t>
      </w:r>
    </w:p>
    <w:p>
      <w:pPr>
        <w:pStyle w:val="p1"/>
        <w:numPr>
          <w:ilvl w:val="0"/>
          <w:numId w:val="8"/>
        </w:numPr>
        <w:spacing w:before="0" w:after="280"/>
        <w:rPr/>
      </w:pPr>
      <w:r>
        <w:rPr>
          <w:rStyle w:val="s1"/>
          <w:b/>
          <w:bCs/>
        </w:rPr>
        <w:t>Receipts and Inbound System</w:t>
      </w:r>
      <w:r>
        <w:rPr/>
        <w:t xml:space="preserve"> – facilitates inbound logistics by enabling staff to record new supplier deliveries, log quantities received, and attach proof of receipt, such as images or signed documents.</w:t>
      </w:r>
    </w:p>
    <w:p>
      <w:pPr>
        <w:pStyle w:val="p2"/>
        <w:spacing w:before="280" w:after="280"/>
        <w:rPr/>
      </w:pPr>
      <w:r>
        <w:rPr/>
      </w:r>
    </w:p>
    <w:p>
      <w:pPr>
        <w:pStyle w:val="Heading3"/>
        <w:rPr/>
      </w:pPr>
      <w:r>
        <w:rPr/>
        <w:t>Technology Stack and Design Rationale</w:t>
      </w:r>
    </w:p>
    <w:p>
      <w:pPr>
        <w:pStyle w:val="p3"/>
        <w:spacing w:before="280" w:after="280"/>
        <w:rPr/>
      </w:pPr>
      <w:r>
        <w:rPr/>
        <w:t xml:space="preserve">The system was intentionally designed using </w:t>
      </w:r>
      <w:r>
        <w:rPr>
          <w:rStyle w:val="s2"/>
          <w:rFonts w:eastAsia="" w:eastAsiaTheme="majorEastAsia"/>
          <w:b/>
          <w:bCs/>
        </w:rPr>
        <w:t>accessible and cost-effective technologies</w:t>
      </w:r>
      <w:r>
        <w:rPr/>
        <w:t xml:space="preserve"> suited for small-to-medium enterprises:</w:t>
      </w:r>
    </w:p>
    <w:p>
      <w:pPr>
        <w:pStyle w:val="p1"/>
        <w:numPr>
          <w:ilvl w:val="0"/>
          <w:numId w:val="9"/>
        </w:numPr>
        <w:spacing w:before="280" w:after="0"/>
        <w:rPr/>
      </w:pPr>
      <w:r>
        <w:rPr>
          <w:rStyle w:val="s1"/>
          <w:b/>
          <w:bCs/>
        </w:rPr>
        <w:t>Frontend:</w:t>
      </w:r>
      <w:r>
        <w:rPr/>
        <w:t xml:space="preserve"> Android mobile application built in </w:t>
      </w:r>
      <w:r>
        <w:rPr>
          <w:rStyle w:val="s1"/>
          <w:b/>
          <w:bCs/>
        </w:rPr>
        <w:t>Kotlin</w:t>
      </w:r>
      <w:r>
        <w:rPr/>
        <w:t xml:space="preserve"> with XML layouts, using </w:t>
      </w:r>
      <w:r>
        <w:rPr>
          <w:rStyle w:val="s1"/>
          <w:b/>
          <w:bCs/>
        </w:rPr>
        <w:t>Google ML Kit</w:t>
      </w:r>
      <w:r>
        <w:rPr/>
        <w:t xml:space="preserve"> for barcode scanning.</w:t>
      </w:r>
    </w:p>
    <w:p>
      <w:pPr>
        <w:pStyle w:val="p1"/>
        <w:numPr>
          <w:ilvl w:val="0"/>
          <w:numId w:val="9"/>
        </w:numPr>
        <w:spacing w:before="0" w:after="0"/>
        <w:rPr/>
      </w:pPr>
      <w:r>
        <w:rPr>
          <w:b/>
          <w:bCs/>
        </w:rPr>
        <w:t>Backend:</w:t>
      </w:r>
      <w:r>
        <w:rPr>
          <w:rStyle w:val="s1"/>
        </w:rPr>
        <w:t xml:space="preserve"> RESTful API developed in </w:t>
      </w:r>
      <w:r>
        <w:rPr>
          <w:b/>
          <w:bCs/>
        </w:rPr>
        <w:t>Python (FastAPI)</w:t>
      </w:r>
      <w:r>
        <w:rPr>
          <w:rStyle w:val="s1"/>
        </w:rPr>
        <w:t xml:space="preserve">, hosted on </w:t>
      </w:r>
      <w:r>
        <w:rPr>
          <w:b/>
          <w:bCs/>
        </w:rPr>
        <w:t>Azure App Service</w:t>
      </w:r>
      <w:r>
        <w:rPr>
          <w:rStyle w:val="s1"/>
        </w:rPr>
        <w:t>.</w:t>
      </w:r>
    </w:p>
    <w:p>
      <w:pPr>
        <w:pStyle w:val="p1"/>
        <w:numPr>
          <w:ilvl w:val="0"/>
          <w:numId w:val="9"/>
        </w:numPr>
        <w:spacing w:before="0" w:after="0"/>
        <w:rPr/>
      </w:pPr>
      <w:r>
        <w:rPr>
          <w:rStyle w:val="s1"/>
          <w:b/>
          <w:bCs/>
        </w:rPr>
        <w:t>Database:</w:t>
      </w:r>
      <w:r>
        <w:rPr/>
        <w:t xml:space="preserve"> </w:t>
      </w:r>
      <w:r>
        <w:rPr>
          <w:rStyle w:val="s1"/>
          <w:b/>
          <w:bCs/>
        </w:rPr>
        <w:t>Azure SQL</w:t>
      </w:r>
      <w:r>
        <w:rPr/>
        <w:t xml:space="preserve"> database for reliable, cloud-based data storage with stored procedures for validation and logging.</w:t>
      </w:r>
    </w:p>
    <w:p>
      <w:pPr>
        <w:pStyle w:val="p1"/>
        <w:numPr>
          <w:ilvl w:val="0"/>
          <w:numId w:val="9"/>
        </w:numPr>
        <w:spacing w:before="0" w:after="0"/>
        <w:rPr/>
      </w:pPr>
      <w:r>
        <w:rPr>
          <w:rStyle w:val="s1"/>
          <w:b/>
          <w:bCs/>
        </w:rPr>
        <w:t>Storage:</w:t>
      </w:r>
      <w:r>
        <w:rPr/>
        <w:t xml:space="preserve"> </w:t>
      </w:r>
      <w:r>
        <w:rPr>
          <w:rStyle w:val="s1"/>
          <w:b/>
          <w:bCs/>
        </w:rPr>
        <w:t>Azure Blob Storage</w:t>
      </w:r>
      <w:r>
        <w:rPr/>
        <w:t xml:space="preserve"> for proof-of-delivery images and receipts.</w:t>
      </w:r>
    </w:p>
    <w:p>
      <w:pPr>
        <w:pStyle w:val="p1"/>
        <w:numPr>
          <w:ilvl w:val="0"/>
          <w:numId w:val="9"/>
        </w:numPr>
        <w:spacing w:before="0" w:after="280"/>
        <w:rPr/>
      </w:pPr>
      <w:r>
        <w:rPr>
          <w:rStyle w:val="s1"/>
          <w:b/>
          <w:bCs/>
        </w:rPr>
        <w:t>Security:</w:t>
      </w:r>
      <w:r>
        <w:rPr/>
        <w:t xml:space="preserve"> </w:t>
      </w:r>
      <w:r>
        <w:rPr>
          <w:rStyle w:val="s1"/>
          <w:b/>
          <w:bCs/>
        </w:rPr>
        <w:t>JWT authentication</w:t>
      </w:r>
      <w:r>
        <w:rPr/>
        <w:t xml:space="preserve"> and </w:t>
      </w:r>
      <w:r>
        <w:rPr>
          <w:rStyle w:val="s1"/>
          <w:b/>
          <w:bCs/>
        </w:rPr>
        <w:t>Azure Key Vault</w:t>
      </w:r>
      <w:r>
        <w:rPr/>
        <w:t xml:space="preserve"> to manage secrets and tokens securely.</w:t>
      </w:r>
    </w:p>
    <w:p>
      <w:pPr>
        <w:pStyle w:val="p2"/>
        <w:spacing w:before="280" w:after="280"/>
        <w:rPr/>
      </w:pPr>
      <w:r>
        <w:rPr/>
      </w:r>
    </w:p>
    <w:p>
      <w:pPr>
        <w:pStyle w:val="p3"/>
        <w:spacing w:before="280" w:after="280"/>
        <w:rPr/>
      </w:pPr>
      <w:r>
        <w:rPr/>
        <w:t xml:space="preserve">This architecture ensures </w:t>
      </w:r>
      <w:r>
        <w:rPr>
          <w:rStyle w:val="s2"/>
          <w:rFonts w:eastAsia="" w:eastAsiaTheme="majorEastAsia"/>
          <w:b/>
          <w:bCs/>
        </w:rPr>
        <w:t>scalability</w:t>
      </w:r>
      <w:r>
        <w:rPr/>
        <w:t xml:space="preserve">, </w:t>
      </w:r>
      <w:r>
        <w:rPr>
          <w:rStyle w:val="s2"/>
          <w:rFonts w:eastAsia="" w:eastAsiaTheme="majorEastAsia"/>
          <w:b/>
          <w:bCs/>
        </w:rPr>
        <w:t>security</w:t>
      </w:r>
      <w:r>
        <w:rPr/>
        <w:t xml:space="preserve">, and </w:t>
      </w:r>
      <w:r>
        <w:rPr>
          <w:rStyle w:val="s2"/>
          <w:rFonts w:eastAsia="" w:eastAsiaTheme="majorEastAsia"/>
          <w:b/>
          <w:bCs/>
        </w:rPr>
        <w:t>ease of deployment</w:t>
      </w:r>
      <w:r>
        <w:rPr/>
        <w:t>, allowing the system to grow alongside the client’s needs while keeping operational costs low.</w:t>
      </w:r>
    </w:p>
    <w:p>
      <w:pPr>
        <w:pStyle w:val="p2"/>
        <w:spacing w:before="280" w:after="280"/>
        <w:rPr/>
      </w:pPr>
      <w:r>
        <w:rPr/>
      </w:r>
    </w:p>
    <w:p>
      <w:pPr>
        <w:pStyle w:val="Heading3"/>
        <w:rPr/>
      </w:pPr>
      <w:r>
        <w:rPr/>
        <w:t>Business Benefits</w:t>
      </w:r>
    </w:p>
    <w:p>
      <w:pPr>
        <w:pStyle w:val="p3"/>
        <w:spacing w:before="280" w:after="280"/>
        <w:rPr/>
      </w:pPr>
      <w:r>
        <w:rPr/>
        <w:t>By implementing TWS-Scan, Tele Wholesale Stationers gains measurable improvements in both efficiency and accuracy:</w:t>
      </w:r>
    </w:p>
    <w:p>
      <w:pPr>
        <w:pStyle w:val="p1"/>
        <w:numPr>
          <w:ilvl w:val="0"/>
          <w:numId w:val="10"/>
        </w:numPr>
        <w:spacing w:before="280" w:after="0"/>
        <w:rPr/>
      </w:pPr>
      <w:r>
        <w:rPr>
          <w:rStyle w:val="s1"/>
          <w:b/>
          <w:bCs/>
        </w:rPr>
        <w:t>Instant stock visibility:</w:t>
      </w:r>
      <w:r>
        <w:rPr/>
        <w:t xml:space="preserve"> Managers can view accurate stock levels at any time without manual reconciliations.</w:t>
      </w:r>
    </w:p>
    <w:p>
      <w:pPr>
        <w:pStyle w:val="p1"/>
        <w:numPr>
          <w:ilvl w:val="0"/>
          <w:numId w:val="10"/>
        </w:numPr>
        <w:spacing w:before="0" w:after="0"/>
        <w:rPr/>
      </w:pPr>
      <w:r>
        <w:rPr>
          <w:rStyle w:val="s1"/>
          <w:b/>
          <w:bCs/>
        </w:rPr>
        <w:t>Reduced errors:</w:t>
      </w:r>
      <w:r>
        <w:rPr/>
        <w:t xml:space="preserve"> Barcode scanning and centralised data eliminate the risk of transcription mistakes.</w:t>
      </w:r>
    </w:p>
    <w:p>
      <w:pPr>
        <w:pStyle w:val="p1"/>
        <w:numPr>
          <w:ilvl w:val="0"/>
          <w:numId w:val="10"/>
        </w:numPr>
        <w:spacing w:before="0" w:after="0"/>
        <w:rPr/>
      </w:pPr>
      <w:r>
        <w:rPr>
          <w:rStyle w:val="s1"/>
          <w:b/>
          <w:bCs/>
        </w:rPr>
        <w:t>Improved productivity:</w:t>
      </w:r>
      <w:r>
        <w:rPr/>
        <w:t xml:space="preserve"> Staff spend less time on paperwork and more on actual order fulfilment.</w:t>
      </w:r>
    </w:p>
    <w:p>
      <w:pPr>
        <w:pStyle w:val="p1"/>
        <w:numPr>
          <w:ilvl w:val="0"/>
          <w:numId w:val="10"/>
        </w:numPr>
        <w:spacing w:before="0" w:after="0"/>
        <w:rPr/>
      </w:pPr>
      <w:r>
        <w:rPr>
          <w:rStyle w:val="s1"/>
          <w:b/>
          <w:bCs/>
        </w:rPr>
        <w:t>Accountability and traceability:</w:t>
      </w:r>
      <w:r>
        <w:rPr/>
        <w:t xml:space="preserve"> Every stock movement, pick, and delivery is timestamped and auditable.</w:t>
      </w:r>
    </w:p>
    <w:p>
      <w:pPr>
        <w:pStyle w:val="p1"/>
        <w:numPr>
          <w:ilvl w:val="0"/>
          <w:numId w:val="10"/>
        </w:numPr>
        <w:spacing w:before="0" w:after="280"/>
        <w:rPr/>
      </w:pPr>
      <w:r>
        <w:rPr>
          <w:rStyle w:val="s1"/>
          <w:b/>
          <w:bCs/>
        </w:rPr>
        <w:t>Offline-first functionality:</w:t>
      </w:r>
      <w:r>
        <w:rPr/>
        <w:t xml:space="preserve"> Even in environments without Wi-Fi, data is stored locally and synchronised automatically once connected.</w:t>
      </w:r>
    </w:p>
    <w:p>
      <w:pPr>
        <w:pStyle w:val="p2"/>
        <w:spacing w:before="280" w:after="280"/>
        <w:rPr/>
      </w:pPr>
      <w:r>
        <w:rPr/>
      </w:r>
    </w:p>
    <w:p>
      <w:pPr>
        <w:pStyle w:val="Heading3"/>
        <w:rPr/>
      </w:pPr>
      <w:r>
        <w:rPr/>
        <w:t>Strategic Impact</w:t>
      </w:r>
    </w:p>
    <w:p>
      <w:pPr>
        <w:pStyle w:val="p3"/>
        <w:spacing w:before="280" w:after="280"/>
        <w:rPr/>
      </w:pPr>
      <w:r>
        <w:rPr/>
        <w:t xml:space="preserve">TWS-Scan represents a </w:t>
      </w:r>
      <w:r>
        <w:rPr>
          <w:rStyle w:val="s2"/>
          <w:rFonts w:eastAsia="" w:eastAsiaTheme="majorEastAsia"/>
          <w:b/>
          <w:bCs/>
        </w:rPr>
        <w:t>step change in digital maturity</w:t>
      </w:r>
      <w:r>
        <w:rPr/>
        <w:t xml:space="preserve"> for Tele Wholesale Stationers. It integrates the reliability of traditional hands-on management with the efficiency of automation, providing a long-term platform that could later expand into </w:t>
      </w:r>
      <w:r>
        <w:rPr>
          <w:rStyle w:val="s2"/>
          <w:rFonts w:eastAsia="" w:eastAsiaTheme="majorEastAsia"/>
          <w:b/>
          <w:bCs/>
        </w:rPr>
        <w:t>sales analytics, delivery route optimisation, and customer portal integration</w:t>
      </w:r>
      <w:r>
        <w:rPr/>
        <w:t>.</w:t>
      </w:r>
    </w:p>
    <w:p>
      <w:pPr>
        <w:pStyle w:val="p3"/>
        <w:spacing w:before="280" w:after="280"/>
        <w:rPr/>
      </w:pPr>
      <w:r>
        <w:rPr/>
      </w:r>
    </w:p>
    <w:p>
      <w:pPr>
        <w:pStyle w:val="p3"/>
        <w:spacing w:before="280" w:after="280"/>
        <w:rPr/>
      </w:pPr>
      <w:r>
        <w:rPr/>
      </w:r>
    </w:p>
    <w:p>
      <w:pPr>
        <w:pStyle w:val="p3"/>
        <w:spacing w:before="280" w:after="280"/>
        <w:rPr/>
      </w:pPr>
      <w:r>
        <w:rPr/>
      </w:r>
    </w:p>
    <w:p>
      <w:pPr>
        <w:pStyle w:val="p3"/>
        <w:spacing w:before="280" w:after="280"/>
        <w:rPr/>
      </w:pPr>
      <w:r>
        <w:rPr/>
      </w:r>
    </w:p>
    <w:p>
      <w:pPr>
        <w:pStyle w:val="p3"/>
        <w:spacing w:before="280" w:after="280"/>
        <w:rPr/>
      </w:pPr>
      <w:r>
        <w:rPr/>
      </w:r>
    </w:p>
    <w:p>
      <w:pPr>
        <w:pStyle w:val="p3"/>
        <w:spacing w:before="280" w:after="280"/>
        <w:rPr/>
      </w:pPr>
      <w:r>
        <w:rPr/>
      </w:r>
    </w:p>
    <w:p>
      <w:pPr>
        <w:pStyle w:val="p3"/>
        <w:spacing w:before="280" w:after="280"/>
        <w:rPr/>
      </w:pPr>
      <w:r>
        <w:rPr/>
      </w:r>
    </w:p>
    <w:p>
      <w:pPr>
        <w:pStyle w:val="p3"/>
        <w:spacing w:before="280" w:after="280"/>
        <w:rPr/>
      </w:pPr>
      <w:r>
        <w:rPr/>
      </w:r>
    </w:p>
    <w:p>
      <w:pPr>
        <w:pStyle w:val="p1"/>
        <w:spacing w:before="280" w:after="280"/>
        <w:rPr>
          <w:b/>
          <w:bCs/>
        </w:rPr>
      </w:pPr>
      <w:r>
        <w:rPr>
          <w:b/>
          <w:bCs/>
          <w:sz w:val="36"/>
          <w:szCs w:val="36"/>
        </w:rPr>
        <w:t>3. Methodology and Development Approach</w:t>
      </w:r>
    </w:p>
    <w:p>
      <w:pPr>
        <w:pStyle w:val="p3"/>
        <w:spacing w:before="280" w:after="280"/>
        <w:rPr/>
      </w:pPr>
      <w:r>
        <w:rPr/>
        <w:t xml:space="preserve">The development of </w:t>
      </w:r>
      <w:r>
        <w:rPr>
          <w:rStyle w:val="s2"/>
          <w:rFonts w:eastAsia="" w:eastAsiaTheme="majorEastAsia"/>
          <w:b/>
          <w:bCs/>
        </w:rPr>
        <w:t>TWS-Scan</w:t>
      </w:r>
      <w:r>
        <w:rPr/>
        <w:t xml:space="preserve"> followed a hybrid project management methodology that combined the </w:t>
      </w:r>
      <w:r>
        <w:rPr>
          <w:rStyle w:val="s2"/>
          <w:rFonts w:eastAsia="" w:eastAsiaTheme="majorEastAsia"/>
          <w:b/>
          <w:bCs/>
        </w:rPr>
        <w:t>structured discipline of SAP Activate</w:t>
      </w:r>
      <w:r>
        <w:rPr/>
        <w:t xml:space="preserve"> with the </w:t>
      </w:r>
      <w:r>
        <w:rPr>
          <w:rStyle w:val="s2"/>
          <w:rFonts w:eastAsia="" w:eastAsiaTheme="majorEastAsia"/>
          <w:b/>
          <w:bCs/>
        </w:rPr>
        <w:t>flexibility of Agile Scrum practices</w:t>
      </w:r>
      <w:r>
        <w:rPr/>
        <w:t>. This blended approach ensured that the project remained adaptive to real-world constraints while adhering to professional enterprise delivery standards.</w:t>
      </w:r>
    </w:p>
    <w:p>
      <w:pPr>
        <w:pStyle w:val="p3"/>
        <w:spacing w:before="280" w:after="280"/>
        <w:rPr/>
      </w:pPr>
      <w:r>
        <w:rPr/>
        <w:t xml:space="preserve">Although the project was developed by a single individual — I, </w:t>
      </w:r>
      <w:r>
        <w:rPr>
          <w:rStyle w:val="s2"/>
          <w:rFonts w:eastAsia="" w:eastAsiaTheme="majorEastAsia"/>
          <w:b/>
          <w:bCs/>
        </w:rPr>
        <w:t>Ryan Adams</w:t>
      </w:r>
      <w:r>
        <w:rPr/>
        <w:t xml:space="preserve"> — it was executed as if managed by a multidisciplinary team. Roles, responsibilities, and milestones were clearly defined, and progress was tracked in iterative sprints aligned with SAP Activate’s phased lifecycle.</w:t>
      </w:r>
    </w:p>
    <w:p>
      <w:pPr>
        <w:pStyle w:val="Heading3"/>
        <w:rPr/>
      </w:pPr>
      <w:r>
        <w:rPr/>
        <w:br/>
        <w:t>3.1 SAP Activate Framework Alignment</w:t>
      </w:r>
    </w:p>
    <w:p>
      <w:pPr>
        <w:pStyle w:val="p3"/>
        <w:spacing w:before="280" w:after="280"/>
        <w:rPr/>
      </w:pPr>
      <w:r>
        <w:rPr/>
        <w:t xml:space="preserve">SAP Activate is a proven implementation framework widely used in enterprise software delivery. It provides a </w:t>
      </w:r>
      <w:r>
        <w:rPr>
          <w:rStyle w:val="s2"/>
          <w:rFonts w:eastAsia="" w:eastAsiaTheme="majorEastAsia"/>
          <w:b/>
          <w:bCs/>
        </w:rPr>
        <w:t>phase-based structure</w:t>
      </w:r>
      <w:r>
        <w:rPr/>
        <w:t xml:space="preserve"> that aligns project planning, execution, and validation through clear deliverables and quality gates. The TWS-Scan project was mapped to these six SAP Activate phases:</w:t>
      </w:r>
    </w:p>
    <w:tbl>
      <w:tblPr>
        <w:tblW w:w="8640" w:type="dxa"/>
        <w:jc w:val="left"/>
        <w:tblInd w:w="15" w:type="dxa"/>
        <w:tblLayout w:type="fixed"/>
        <w:tblCellMar>
          <w:top w:w="15" w:type="dxa"/>
          <w:left w:w="15" w:type="dxa"/>
          <w:bottom w:w="15" w:type="dxa"/>
          <w:right w:w="15" w:type="dxa"/>
        </w:tblCellMar>
        <w:tblLook w:val="04a0" w:noVBand="1" w:noHBand="0" w:lastColumn="0" w:firstColumn="1" w:lastRow="0" w:firstRow="1"/>
      </w:tblPr>
      <w:tblGrid>
        <w:gridCol w:w="1281"/>
        <w:gridCol w:w="7359"/>
      </w:tblGrid>
      <w:tr>
        <w:trPr>
          <w:tblHeader w:val="true"/>
        </w:trPr>
        <w:tc>
          <w:tcPr>
            <w:tcW w:w="1281" w:type="dxa"/>
            <w:tcBorders/>
            <w:shd w:fill="3465A4" w:val="clear"/>
            <w:vAlign w:val="center"/>
          </w:tcPr>
          <w:p>
            <w:pPr>
              <w:pStyle w:val="Normal"/>
              <w:spacing w:lineRule="auto" w:line="240" w:beforeAutospacing="1" w:after="0"/>
              <w:rPr>
                <w:rFonts w:ascii="Times New Roman" w:hAnsi="Times New Roman" w:eastAsia="Times New Roman" w:cs="Times New Roman"/>
                <w:b/>
                <w:bCs/>
                <w:sz w:val="24"/>
                <w:szCs w:val="24"/>
                <w:lang w:val="en-ZA" w:eastAsia="en-GB"/>
              </w:rPr>
            </w:pPr>
            <w:r>
              <w:rPr>
                <w:rFonts w:eastAsia="Times New Roman" w:cs="Times New Roman" w:ascii="Times New Roman" w:hAnsi="Times New Roman"/>
                <w:b/>
                <w:bCs/>
                <w:sz w:val="24"/>
                <w:szCs w:val="24"/>
                <w:lang w:val="en-ZA" w:eastAsia="en-GB"/>
              </w:rPr>
              <w:t>SAP Activate Phase</w:t>
            </w:r>
          </w:p>
        </w:tc>
        <w:tc>
          <w:tcPr>
            <w:tcW w:w="7359" w:type="dxa"/>
            <w:tcBorders/>
            <w:shd w:fill="3465A4" w:val="clear"/>
            <w:vAlign w:val="center"/>
          </w:tcPr>
          <w:p>
            <w:pPr>
              <w:pStyle w:val="Normal"/>
              <w:spacing w:lineRule="auto" w:line="240" w:beforeAutospacing="1" w:after="0"/>
              <w:jc w:val="center"/>
              <w:rPr>
                <w:rFonts w:ascii="Times New Roman" w:hAnsi="Times New Roman" w:eastAsia="Times New Roman" w:cs="Times New Roman"/>
                <w:b/>
                <w:bCs/>
                <w:sz w:val="24"/>
                <w:szCs w:val="24"/>
                <w:lang w:val="en-ZA" w:eastAsia="en-GB"/>
              </w:rPr>
            </w:pPr>
            <w:r>
              <w:rPr>
                <w:rFonts w:eastAsia="Times New Roman" w:cs="Times New Roman" w:ascii="Times New Roman" w:hAnsi="Times New Roman"/>
                <w:b/>
                <w:bCs/>
                <w:sz w:val="24"/>
                <w:szCs w:val="24"/>
                <w:lang w:val="en-ZA" w:eastAsia="en-GB"/>
              </w:rPr>
              <w:t>Application to TWS-Scan Project</w:t>
            </w:r>
          </w:p>
        </w:tc>
      </w:tr>
      <w:tr>
        <w:trPr/>
        <w:tc>
          <w:tcPr>
            <w:tcW w:w="1281"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Discover</w:t>
            </w:r>
          </w:p>
        </w:tc>
        <w:tc>
          <w:tcPr>
            <w:tcW w:w="7359"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Identified the need for digital transformation within Tele Wholesale Stationers. Conducted informal business analysis with Michael and Rita Luiz to confirm operational pain points, such as manual stock entry and delayed reconciliation.</w:t>
            </w:r>
          </w:p>
        </w:tc>
      </w:tr>
      <w:tr>
        <w:trPr/>
        <w:tc>
          <w:tcPr>
            <w:tcW w:w="1281"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Prepare</w:t>
            </w:r>
          </w:p>
        </w:tc>
        <w:tc>
          <w:tcPr>
            <w:tcW w:w="7359"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 xml:space="preserve">Established the development environment, created the GitHub repository, defined team roles, and documented the </w:t>
            </w:r>
            <w:r>
              <w:rPr>
                <w:rFonts w:eastAsia="Times New Roman" w:cs="Times New Roman" w:ascii="Times New Roman" w:hAnsi="Times New Roman"/>
                <w:i/>
                <w:iCs/>
                <w:sz w:val="24"/>
                <w:szCs w:val="24"/>
                <w:lang w:val="en-ZA" w:eastAsia="en-GB"/>
              </w:rPr>
              <w:t>Definition of Ready (DoR)</w:t>
            </w:r>
            <w:r>
              <w:rPr>
                <w:rFonts w:eastAsia="Times New Roman" w:cs="Times New Roman" w:ascii="Times New Roman" w:hAnsi="Times New Roman"/>
                <w:sz w:val="24"/>
                <w:szCs w:val="24"/>
                <w:lang w:val="en-ZA" w:eastAsia="en-GB"/>
              </w:rPr>
              <w:t xml:space="preserve"> and </w:t>
            </w:r>
            <w:r>
              <w:rPr>
                <w:rFonts w:eastAsia="Times New Roman" w:cs="Times New Roman" w:ascii="Times New Roman" w:hAnsi="Times New Roman"/>
                <w:i/>
                <w:iCs/>
                <w:sz w:val="24"/>
                <w:szCs w:val="24"/>
                <w:lang w:val="en-ZA" w:eastAsia="en-GB"/>
              </w:rPr>
              <w:t>Definition of Done (DoD)</w:t>
            </w:r>
            <w:r>
              <w:rPr>
                <w:rFonts w:eastAsia="Times New Roman" w:cs="Times New Roman" w:ascii="Times New Roman" w:hAnsi="Times New Roman"/>
                <w:sz w:val="24"/>
                <w:szCs w:val="24"/>
                <w:lang w:val="en-ZA" w:eastAsia="en-GB"/>
              </w:rPr>
              <w:t xml:space="preserve"> to guide sprint activities.</w:t>
            </w:r>
          </w:p>
        </w:tc>
      </w:tr>
      <w:tr>
        <w:trPr/>
        <w:tc>
          <w:tcPr>
            <w:tcW w:w="1281"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Explore</w:t>
            </w:r>
          </w:p>
        </w:tc>
        <w:tc>
          <w:tcPr>
            <w:tcW w:w="7359"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Conducted requirements gathering, mapped user stories to operational workflows, and created the initial domain model (Items, Orders, Deliveries, Receipts). Client feedback validated the design direction and usability expectations.</w:t>
            </w:r>
          </w:p>
        </w:tc>
      </w:tr>
      <w:tr>
        <w:trPr/>
        <w:tc>
          <w:tcPr>
            <w:tcW w:w="1281"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Realise</w:t>
            </w:r>
          </w:p>
        </w:tc>
        <w:tc>
          <w:tcPr>
            <w:tcW w:w="7359"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Developed and tested core features across multiple sprints, integrating the Android app with the FastAPI backend. Implemented the barcode scanning, picking, delivery, and receipts modules.</w:t>
            </w:r>
          </w:p>
        </w:tc>
      </w:tr>
      <w:tr>
        <w:trPr/>
        <w:tc>
          <w:tcPr>
            <w:tcW w:w="1281"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Deploy</w:t>
            </w:r>
          </w:p>
        </w:tc>
        <w:tc>
          <w:tcPr>
            <w:tcW w:w="7359"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Finalised the repository structure, completed system testing, merged stable builds into the main branch, and prepared the application for client review and submission.</w:t>
            </w:r>
          </w:p>
        </w:tc>
      </w:tr>
      <w:tr>
        <w:trPr/>
        <w:tc>
          <w:tcPr>
            <w:tcW w:w="1281"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Run</w:t>
            </w:r>
          </w:p>
        </w:tc>
        <w:tc>
          <w:tcPr>
            <w:tcW w:w="7359"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Ensured stability, performed documentation handover, and reflected on lessons learned. The system was validated as production-ready, capable of scaling as needed.</w:t>
            </w:r>
          </w:p>
        </w:tc>
      </w:tr>
    </w:tbl>
    <w:p>
      <w:pPr>
        <w:pStyle w:val="p1"/>
        <w:spacing w:before="280" w:after="280"/>
        <w:rPr/>
      </w:pPr>
      <w:r>
        <w:rPr/>
        <w:br/>
        <w:br/>
        <w:t xml:space="preserve">Each phase reinforced SAP Activate’s three core pillars — </w:t>
      </w:r>
      <w:r>
        <w:rPr>
          <w:rStyle w:val="s1"/>
          <w:b/>
          <w:bCs/>
        </w:rPr>
        <w:t>Methodology, Guided Configuration, and Best Practices</w:t>
      </w:r>
      <w:r>
        <w:rPr/>
        <w:t xml:space="preserve"> — adapted to a non-SAP technology context. While the platform stack (Kotlin, FastAPI, Azure) was independent, the </w:t>
      </w:r>
      <w:r>
        <w:rPr>
          <w:i/>
          <w:iCs/>
        </w:rPr>
        <w:t>governance discipline</w:t>
      </w:r>
      <w:r>
        <w:rPr/>
        <w:t xml:space="preserve"> and </w:t>
      </w:r>
      <w:r>
        <w:rPr>
          <w:i/>
          <w:iCs/>
        </w:rPr>
        <w:t>structured delivery checkpoints</w:t>
      </w:r>
      <w:r>
        <w:rPr/>
        <w:t xml:space="preserve"> remained true to SAP’s project ethos.</w:t>
      </w:r>
    </w:p>
    <w:p>
      <w:pPr>
        <w:pStyle w:val="Heading3"/>
        <w:rPr/>
      </w:pPr>
      <w:r>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6126480" cy="2880995"/>
            <wp:effectExtent l="0" t="0" r="0" b="0"/>
            <wp:wrapSquare wrapText="largest"/>
            <wp:docPr id="2"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7"/>
                    <pic:cNvPicPr>
                      <a:picLocks noChangeAspect="1" noChangeArrowheads="1"/>
                    </pic:cNvPicPr>
                  </pic:nvPicPr>
                  <pic:blipFill>
                    <a:blip r:embed="rId2"/>
                    <a:stretch>
                      <a:fillRect/>
                    </a:stretch>
                  </pic:blipFill>
                  <pic:spPr bwMode="auto">
                    <a:xfrm>
                      <a:off x="0" y="0"/>
                      <a:ext cx="6126480" cy="2880995"/>
                    </a:xfrm>
                    <a:prstGeom prst="rect">
                      <a:avLst/>
                    </a:prstGeom>
                    <a:noFill/>
                  </pic:spPr>
                </pic:pic>
              </a:graphicData>
            </a:graphic>
          </wp:anchor>
        </w:drawing>
      </w:r>
      <w:r>
        <w:rPr/>
        <w:br/>
        <w:br/>
        <w:br/>
        <w:t>3.2 Agile Scrum Adaptation for a Solo Developer</w:t>
      </w:r>
    </w:p>
    <w:p>
      <w:pPr>
        <w:pStyle w:val="p1"/>
        <w:spacing w:before="280" w:after="280"/>
        <w:rPr/>
      </w:pPr>
      <w:r>
        <w:rPr/>
        <w:t xml:space="preserve">While SAP Activate ensured strategic structure, </w:t>
      </w:r>
      <w:r>
        <w:rPr>
          <w:rStyle w:val="s1"/>
          <w:b/>
          <w:bCs/>
        </w:rPr>
        <w:t>Scrum principles</w:t>
      </w:r>
      <w:r>
        <w:rPr/>
        <w:t xml:space="preserve"> governed the daily and sprint-level execution of TWS-Scan. As a solo developer, I adopted the key Scrum ceremonies in a lightweight but disciplined manner to maintain accountability and iteration quality.</w:t>
      </w:r>
    </w:p>
    <w:tbl>
      <w:tblPr>
        <w:tblW w:w="8640" w:type="dxa"/>
        <w:jc w:val="left"/>
        <w:tblInd w:w="15" w:type="dxa"/>
        <w:tblLayout w:type="fixed"/>
        <w:tblCellMar>
          <w:top w:w="15" w:type="dxa"/>
          <w:left w:w="15" w:type="dxa"/>
          <w:bottom w:w="15" w:type="dxa"/>
          <w:right w:w="15" w:type="dxa"/>
        </w:tblCellMar>
        <w:tblLook w:val="04a0" w:noVBand="1" w:noHBand="0" w:lastColumn="0" w:firstColumn="1" w:lastRow="0" w:firstRow="1"/>
      </w:tblPr>
      <w:tblGrid>
        <w:gridCol w:w="1771"/>
        <w:gridCol w:w="6869"/>
      </w:tblGrid>
      <w:tr>
        <w:trPr>
          <w:tblHeader w:val="true"/>
        </w:trPr>
        <w:tc>
          <w:tcPr>
            <w:tcW w:w="1771" w:type="dxa"/>
            <w:tcBorders/>
            <w:shd w:fill="3465A4" w:val="clear"/>
            <w:vAlign w:val="center"/>
          </w:tcPr>
          <w:p>
            <w:pPr>
              <w:pStyle w:val="Normal"/>
              <w:spacing w:lineRule="auto" w:line="240" w:beforeAutospacing="1" w:after="0"/>
              <w:jc w:val="center"/>
              <w:rPr>
                <w:rFonts w:ascii="Times New Roman" w:hAnsi="Times New Roman" w:eastAsia="Times New Roman" w:cs="Times New Roman"/>
                <w:b/>
                <w:bCs/>
                <w:sz w:val="24"/>
                <w:szCs w:val="24"/>
                <w:lang w:val="en-ZA" w:eastAsia="en-GB"/>
              </w:rPr>
            </w:pPr>
            <w:r>
              <w:rPr>
                <w:rFonts w:eastAsia="Times New Roman" w:cs="Times New Roman" w:ascii="Times New Roman" w:hAnsi="Times New Roman"/>
                <w:b/>
                <w:bCs/>
                <w:sz w:val="24"/>
                <w:szCs w:val="24"/>
                <w:lang w:val="en-ZA" w:eastAsia="en-GB"/>
              </w:rPr>
              <w:t>Scrum Element</w:t>
            </w:r>
          </w:p>
        </w:tc>
        <w:tc>
          <w:tcPr>
            <w:tcW w:w="6869" w:type="dxa"/>
            <w:tcBorders/>
            <w:shd w:fill="3465A4" w:val="clear"/>
            <w:vAlign w:val="center"/>
          </w:tcPr>
          <w:p>
            <w:pPr>
              <w:pStyle w:val="Normal"/>
              <w:spacing w:lineRule="auto" w:line="240" w:beforeAutospacing="1" w:after="0"/>
              <w:jc w:val="center"/>
              <w:rPr>
                <w:rFonts w:ascii="Times New Roman" w:hAnsi="Times New Roman" w:eastAsia="Times New Roman" w:cs="Times New Roman"/>
                <w:b/>
                <w:bCs/>
                <w:sz w:val="24"/>
                <w:szCs w:val="24"/>
                <w:lang w:val="en-ZA" w:eastAsia="en-GB"/>
              </w:rPr>
            </w:pPr>
            <w:r>
              <w:rPr>
                <w:rFonts w:eastAsia="Times New Roman" w:cs="Times New Roman" w:ascii="Times New Roman" w:hAnsi="Times New Roman"/>
                <w:b/>
                <w:bCs/>
                <w:sz w:val="24"/>
                <w:szCs w:val="24"/>
                <w:lang w:val="en-ZA" w:eastAsia="en-GB"/>
              </w:rPr>
              <w:t>Adaptation for Solo Workflow</w:t>
            </w:r>
          </w:p>
        </w:tc>
      </w:tr>
      <w:tr>
        <w:trPr/>
        <w:tc>
          <w:tcPr>
            <w:tcW w:w="1771"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Sprint Planning</w:t>
            </w:r>
          </w:p>
        </w:tc>
        <w:tc>
          <w:tcPr>
            <w:tcW w:w="6869"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Conducted at the start of each two-week cycle to define achievable goals. Each sprint had a clear focus area such as design, backend implementation, or testing.</w:t>
            </w:r>
          </w:p>
        </w:tc>
      </w:tr>
      <w:tr>
        <w:trPr/>
        <w:tc>
          <w:tcPr>
            <w:tcW w:w="1771"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Daily Stand-up</w:t>
            </w:r>
          </w:p>
        </w:tc>
        <w:tc>
          <w:tcPr>
            <w:tcW w:w="6869"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Replaced with a daily 10-minute self-check recorded in a Notepad log. Tasks were summarised with blockers and next steps for personal tracking.</w:t>
            </w:r>
          </w:p>
        </w:tc>
      </w:tr>
      <w:tr>
        <w:trPr/>
        <w:tc>
          <w:tcPr>
            <w:tcW w:w="1771"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Sprint Review</w:t>
            </w:r>
          </w:p>
        </w:tc>
        <w:tc>
          <w:tcPr>
            <w:tcW w:w="6869"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At the end of each sprint, features were tested, documented, and cross-checked against requirements. Code commits were validated in GitHub with evidence screenshots.</w:t>
            </w:r>
          </w:p>
        </w:tc>
      </w:tr>
      <w:tr>
        <w:trPr/>
        <w:tc>
          <w:tcPr>
            <w:tcW w:w="1771"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Sprint Retrospective</w:t>
            </w:r>
          </w:p>
        </w:tc>
        <w:tc>
          <w:tcPr>
            <w:tcW w:w="6869"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Brief written reflections recorded after each sprint to identify what went well and what could improve — particularly regarding scope management and testing efficiency.</w:t>
            </w:r>
          </w:p>
        </w:tc>
      </w:tr>
      <w:tr>
        <w:trPr/>
        <w:tc>
          <w:tcPr>
            <w:tcW w:w="1771"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Backlog Management</w:t>
            </w:r>
          </w:p>
        </w:tc>
        <w:tc>
          <w:tcPr>
            <w:tcW w:w="6869"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 xml:space="preserve">Managed in GitHub using branches and issue tracking. Tasks were grouped into </w:t>
            </w:r>
            <w:r>
              <w:rPr>
                <w:rFonts w:eastAsia="Times New Roman" w:cs="Times New Roman" w:ascii="Times New Roman" w:hAnsi="Times New Roman"/>
                <w:i/>
                <w:iCs/>
                <w:sz w:val="24"/>
                <w:szCs w:val="24"/>
                <w:lang w:val="en-ZA" w:eastAsia="en-GB"/>
              </w:rPr>
              <w:t>Ready</w:t>
            </w:r>
            <w:r>
              <w:rPr>
                <w:rFonts w:eastAsia="Times New Roman" w:cs="Times New Roman" w:ascii="Times New Roman" w:hAnsi="Times New Roman"/>
                <w:sz w:val="24"/>
                <w:szCs w:val="24"/>
                <w:lang w:val="en-ZA" w:eastAsia="en-GB"/>
              </w:rPr>
              <w:t xml:space="preserve">, </w:t>
            </w:r>
            <w:r>
              <w:rPr>
                <w:rFonts w:eastAsia="Times New Roman" w:cs="Times New Roman" w:ascii="Times New Roman" w:hAnsi="Times New Roman"/>
                <w:i/>
                <w:iCs/>
                <w:sz w:val="24"/>
                <w:szCs w:val="24"/>
                <w:lang w:val="en-ZA" w:eastAsia="en-GB"/>
              </w:rPr>
              <w:t>In Progress</w:t>
            </w:r>
            <w:r>
              <w:rPr>
                <w:rFonts w:eastAsia="Times New Roman" w:cs="Times New Roman" w:ascii="Times New Roman" w:hAnsi="Times New Roman"/>
                <w:sz w:val="24"/>
                <w:szCs w:val="24"/>
                <w:lang w:val="en-ZA" w:eastAsia="en-GB"/>
              </w:rPr>
              <w:t xml:space="preserve">, and </w:t>
            </w:r>
            <w:r>
              <w:rPr>
                <w:rFonts w:eastAsia="Times New Roman" w:cs="Times New Roman" w:ascii="Times New Roman" w:hAnsi="Times New Roman"/>
                <w:i/>
                <w:iCs/>
                <w:sz w:val="24"/>
                <w:szCs w:val="24"/>
                <w:lang w:val="en-ZA" w:eastAsia="en-GB"/>
              </w:rPr>
              <w:t>Done</w:t>
            </w:r>
            <w:r>
              <w:rPr>
                <w:rFonts w:eastAsia="Times New Roman" w:cs="Times New Roman" w:ascii="Times New Roman" w:hAnsi="Times New Roman"/>
                <w:sz w:val="24"/>
                <w:szCs w:val="24"/>
                <w:lang w:val="en-ZA" w:eastAsia="en-GB"/>
              </w:rPr>
              <w:t xml:space="preserve"> categories for traceability.</w:t>
            </w:r>
          </w:p>
        </w:tc>
      </w:tr>
    </w:tbl>
    <w:p>
      <w:pPr>
        <w:pStyle w:val="p1"/>
        <w:spacing w:before="280" w:after="280"/>
        <w:rPr/>
      </w:pPr>
      <w:r>
        <w:rPr/>
        <w:t xml:space="preserve">This disciplined, self-managed Scrum approach ensured that despite being a one-person development team, I maintained </w:t>
      </w:r>
      <w:r>
        <w:rPr>
          <w:rStyle w:val="s1"/>
          <w:b/>
          <w:bCs/>
        </w:rPr>
        <w:t>transparency, accountability, and continuous delivery</w:t>
      </w:r>
      <w:r>
        <w:rPr/>
        <w:t>, closely mirroring a professional Agile environment.</w:t>
      </w:r>
    </w:p>
    <w:p>
      <w:pPr>
        <w:pStyle w:val="Normal"/>
        <w:rPr>
          <w:rStyle w:val="s2"/>
        </w:rPr>
      </w:pPr>
      <w:r>
        <w:rPr/>
        <mc:AlternateContent>
          <mc:Choice Requires="wps">
            <w:drawing>
              <wp:inline distT="0" distB="0" distL="0" distR="0" wp14:anchorId="53D87BFE">
                <wp:extent cx="5486400" cy="1270"/>
                <wp:effectExtent l="0" t="0" r="12700" b="24130"/>
                <wp:docPr id="3" name="Rectangle 65"/>
                <a:graphic xmlns:a="http://schemas.openxmlformats.org/drawingml/2006/main">
                  <a:graphicData uri="http://schemas.microsoft.com/office/word/2010/wordprocessingShape">
                    <wps:wsp>
                      <wps:cNvSpPr/>
                      <wps:spPr>
                        <a:xfrm>
                          <a:off x="0" y="0"/>
                          <a:ext cx="5486400" cy="1440"/>
                        </a:xfrm>
                        <a:prstGeom prst="rect">
                          <a:avLst/>
                        </a:prstGeom>
                        <a:noFill/>
                        <a:ln w="9525">
                          <a:solidFill>
                            <a:srgbClr val="a0a0a0"/>
                          </a:solidFill>
                          <a:miter/>
                        </a:ln>
                      </wps:spPr>
                      <wps:style>
                        <a:lnRef idx="0"/>
                        <a:fillRef idx="0"/>
                        <a:effectRef idx="0"/>
                        <a:fontRef idx="minor"/>
                      </wps:style>
                      <wps:bodyPr/>
                    </wps:wsp>
                  </a:graphicData>
                </a:graphic>
              </wp:inline>
            </w:drawing>
          </mc:Choice>
          <mc:Fallback>
            <w:pict>
              <v:rect id="shape_0" ID="Rectangle 65" path="m0,0l-2147483645,0l-2147483645,-2147483646l0,-2147483646xe" stroked="t" o:allowincell="f" style="position:absolute;margin-left:0pt;margin-top:-2.05pt;width:431.95pt;height:0.05pt;mso-wrap-style:none;v-text-anchor:middle;mso-position-vertical:top" wp14:anchorId="53D87BFE">
                <v:fill o:detectmouseclick="t" on="false"/>
                <v:stroke color="#a0a0a0" weight="9360" joinstyle="miter" endcap="flat"/>
                <w10:wrap type="square"/>
              </v:rect>
            </w:pict>
          </mc:Fallback>
        </mc:AlternateContent>
      </w:r>
    </w:p>
    <w:p>
      <w:pPr>
        <w:pStyle w:val="Heading3"/>
        <w:rPr/>
      </w:pPr>
      <w:r>
        <w:rPr/>
        <w:t>3.3 Project Governance and Role Distribution</w:t>
      </w:r>
    </w:p>
    <w:p>
      <w:pPr>
        <w:pStyle w:val="p1"/>
        <w:spacing w:before="280" w:after="280"/>
        <w:rPr/>
      </w:pPr>
      <w:r>
        <w:rPr/>
        <w:t>In the absence of a multi-person team, I formalised the key project roles internally to ensure clarity of purpose and accountability</w:t>
        <w:br/>
      </w:r>
    </w:p>
    <w:tbl>
      <w:tblPr>
        <w:tblW w:w="8934" w:type="dxa"/>
        <w:jc w:val="left"/>
        <w:tblInd w:w="-279" w:type="dxa"/>
        <w:tblLayout w:type="fixed"/>
        <w:tblCellMar>
          <w:top w:w="15" w:type="dxa"/>
          <w:left w:w="15" w:type="dxa"/>
          <w:bottom w:w="15" w:type="dxa"/>
          <w:right w:w="15" w:type="dxa"/>
        </w:tblCellMar>
        <w:tblLook w:val="04a0" w:noVBand="1" w:noHBand="0" w:lastColumn="0" w:firstColumn="1" w:lastRow="0" w:firstRow="1"/>
      </w:tblPr>
      <w:tblGrid>
        <w:gridCol w:w="2195"/>
        <w:gridCol w:w="5590"/>
        <w:gridCol w:w="1149"/>
      </w:tblGrid>
      <w:tr>
        <w:trPr>
          <w:tblHeader w:val="true"/>
        </w:trPr>
        <w:tc>
          <w:tcPr>
            <w:tcW w:w="2195" w:type="dxa"/>
            <w:tcBorders/>
            <w:vAlign w:val="center"/>
          </w:tcPr>
          <w:p>
            <w:pPr>
              <w:pStyle w:val="Normal"/>
              <w:spacing w:lineRule="auto" w:line="240" w:beforeAutospacing="1" w:after="0"/>
              <w:rPr>
                <w:rFonts w:ascii="Times New Roman" w:hAnsi="Times New Roman" w:eastAsia="Times New Roman" w:cs="Times New Roman"/>
                <w:b/>
                <w:bCs/>
                <w:sz w:val="24"/>
                <w:szCs w:val="24"/>
                <w:lang w:val="en-ZA" w:eastAsia="en-GB"/>
              </w:rPr>
            </w:pPr>
            <w:r>
              <w:rPr>
                <w:rFonts w:eastAsia="Times New Roman" w:cs="Times New Roman" w:ascii="Times New Roman" w:hAnsi="Times New Roman"/>
                <w:b/>
                <w:bCs/>
                <w:sz w:val="24"/>
                <w:szCs w:val="24"/>
                <w:lang w:val="en-ZA" w:eastAsia="en-GB"/>
              </w:rPr>
              <w:t>Role</w:t>
            </w:r>
          </w:p>
        </w:tc>
        <w:tc>
          <w:tcPr>
            <w:tcW w:w="5590" w:type="dxa"/>
            <w:tcBorders/>
            <w:vAlign w:val="center"/>
          </w:tcPr>
          <w:p>
            <w:pPr>
              <w:pStyle w:val="Normal"/>
              <w:spacing w:lineRule="auto" w:line="240" w:beforeAutospacing="1" w:after="0"/>
              <w:rPr>
                <w:rFonts w:ascii="Times New Roman" w:hAnsi="Times New Roman" w:eastAsia="Times New Roman" w:cs="Times New Roman"/>
                <w:b/>
                <w:bCs/>
                <w:sz w:val="24"/>
                <w:szCs w:val="24"/>
                <w:lang w:val="en-ZA" w:eastAsia="en-GB"/>
              </w:rPr>
            </w:pPr>
            <w:r>
              <w:rPr>
                <w:rFonts w:eastAsia="Times New Roman" w:cs="Times New Roman" w:ascii="Times New Roman" w:hAnsi="Times New Roman"/>
                <w:b/>
                <w:bCs/>
                <w:sz w:val="24"/>
                <w:szCs w:val="24"/>
                <w:lang w:val="en-ZA" w:eastAsia="en-GB"/>
              </w:rPr>
              <w:t>Responsibilities</w:t>
            </w:r>
          </w:p>
        </w:tc>
        <w:tc>
          <w:tcPr>
            <w:tcW w:w="1149" w:type="dxa"/>
            <w:tcBorders/>
            <w:vAlign w:val="center"/>
          </w:tcPr>
          <w:p>
            <w:pPr>
              <w:pStyle w:val="Normal"/>
              <w:spacing w:lineRule="auto" w:line="240" w:beforeAutospacing="1" w:after="0"/>
              <w:jc w:val="center"/>
              <w:rPr>
                <w:rFonts w:ascii="Times New Roman" w:hAnsi="Times New Roman" w:eastAsia="Times New Roman" w:cs="Times New Roman"/>
                <w:b/>
                <w:bCs/>
                <w:sz w:val="24"/>
                <w:szCs w:val="24"/>
                <w:lang w:val="en-ZA" w:eastAsia="en-GB"/>
              </w:rPr>
            </w:pPr>
            <w:r>
              <w:rPr>
                <w:rFonts w:eastAsia="Times New Roman" w:cs="Times New Roman" w:ascii="Times New Roman" w:hAnsi="Times New Roman"/>
                <w:b/>
                <w:bCs/>
                <w:sz w:val="24"/>
                <w:szCs w:val="24"/>
                <w:lang w:val="en-ZA" w:eastAsia="en-GB"/>
              </w:rPr>
              <w:t>Assigned</w:t>
              <w:br/>
              <w:t>To</w:t>
            </w:r>
          </w:p>
        </w:tc>
      </w:tr>
      <w:tr>
        <w:trPr/>
        <w:tc>
          <w:tcPr>
            <w:tcW w:w="2195"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Product Owner</w:t>
            </w:r>
          </w:p>
        </w:tc>
        <w:tc>
          <w:tcPr>
            <w:tcW w:w="5590"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Defined the product vision and confirmed functional priorities based on client feedback.</w:t>
            </w:r>
          </w:p>
        </w:tc>
        <w:tc>
          <w:tcPr>
            <w:tcW w:w="1149"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Ryan Adams</w:t>
            </w:r>
          </w:p>
        </w:tc>
      </w:tr>
      <w:tr>
        <w:trPr/>
        <w:tc>
          <w:tcPr>
            <w:tcW w:w="2195"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Scrum Master</w:t>
            </w:r>
          </w:p>
        </w:tc>
        <w:tc>
          <w:tcPr>
            <w:tcW w:w="5590"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Enforced Agile cadence, maintained backlog discipline, and ensured each sprint had defined outcomes.</w:t>
            </w:r>
          </w:p>
        </w:tc>
        <w:tc>
          <w:tcPr>
            <w:tcW w:w="1149"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Ryan Adams</w:t>
            </w:r>
          </w:p>
        </w:tc>
      </w:tr>
      <w:tr>
        <w:trPr/>
        <w:tc>
          <w:tcPr>
            <w:tcW w:w="2195"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Frontend Developer</w:t>
            </w:r>
          </w:p>
        </w:tc>
        <w:tc>
          <w:tcPr>
            <w:tcW w:w="5590"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Designed and implemented the Android application UI and barcode scanning logic using Kotlin and ML Kit.</w:t>
            </w:r>
          </w:p>
        </w:tc>
        <w:tc>
          <w:tcPr>
            <w:tcW w:w="1149"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Ryan Adams</w:t>
            </w:r>
          </w:p>
        </w:tc>
      </w:tr>
      <w:tr>
        <w:trPr/>
        <w:tc>
          <w:tcPr>
            <w:tcW w:w="2195"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Backend Developer</w:t>
            </w:r>
          </w:p>
        </w:tc>
        <w:tc>
          <w:tcPr>
            <w:tcW w:w="5590"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Developed FastAPI endpoints, managed Azure SQL procedures, and integrated security layers.</w:t>
            </w:r>
          </w:p>
        </w:tc>
        <w:tc>
          <w:tcPr>
            <w:tcW w:w="1149"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Ryan Adams</w:t>
            </w:r>
          </w:p>
        </w:tc>
      </w:tr>
      <w:tr>
        <w:trPr/>
        <w:tc>
          <w:tcPr>
            <w:tcW w:w="2195"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Tester / QA</w:t>
            </w:r>
          </w:p>
        </w:tc>
        <w:tc>
          <w:tcPr>
            <w:tcW w:w="5590"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Conducted manual and automated tests (Pytest, Junit) to validate functional integrity and data synchronisation.</w:t>
            </w:r>
          </w:p>
        </w:tc>
        <w:tc>
          <w:tcPr>
            <w:tcW w:w="1149"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Ryan Adams</w:t>
            </w:r>
          </w:p>
        </w:tc>
      </w:tr>
      <w:tr>
        <w:trPr/>
        <w:tc>
          <w:tcPr>
            <w:tcW w:w="2195"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Documentation Lead</w:t>
            </w:r>
          </w:p>
        </w:tc>
        <w:tc>
          <w:tcPr>
            <w:tcW w:w="5590"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Produced user documentation, sprint reports, and this Portfolio of Evidence (POE).</w:t>
            </w:r>
          </w:p>
        </w:tc>
        <w:tc>
          <w:tcPr>
            <w:tcW w:w="1149"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Ryan Adams</w:t>
            </w:r>
          </w:p>
        </w:tc>
      </w:tr>
    </w:tbl>
    <w:p>
      <w:pPr>
        <w:pStyle w:val="p1"/>
        <w:spacing w:before="280" w:after="280"/>
        <w:rPr/>
      </w:pPr>
      <w:r>
        <w:rPr/>
        <w:br/>
        <w:br/>
        <w:t xml:space="preserve">This self-managed structure was critical to maintaining </w:t>
      </w:r>
      <w:r>
        <w:rPr>
          <w:rStyle w:val="s1"/>
          <w:b/>
          <w:bCs/>
        </w:rPr>
        <w:t>workflow discipline</w:t>
      </w:r>
      <w:r>
        <w:rPr/>
        <w:t>, preventing scope drift, and ensuring that every deliverable aligned with the SAP Activate phase objectives.</w:t>
      </w:r>
    </w:p>
    <w:p>
      <w:pPr>
        <w:pStyle w:val="Heading3"/>
        <w:rPr/>
      </w:pPr>
      <w:r>
        <w:rPr/>
        <w:br/>
        <w:t>3.4 Tools and Platforms</w:t>
      </w:r>
    </w:p>
    <w:p>
      <w:pPr>
        <w:pStyle w:val="p2"/>
        <w:spacing w:before="280" w:after="280"/>
        <w:rPr/>
      </w:pPr>
      <w:r>
        <w:rPr/>
      </w:r>
    </w:p>
    <w:p>
      <w:pPr>
        <w:pStyle w:val="p3"/>
        <w:spacing w:before="280" w:after="280"/>
        <w:rPr/>
      </w:pPr>
      <w:r>
        <w:rPr/>
        <w:t>A combination of development and project management tools were used to support iterative delivery and technical accuracy:</w:t>
      </w:r>
    </w:p>
    <w:p>
      <w:pPr>
        <w:pStyle w:val="p1"/>
        <w:numPr>
          <w:ilvl w:val="0"/>
          <w:numId w:val="11"/>
        </w:numPr>
        <w:spacing w:before="280" w:after="0"/>
        <w:rPr/>
      </w:pPr>
      <w:r>
        <w:rPr>
          <w:rStyle w:val="s1"/>
          <w:b/>
          <w:bCs/>
        </w:rPr>
        <w:t>Version Control:</w:t>
      </w:r>
      <w:r>
        <w:rPr/>
        <w:t xml:space="preserve"> GitHub for repository hosting, commit history, and pull request management.</w:t>
      </w:r>
    </w:p>
    <w:p>
      <w:pPr>
        <w:pStyle w:val="p1"/>
        <w:numPr>
          <w:ilvl w:val="0"/>
          <w:numId w:val="11"/>
        </w:numPr>
        <w:spacing w:before="0" w:after="0"/>
        <w:rPr/>
      </w:pPr>
      <w:r>
        <w:rPr>
          <w:rStyle w:val="s1"/>
          <w:b/>
          <w:bCs/>
        </w:rPr>
        <w:t>Development Environments:</w:t>
      </w:r>
      <w:r>
        <w:rPr/>
        <w:t xml:space="preserve"> Android Studio (frontend), PyCharm (backend).</w:t>
      </w:r>
    </w:p>
    <w:p>
      <w:pPr>
        <w:pStyle w:val="p1"/>
        <w:numPr>
          <w:ilvl w:val="0"/>
          <w:numId w:val="11"/>
        </w:numPr>
        <w:spacing w:before="0" w:after="0"/>
        <w:rPr/>
      </w:pPr>
      <w:r>
        <w:rPr>
          <w:rStyle w:val="s1"/>
          <w:b/>
          <w:bCs/>
        </w:rPr>
        <w:t>Testing Frameworks:</w:t>
      </w:r>
      <w:r>
        <w:rPr/>
        <w:t xml:space="preserve"> JUnit for Kotlin unit tests; Pytest for FastAPI.</w:t>
      </w:r>
    </w:p>
    <w:p>
      <w:pPr>
        <w:pStyle w:val="p1"/>
        <w:numPr>
          <w:ilvl w:val="0"/>
          <w:numId w:val="11"/>
        </w:numPr>
        <w:spacing w:before="0" w:after="0"/>
        <w:rPr/>
      </w:pPr>
      <w:r>
        <w:rPr>
          <w:rStyle w:val="s1"/>
          <w:b/>
          <w:bCs/>
        </w:rPr>
        <w:t>Database Management:</w:t>
      </w:r>
      <w:r>
        <w:rPr/>
        <w:t xml:space="preserve"> Azure Data Studio for SQL management and stored procedure execution.</w:t>
      </w:r>
    </w:p>
    <w:p>
      <w:pPr>
        <w:pStyle w:val="p1"/>
        <w:numPr>
          <w:ilvl w:val="0"/>
          <w:numId w:val="11"/>
        </w:numPr>
        <w:spacing w:before="0" w:after="0"/>
        <w:rPr/>
      </w:pPr>
      <w:r>
        <w:rPr>
          <w:rStyle w:val="s1"/>
          <w:b/>
          <w:bCs/>
        </w:rPr>
        <w:t>Cloud Infrastructure:</w:t>
      </w:r>
      <w:r>
        <w:rPr/>
        <w:t xml:space="preserve"> Azure App Service (hosting), Azure Key Vault (secrets), Azure Blob Storage (file handling).</w:t>
      </w:r>
    </w:p>
    <w:p>
      <w:pPr>
        <w:pStyle w:val="p1"/>
        <w:numPr>
          <w:ilvl w:val="0"/>
          <w:numId w:val="11"/>
        </w:numPr>
        <w:spacing w:before="0" w:after="280"/>
        <w:rPr/>
      </w:pPr>
      <w:r>
        <w:rPr>
          <w:rStyle w:val="s1"/>
          <w:b/>
          <w:bCs/>
        </w:rPr>
        <w:t>Documentation:</w:t>
      </w:r>
      <w:r>
        <w:rPr/>
        <w:t xml:space="preserve"> Microsoft Word for reporting, and Notepad for daily logs and sprint retrospectives.</w:t>
      </w:r>
    </w:p>
    <w:p>
      <w:pPr>
        <w:pStyle w:val="Normal"/>
        <w:rPr>
          <w:rStyle w:val="s1"/>
        </w:rPr>
      </w:pPr>
      <w:r>
        <w:rPr/>
        <mc:AlternateContent>
          <mc:Choice Requires="wps">
            <w:drawing>
              <wp:inline distT="0" distB="0" distL="0" distR="0" wp14:anchorId="49A45ADB">
                <wp:extent cx="5486400" cy="1270"/>
                <wp:effectExtent l="0" t="0" r="12700" b="24130"/>
                <wp:docPr id="4" name="Rectangle 63"/>
                <a:graphic xmlns:a="http://schemas.openxmlformats.org/drawingml/2006/main">
                  <a:graphicData uri="http://schemas.microsoft.com/office/word/2010/wordprocessingShape">
                    <wps:wsp>
                      <wps:cNvSpPr/>
                      <wps:spPr>
                        <a:xfrm>
                          <a:off x="0" y="0"/>
                          <a:ext cx="5486400" cy="1440"/>
                        </a:xfrm>
                        <a:prstGeom prst="rect">
                          <a:avLst/>
                        </a:prstGeom>
                        <a:noFill/>
                        <a:ln w="9525">
                          <a:solidFill>
                            <a:srgbClr val="a0a0a0"/>
                          </a:solidFill>
                          <a:miter/>
                        </a:ln>
                      </wps:spPr>
                      <wps:style>
                        <a:lnRef idx="0"/>
                        <a:fillRef idx="0"/>
                        <a:effectRef idx="0"/>
                        <a:fontRef idx="minor"/>
                      </wps:style>
                      <wps:bodyPr/>
                    </wps:wsp>
                  </a:graphicData>
                </a:graphic>
              </wp:inline>
            </w:drawing>
          </mc:Choice>
          <mc:Fallback>
            <w:pict>
              <v:rect id="shape_0" ID="Rectangle 63" path="m0,0l-2147483645,0l-2147483645,-2147483646l0,-2147483646xe" stroked="t" o:allowincell="f" style="position:absolute;margin-left:0pt;margin-top:-2.05pt;width:431.95pt;height:0.05pt;mso-wrap-style:none;v-text-anchor:middle;mso-position-vertical:top" wp14:anchorId="49A45ADB">
                <v:fill o:detectmouseclick="t" on="false"/>
                <v:stroke color="#a0a0a0" weight="9360" joinstyle="miter" endcap="flat"/>
                <w10:wrap type="square"/>
              </v:rect>
            </w:pict>
          </mc:Fallback>
        </mc:AlternateContent>
      </w:r>
    </w:p>
    <w:p>
      <w:pPr>
        <w:pStyle w:val="Heading3"/>
        <w:rPr/>
      </w:pPr>
      <w:r>
        <w:rPr/>
        <w:t>3.5 Methodology Reflection</w:t>
      </w:r>
    </w:p>
    <w:p>
      <w:pPr>
        <w:pStyle w:val="p2"/>
        <w:spacing w:before="280" w:after="280"/>
        <w:rPr/>
      </w:pPr>
      <w:r>
        <w:rPr/>
      </w:r>
    </w:p>
    <w:p>
      <w:pPr>
        <w:pStyle w:val="p3"/>
        <w:spacing w:before="280" w:after="280"/>
        <w:rPr/>
      </w:pPr>
      <w:r>
        <w:rPr/>
        <w:t xml:space="preserve">Combining </w:t>
      </w:r>
      <w:r>
        <w:rPr>
          <w:rStyle w:val="s2"/>
          <w:rFonts w:eastAsia="" w:eastAsiaTheme="majorEastAsia"/>
          <w:b/>
          <w:bCs/>
        </w:rPr>
        <w:t>SAP Activate</w:t>
      </w:r>
      <w:r>
        <w:rPr/>
        <w:t xml:space="preserve"> with </w:t>
      </w:r>
      <w:r>
        <w:rPr>
          <w:rStyle w:val="s2"/>
          <w:rFonts w:eastAsia="" w:eastAsiaTheme="majorEastAsia"/>
          <w:b/>
          <w:bCs/>
        </w:rPr>
        <w:t>Agile Scrum</w:t>
      </w:r>
      <w:r>
        <w:rPr/>
        <w:t xml:space="preserve"> proved effective for this project’s scale and timeline. SAP Activate provided </w:t>
      </w:r>
      <w:r>
        <w:rPr>
          <w:rStyle w:val="s2"/>
          <w:rFonts w:eastAsia="" w:eastAsiaTheme="majorEastAsia"/>
          <w:b/>
          <w:bCs/>
        </w:rPr>
        <w:t>directional structure</w:t>
      </w:r>
      <w:r>
        <w:rPr/>
        <w:t xml:space="preserve">, ensuring that each phase had measurable outputs, while Agile Scrum maintained </w:t>
      </w:r>
      <w:r>
        <w:rPr>
          <w:rStyle w:val="s2"/>
          <w:rFonts w:eastAsia="" w:eastAsiaTheme="majorEastAsia"/>
          <w:b/>
          <w:bCs/>
        </w:rPr>
        <w:t>momentum and iterative progress</w:t>
      </w:r>
      <w:r>
        <w:rPr/>
        <w:t>.</w:t>
      </w:r>
    </w:p>
    <w:p>
      <w:pPr>
        <w:pStyle w:val="p2"/>
        <w:spacing w:before="280" w:after="280"/>
        <w:rPr/>
      </w:pPr>
      <w:r>
        <w:rPr/>
      </w:r>
    </w:p>
    <w:p>
      <w:pPr>
        <w:pStyle w:val="p3"/>
        <w:spacing w:before="280" w:after="280"/>
        <w:rPr/>
      </w:pPr>
      <w:r>
        <w:rPr/>
        <w:t>This hybrid methodology offered the best of both worlds:</w:t>
      </w:r>
    </w:p>
    <w:p>
      <w:pPr>
        <w:pStyle w:val="p1"/>
        <w:numPr>
          <w:ilvl w:val="0"/>
          <w:numId w:val="12"/>
        </w:numPr>
        <w:spacing w:before="280" w:after="0"/>
        <w:rPr/>
      </w:pPr>
      <w:r>
        <w:rPr>
          <w:rStyle w:val="s1"/>
          <w:b/>
          <w:bCs/>
        </w:rPr>
        <w:t>Predictability</w:t>
      </w:r>
      <w:r>
        <w:rPr/>
        <w:t xml:space="preserve"> from SAP Activate’s phased progression.</w:t>
      </w:r>
    </w:p>
    <w:p>
      <w:pPr>
        <w:pStyle w:val="p1"/>
        <w:numPr>
          <w:ilvl w:val="0"/>
          <w:numId w:val="12"/>
        </w:numPr>
        <w:spacing w:before="0" w:after="0"/>
        <w:rPr/>
      </w:pPr>
      <w:r>
        <w:rPr>
          <w:rStyle w:val="s1"/>
          <w:b/>
          <w:bCs/>
        </w:rPr>
        <w:t>Flexibility</w:t>
      </w:r>
      <w:r>
        <w:rPr/>
        <w:t xml:space="preserve"> from Scrum’s iterative sprint cycles.</w:t>
      </w:r>
    </w:p>
    <w:p>
      <w:pPr>
        <w:pStyle w:val="p1"/>
        <w:numPr>
          <w:ilvl w:val="0"/>
          <w:numId w:val="12"/>
        </w:numPr>
        <w:spacing w:before="0" w:after="280"/>
        <w:rPr/>
      </w:pPr>
      <w:r>
        <w:rPr>
          <w:rStyle w:val="s1"/>
          <w:b/>
          <w:bCs/>
        </w:rPr>
        <w:t>Accountability</w:t>
      </w:r>
      <w:r>
        <w:rPr/>
        <w:t xml:space="preserve"> through self-managed roles and clear definitions of Ready and Done.</w:t>
      </w:r>
    </w:p>
    <w:p>
      <w:pPr>
        <w:pStyle w:val="p2"/>
        <w:spacing w:before="280" w:after="280"/>
        <w:rPr/>
      </w:pPr>
      <w:r>
        <w:rPr/>
      </w:r>
    </w:p>
    <w:p>
      <w:pPr>
        <w:pStyle w:val="p1"/>
        <w:spacing w:before="280" w:after="280"/>
        <w:rPr/>
      </w:pPr>
      <w:r>
        <w:rPr/>
        <w:t xml:space="preserve">The result was a project that maintained </w:t>
      </w:r>
      <w:r>
        <w:rPr>
          <w:rStyle w:val="s2"/>
          <w:b w:val="false"/>
          <w:bCs w:val="false"/>
        </w:rPr>
        <w:t>enterprise-grade organisation</w:t>
      </w:r>
      <w:r>
        <w:rPr/>
        <w:t xml:space="preserve"> while embracing the </w:t>
      </w:r>
      <w:r>
        <w:rPr>
          <w:rStyle w:val="s2"/>
          <w:b w:val="false"/>
          <w:bCs w:val="false"/>
        </w:rPr>
        <w:t>adaptability of modern software development practices</w:t>
      </w:r>
      <w:r>
        <w:rPr/>
        <w:t>, ensuring that every deliverable was both traceable and aligned with Tele Wholesale Stationers’ business objectives.</w:t>
        <w:br/>
        <w:br/>
        <w:br/>
        <w:br/>
        <w:br/>
        <w:br/>
        <w:br/>
        <w:br/>
        <w:br/>
        <w:br/>
        <w:br/>
      </w:r>
      <w:r>
        <w:rPr>
          <w:b/>
          <w:bCs/>
          <w:sz w:val="36"/>
          <w:szCs w:val="36"/>
        </w:rPr>
        <w:t>4</w:t>
      </w:r>
      <w:r>
        <w:rPr>
          <w:b/>
          <w:bCs/>
          <w:sz w:val="36"/>
          <w:szCs w:val="36"/>
        </w:rPr>
        <w:t>. Systems Analysis and Design – Requirements Elicitation</w:t>
      </w:r>
    </w:p>
    <w:p>
      <w:pPr>
        <w:pStyle w:val="p2"/>
        <w:spacing w:before="280" w:after="280"/>
        <w:rPr/>
      </w:pPr>
      <w:r>
        <w:rPr/>
      </w:r>
    </w:p>
    <w:p>
      <w:pPr>
        <w:pStyle w:val="Heading3"/>
        <w:rPr/>
      </w:pPr>
      <w:r>
        <w:rPr/>
        <w:t>4</w:t>
      </w:r>
      <w:r>
        <w:rPr/>
        <w:t>.1 Overview</w:t>
      </w:r>
    </w:p>
    <w:p>
      <w:pPr>
        <w:pStyle w:val="p3"/>
        <w:spacing w:before="280" w:after="280"/>
        <w:rPr/>
      </w:pPr>
      <w:r>
        <w:rPr/>
        <w:t xml:space="preserve">Effective requirements elicitation was achieved through a structured, iterative approach that combined </w:t>
      </w:r>
      <w:r>
        <w:rPr>
          <w:rStyle w:val="s2"/>
          <w:rFonts w:eastAsia="" w:eastAsiaTheme="majorEastAsia"/>
          <w:b/>
          <w:bCs/>
        </w:rPr>
        <w:t>client collaboration</w:t>
      </w:r>
      <w:r>
        <w:rPr/>
        <w:t xml:space="preserve">, </w:t>
      </w:r>
      <w:r>
        <w:rPr>
          <w:rStyle w:val="s2"/>
          <w:rFonts w:eastAsia="" w:eastAsiaTheme="majorEastAsia"/>
          <w:b/>
          <w:bCs/>
        </w:rPr>
        <w:t>user observation</w:t>
      </w:r>
      <w:r>
        <w:rPr/>
        <w:t xml:space="preserve">, and </w:t>
      </w:r>
      <w:r>
        <w:rPr>
          <w:rStyle w:val="s2"/>
          <w:rFonts w:eastAsia="" w:eastAsiaTheme="majorEastAsia"/>
          <w:b/>
          <w:bCs/>
        </w:rPr>
        <w:t>progressive refinement</w:t>
      </w:r>
      <w:r>
        <w:rPr/>
        <w:t xml:space="preserve"> of features across multiple sprints. The aim was to ensure that all user needs within </w:t>
      </w:r>
      <w:r>
        <w:rPr>
          <w:rStyle w:val="s2"/>
          <w:rFonts w:eastAsia="" w:eastAsiaTheme="majorEastAsia"/>
          <w:b/>
          <w:bCs/>
        </w:rPr>
        <w:t>Tele Wholesale Stationers (TWS)</w:t>
      </w:r>
      <w:r>
        <w:rPr/>
        <w:t xml:space="preserve"> were captured, validated, and transformed into actionable user stories that guided the system’s design and implementation.</w:t>
      </w:r>
    </w:p>
    <w:p>
      <w:pPr>
        <w:pStyle w:val="p3"/>
        <w:spacing w:before="280" w:after="280"/>
        <w:rPr/>
      </w:pPr>
      <w:r>
        <w:rPr/>
        <w:t xml:space="preserve">Although this project was executed independently, I, </w:t>
      </w:r>
      <w:r>
        <w:rPr>
          <w:rStyle w:val="s2"/>
          <w:rFonts w:eastAsia="" w:eastAsiaTheme="majorEastAsia"/>
          <w:b/>
          <w:bCs/>
        </w:rPr>
        <w:t>Ryan Adams</w:t>
      </w:r>
      <w:r>
        <w:rPr/>
        <w:t xml:space="preserve">, engaged directly with the business owners — </w:t>
      </w:r>
      <w:r>
        <w:rPr>
          <w:rStyle w:val="s2"/>
          <w:rFonts w:eastAsia="" w:eastAsiaTheme="majorEastAsia"/>
          <w:b/>
          <w:bCs/>
        </w:rPr>
        <w:t>Michael and Rita Luiz</w:t>
      </w:r>
      <w:r>
        <w:rPr/>
        <w:t xml:space="preserve"> — to ensure every functional and non-functional requirement accurately reflected their day-to-day operational realities. The process emphasised </w:t>
      </w:r>
      <w:r>
        <w:rPr>
          <w:rStyle w:val="s2"/>
          <w:rFonts w:eastAsia="" w:eastAsiaTheme="majorEastAsia"/>
          <w:b/>
          <w:bCs/>
        </w:rPr>
        <w:t>continuous engagement</w:t>
      </w:r>
      <w:r>
        <w:rPr/>
        <w:t>, with each sprint functioning as both a development and validation cycle.</w:t>
      </w:r>
    </w:p>
    <w:p>
      <w:pPr>
        <w:pStyle w:val="Normal"/>
        <w:rPr>
          <w:rStyle w:val="s1"/>
        </w:rPr>
      </w:pPr>
      <w:r>
        <w:rPr/>
        <mc:AlternateContent>
          <mc:Choice Requires="wps">
            <w:drawing>
              <wp:inline distT="0" distB="0" distL="0" distR="0" wp14:anchorId="0E48B74A">
                <wp:extent cx="5486400" cy="1270"/>
                <wp:effectExtent l="0" t="0" r="12700" b="24130"/>
                <wp:docPr id="5" name="Rectangle 61"/>
                <a:graphic xmlns:a="http://schemas.openxmlformats.org/drawingml/2006/main">
                  <a:graphicData uri="http://schemas.microsoft.com/office/word/2010/wordprocessingShape">
                    <wps:wsp>
                      <wps:cNvSpPr/>
                      <wps:spPr>
                        <a:xfrm>
                          <a:off x="0" y="0"/>
                          <a:ext cx="5486400" cy="1440"/>
                        </a:xfrm>
                        <a:prstGeom prst="rect">
                          <a:avLst/>
                        </a:prstGeom>
                        <a:noFill/>
                        <a:ln w="9525">
                          <a:solidFill>
                            <a:srgbClr val="a0a0a0"/>
                          </a:solidFill>
                          <a:miter/>
                        </a:ln>
                      </wps:spPr>
                      <wps:style>
                        <a:lnRef idx="0"/>
                        <a:fillRef idx="0"/>
                        <a:effectRef idx="0"/>
                        <a:fontRef idx="minor"/>
                      </wps:style>
                      <wps:bodyPr/>
                    </wps:wsp>
                  </a:graphicData>
                </a:graphic>
              </wp:inline>
            </w:drawing>
          </mc:Choice>
          <mc:Fallback>
            <w:pict>
              <v:rect id="shape_0" ID="Rectangle 61" path="m0,0l-2147483645,0l-2147483645,-2147483646l0,-2147483646xe" stroked="t" o:allowincell="f" style="position:absolute;margin-left:0pt;margin-top:-2.05pt;width:431.95pt;height:0.05pt;mso-wrap-style:none;v-text-anchor:middle;mso-position-vertical:top" wp14:anchorId="0E48B74A">
                <v:fill o:detectmouseclick="t" on="false"/>
                <v:stroke color="#a0a0a0" weight="9360" joinstyle="miter" endcap="flat"/>
                <w10:wrap type="square"/>
              </v:rect>
            </w:pict>
          </mc:Fallback>
        </mc:AlternateContent>
      </w:r>
    </w:p>
    <w:p>
      <w:pPr>
        <w:pStyle w:val="Heading3"/>
        <w:rPr/>
      </w:pPr>
      <w:r>
        <w:rPr/>
        <w:t>4</w:t>
      </w:r>
      <w:r>
        <w:rPr/>
        <w:t>.2 Elicitation Process</w:t>
      </w:r>
    </w:p>
    <w:p>
      <w:pPr>
        <w:pStyle w:val="Heading4"/>
        <w:rPr/>
      </w:pPr>
      <w:r>
        <w:rPr/>
        <w:t>Step 1: Client Engagement and Context Analysis</w:t>
      </w:r>
    </w:p>
    <w:p>
      <w:pPr>
        <w:pStyle w:val="p3"/>
        <w:spacing w:before="280" w:after="280"/>
        <w:rPr/>
      </w:pPr>
      <w:r>
        <w:rPr/>
        <w:t>The first phase involved contextual analysis within the warehouse environment.</w:t>
      </w:r>
    </w:p>
    <w:p>
      <w:pPr>
        <w:pStyle w:val="p3"/>
        <w:spacing w:before="280" w:after="280"/>
        <w:rPr/>
      </w:pPr>
      <w:r>
        <w:rPr/>
        <w:t xml:space="preserve">I conducted </w:t>
      </w:r>
      <w:r>
        <w:rPr>
          <w:rStyle w:val="s2"/>
          <w:rFonts w:eastAsia="" w:eastAsiaTheme="majorEastAsia"/>
          <w:b/>
          <w:bCs/>
        </w:rPr>
        <w:t>informal stakeholder interviews</w:t>
      </w:r>
      <w:r>
        <w:rPr/>
        <w:t xml:space="preserve"> and </w:t>
      </w:r>
      <w:r>
        <w:rPr>
          <w:rStyle w:val="s2"/>
          <w:rFonts w:eastAsia="" w:eastAsiaTheme="majorEastAsia"/>
          <w:b/>
          <w:bCs/>
        </w:rPr>
        <w:t>on-site observations</w:t>
      </w:r>
      <w:r>
        <w:rPr/>
        <w:t>, watching how warehouse staff performed stock-taking, order preparation, and delivery logging.</w:t>
      </w:r>
    </w:p>
    <w:p>
      <w:pPr>
        <w:pStyle w:val="p3"/>
        <w:spacing w:before="280" w:after="280"/>
        <w:rPr/>
      </w:pPr>
      <w:r>
        <w:rPr/>
        <w:t>The following pain points were identified:</w:t>
      </w:r>
    </w:p>
    <w:p>
      <w:pPr>
        <w:pStyle w:val="p1"/>
        <w:numPr>
          <w:ilvl w:val="0"/>
          <w:numId w:val="13"/>
        </w:numPr>
        <w:spacing w:before="280" w:after="0"/>
        <w:rPr/>
      </w:pPr>
      <w:r>
        <w:rPr/>
        <w:t xml:space="preserve">Manual stock entries using paper or tablet notes led to </w:t>
      </w:r>
      <w:r>
        <w:rPr>
          <w:rStyle w:val="s1"/>
          <w:b/>
          <w:bCs/>
        </w:rPr>
        <w:t>duplicate work</w:t>
      </w:r>
      <w:r>
        <w:rPr/>
        <w:t xml:space="preserve"> and frequent transcription errors.</w:t>
      </w:r>
    </w:p>
    <w:p>
      <w:pPr>
        <w:pStyle w:val="p1"/>
        <w:numPr>
          <w:ilvl w:val="0"/>
          <w:numId w:val="13"/>
        </w:numPr>
        <w:spacing w:before="0" w:after="0"/>
        <w:rPr/>
      </w:pPr>
      <w:r>
        <w:rPr/>
        <w:t xml:space="preserve">No immediate way to </w:t>
      </w:r>
      <w:r>
        <w:rPr>
          <w:rStyle w:val="s1"/>
          <w:b/>
          <w:bCs/>
        </w:rPr>
        <w:t>validate stock accuracy</w:t>
      </w:r>
      <w:r>
        <w:rPr/>
        <w:t>, causing discrepancies between system and physical inventory.</w:t>
      </w:r>
    </w:p>
    <w:p>
      <w:pPr>
        <w:pStyle w:val="p1"/>
        <w:numPr>
          <w:ilvl w:val="0"/>
          <w:numId w:val="13"/>
        </w:numPr>
        <w:spacing w:before="0" w:after="0"/>
        <w:rPr/>
      </w:pPr>
      <w:r>
        <w:rPr/>
        <w:t xml:space="preserve">Lack of </w:t>
      </w:r>
      <w:r>
        <w:rPr>
          <w:rStyle w:val="s1"/>
          <w:b/>
          <w:bCs/>
        </w:rPr>
        <w:t>real-time tracking</w:t>
      </w:r>
      <w:r>
        <w:rPr/>
        <w:t xml:space="preserve"> for orders, deliveries, and received stock.</w:t>
      </w:r>
    </w:p>
    <w:p>
      <w:pPr>
        <w:pStyle w:val="p1"/>
        <w:numPr>
          <w:ilvl w:val="0"/>
          <w:numId w:val="13"/>
        </w:numPr>
        <w:spacing w:before="0" w:after="280"/>
        <w:rPr/>
      </w:pPr>
      <w:r>
        <w:rPr/>
        <w:t>Minimal audit trail for changes to stock records.</w:t>
      </w:r>
    </w:p>
    <w:p>
      <w:pPr>
        <w:pStyle w:val="p2"/>
        <w:spacing w:before="280" w:after="280"/>
        <w:rPr/>
      </w:pPr>
      <w:r>
        <w:rPr/>
      </w:r>
    </w:p>
    <w:p>
      <w:pPr>
        <w:pStyle w:val="p3"/>
        <w:spacing w:before="280" w:after="280"/>
        <w:rPr/>
      </w:pPr>
      <w:r>
        <w:rPr/>
        <w:t>These findings defined the initial problem scope for the TWS-Scan solution.</w:t>
      </w:r>
    </w:p>
    <w:p>
      <w:pPr>
        <w:pStyle w:val="p2"/>
        <w:spacing w:before="280" w:after="280"/>
        <w:rPr/>
      </w:pPr>
      <w:r>
        <w:rPr/>
      </w:r>
    </w:p>
    <w:p>
      <w:pPr>
        <w:pStyle w:val="Heading4"/>
        <w:rPr/>
      </w:pPr>
      <w:r>
        <w:rPr/>
        <w:t>Step 2: Iterative Refinement</w:t>
      </w:r>
    </w:p>
    <w:p>
      <w:pPr>
        <w:pStyle w:val="p3"/>
        <w:spacing w:before="280" w:after="280"/>
        <w:rPr/>
      </w:pPr>
      <w:r>
        <w:rPr/>
        <w:t>Requirements were continuously refined through structured client feedback.</w:t>
      </w:r>
    </w:p>
    <w:p>
      <w:pPr>
        <w:pStyle w:val="p3"/>
        <w:spacing w:before="280" w:after="280"/>
        <w:rPr/>
      </w:pPr>
      <w:r>
        <w:rPr/>
        <w:t>After each sprint, visual prototypes, mock-ups, or feature demos were shown to the Luiz family for review. This ensured:</w:t>
      </w:r>
    </w:p>
    <w:p>
      <w:pPr>
        <w:pStyle w:val="p1"/>
        <w:numPr>
          <w:ilvl w:val="0"/>
          <w:numId w:val="14"/>
        </w:numPr>
        <w:spacing w:before="280" w:after="0"/>
        <w:rPr/>
      </w:pPr>
      <w:r>
        <w:rPr/>
        <w:t>Constant validation of functionality against expectations.</w:t>
      </w:r>
    </w:p>
    <w:p>
      <w:pPr>
        <w:pStyle w:val="p1"/>
        <w:numPr>
          <w:ilvl w:val="0"/>
          <w:numId w:val="14"/>
        </w:numPr>
        <w:spacing w:before="0" w:after="0"/>
        <w:rPr/>
      </w:pPr>
      <w:r>
        <w:rPr/>
        <w:t>Adjustments to workflows based on staff usability preferences.</w:t>
      </w:r>
    </w:p>
    <w:p>
      <w:pPr>
        <w:pStyle w:val="p1"/>
        <w:numPr>
          <w:ilvl w:val="0"/>
          <w:numId w:val="14"/>
        </w:numPr>
        <w:spacing w:before="0" w:after="280"/>
        <w:rPr/>
      </w:pPr>
      <w:r>
        <w:rPr/>
        <w:t>Progressive alignment of business terminology with system terminology (e.g., “packages” → “orders”).</w:t>
      </w:r>
    </w:p>
    <w:p>
      <w:pPr>
        <w:pStyle w:val="p2"/>
        <w:spacing w:before="280" w:after="280"/>
        <w:rPr/>
      </w:pPr>
      <w:r>
        <w:rPr/>
      </w:r>
    </w:p>
    <w:p>
      <w:pPr>
        <w:pStyle w:val="p4"/>
        <w:spacing w:before="280" w:after="280"/>
        <w:rPr/>
      </w:pPr>
      <w:r>
        <w:rPr>
          <w:rStyle w:val="s3"/>
        </w:rPr>
        <w:t xml:space="preserve">This iterative refinement aligns with </w:t>
      </w:r>
      <w:r>
        <w:rPr>
          <w:b/>
          <w:bCs/>
        </w:rPr>
        <w:t>SAP Activate’s Explore and Realise phases</w:t>
      </w:r>
      <w:r>
        <w:rPr>
          <w:rStyle w:val="s3"/>
        </w:rPr>
        <w:t xml:space="preserve"> and </w:t>
      </w:r>
      <w:r>
        <w:rPr>
          <w:b/>
          <w:bCs/>
        </w:rPr>
        <w:t>Agile’s incremental delivery principles</w:t>
      </w:r>
      <w:r>
        <w:rPr>
          <w:rStyle w:val="s3"/>
        </w:rPr>
        <w:t>.</w:t>
      </w:r>
    </w:p>
    <w:p>
      <w:pPr>
        <w:pStyle w:val="Heading3"/>
        <w:rPr/>
      </w:pPr>
      <w:r>
        <w:rPr/>
        <w:br/>
        <w:t>4</w:t>
      </w:r>
      <w:r>
        <w:rPr/>
        <w:t>.3 Documented User Roles</w:t>
      </w:r>
    </w:p>
    <w:p>
      <w:pPr>
        <w:pStyle w:val="p3"/>
        <w:spacing w:before="280" w:after="280"/>
        <w:rPr/>
      </w:pPr>
      <w:r>
        <w:rPr/>
        <w:t>Following analysis, four core user roles were defined, each representing a functional area of the business:</w:t>
      </w:r>
    </w:p>
    <w:tbl>
      <w:tblPr>
        <w:tblW w:w="8602" w:type="dxa"/>
        <w:jc w:val="left"/>
        <w:tblInd w:w="15" w:type="dxa"/>
        <w:tblLayout w:type="fixed"/>
        <w:tblCellMar>
          <w:top w:w="15" w:type="dxa"/>
          <w:left w:w="15" w:type="dxa"/>
          <w:bottom w:w="15" w:type="dxa"/>
          <w:right w:w="15" w:type="dxa"/>
        </w:tblCellMar>
        <w:tblLook w:val="04a0" w:noVBand="1" w:noHBand="0" w:lastColumn="0" w:firstColumn="1" w:lastRow="0" w:firstRow="1"/>
      </w:tblPr>
      <w:tblGrid>
        <w:gridCol w:w="1082"/>
        <w:gridCol w:w="7520"/>
      </w:tblGrid>
      <w:tr>
        <w:trPr>
          <w:tblHeader w:val="true"/>
        </w:trPr>
        <w:tc>
          <w:tcPr>
            <w:tcW w:w="1082" w:type="dxa"/>
            <w:tcBorders/>
            <w:shd w:fill="3465A4" w:val="clear"/>
            <w:vAlign w:val="center"/>
          </w:tcPr>
          <w:p>
            <w:pPr>
              <w:pStyle w:val="Normal"/>
              <w:spacing w:lineRule="auto" w:line="240" w:beforeAutospacing="1" w:after="0"/>
              <w:jc w:val="center"/>
              <w:rPr>
                <w:rFonts w:ascii="Times New Roman" w:hAnsi="Times New Roman" w:eastAsia="Times New Roman" w:cs="Times New Roman"/>
                <w:b/>
                <w:bCs/>
                <w:sz w:val="24"/>
                <w:szCs w:val="24"/>
                <w:lang w:val="en-ZA" w:eastAsia="en-GB"/>
              </w:rPr>
            </w:pPr>
            <w:r>
              <w:rPr>
                <w:rFonts w:eastAsia="Times New Roman" w:cs="Times New Roman" w:ascii="Times New Roman" w:hAnsi="Times New Roman"/>
                <w:b/>
                <w:bCs/>
                <w:sz w:val="24"/>
                <w:szCs w:val="24"/>
                <w:lang w:val="en-ZA" w:eastAsia="en-GB"/>
              </w:rPr>
              <w:t>User Role</w:t>
            </w:r>
          </w:p>
        </w:tc>
        <w:tc>
          <w:tcPr>
            <w:tcW w:w="7520" w:type="dxa"/>
            <w:tcBorders/>
            <w:shd w:fill="3465A4" w:val="clear"/>
            <w:vAlign w:val="center"/>
          </w:tcPr>
          <w:p>
            <w:pPr>
              <w:pStyle w:val="Normal"/>
              <w:spacing w:lineRule="auto" w:line="240" w:beforeAutospacing="1" w:after="0"/>
              <w:jc w:val="center"/>
              <w:rPr>
                <w:rFonts w:ascii="Times New Roman" w:hAnsi="Times New Roman" w:eastAsia="Times New Roman" w:cs="Times New Roman"/>
                <w:b/>
                <w:bCs/>
                <w:sz w:val="24"/>
                <w:szCs w:val="24"/>
                <w:lang w:val="en-ZA" w:eastAsia="en-GB"/>
              </w:rPr>
            </w:pPr>
            <w:r>
              <w:rPr>
                <w:rFonts w:eastAsia="Times New Roman" w:cs="Times New Roman" w:ascii="Times New Roman" w:hAnsi="Times New Roman"/>
                <w:b/>
                <w:bCs/>
                <w:sz w:val="24"/>
                <w:szCs w:val="24"/>
                <w:lang w:val="en-ZA" w:eastAsia="en-GB"/>
              </w:rPr>
              <w:t>Responsibilities in TWS-Scan</w:t>
            </w:r>
          </w:p>
        </w:tc>
      </w:tr>
      <w:tr>
        <w:trPr/>
        <w:tc>
          <w:tcPr>
            <w:tcW w:w="1082"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Picker</w:t>
            </w:r>
          </w:p>
        </w:tc>
        <w:tc>
          <w:tcPr>
            <w:tcW w:w="7520"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Scans barcodes to select items from inventory for customer orders.</w:t>
            </w:r>
          </w:p>
        </w:tc>
      </w:tr>
      <w:tr>
        <w:trPr/>
        <w:tc>
          <w:tcPr>
            <w:tcW w:w="1082"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Packer</w:t>
            </w:r>
          </w:p>
        </w:tc>
        <w:tc>
          <w:tcPr>
            <w:tcW w:w="7520"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Verifies picked items, seals packages, and prepares them for dispatch.</w:t>
            </w:r>
          </w:p>
        </w:tc>
      </w:tr>
      <w:tr>
        <w:trPr/>
        <w:tc>
          <w:tcPr>
            <w:tcW w:w="1082"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Driver</w:t>
            </w:r>
          </w:p>
        </w:tc>
        <w:tc>
          <w:tcPr>
            <w:tcW w:w="7520"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Confirms deliveries, captures proof-of-delivery images or signatures.</w:t>
            </w:r>
          </w:p>
        </w:tc>
      </w:tr>
      <w:tr>
        <w:trPr/>
        <w:tc>
          <w:tcPr>
            <w:tcW w:w="1082"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Manager</w:t>
            </w:r>
          </w:p>
        </w:tc>
        <w:tc>
          <w:tcPr>
            <w:tcW w:w="7520"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Oversees all modules, manages stock adjustments, user access, and reporting.</w:t>
            </w:r>
          </w:p>
        </w:tc>
      </w:tr>
    </w:tbl>
    <w:p>
      <w:pPr>
        <w:pStyle w:val="p1"/>
        <w:spacing w:before="280" w:after="280"/>
        <w:rPr/>
      </w:pPr>
      <w:r>
        <w:rPr/>
        <w:br/>
        <w:br/>
        <w:t xml:space="preserve">These user roles informed both the </w:t>
      </w:r>
      <w:r>
        <w:rPr>
          <w:rStyle w:val="s1"/>
          <w:b/>
          <w:bCs/>
        </w:rPr>
        <w:t>data model design</w:t>
      </w:r>
      <w:r>
        <w:rPr/>
        <w:t xml:space="preserve"> and </w:t>
      </w:r>
      <w:r>
        <w:rPr>
          <w:rStyle w:val="s1"/>
          <w:b/>
          <w:bCs/>
        </w:rPr>
        <w:t>API permission layers</w:t>
      </w:r>
      <w:r>
        <w:rPr/>
        <w:t xml:space="preserve">, implemented through </w:t>
      </w:r>
      <w:r>
        <w:rPr>
          <w:rStyle w:val="s1"/>
          <w:b/>
          <w:bCs/>
        </w:rPr>
        <w:t>JWT-based role validation</w:t>
      </w:r>
      <w:r>
        <w:rPr/>
        <w:t xml:space="preserve"> in the FastAPI backend.</w:t>
      </w:r>
    </w:p>
    <w:p>
      <w:pPr>
        <w:pStyle w:val="Heading3"/>
        <w:rPr/>
      </w:pPr>
      <w:r>
        <w:rPr/>
        <w:br/>
        <w:t>4</w:t>
      </w:r>
      <w:r>
        <w:rPr/>
        <w:t>.4 User Stories and Acceptance Criteria</w:t>
      </w:r>
    </w:p>
    <w:p>
      <w:pPr>
        <w:pStyle w:val="p1"/>
        <w:spacing w:before="280" w:after="280"/>
        <w:rPr/>
      </w:pPr>
      <w:r>
        <w:rPr/>
        <w:t xml:space="preserve">Each system feature was captured in the form of a </w:t>
      </w:r>
      <w:r>
        <w:rPr>
          <w:rStyle w:val="s1"/>
          <w:b/>
          <w:bCs/>
        </w:rPr>
        <w:t>user story</w:t>
      </w:r>
      <w:r>
        <w:rPr/>
        <w:t>, following the Agile format:</w:t>
      </w:r>
    </w:p>
    <w:p>
      <w:pPr>
        <w:pStyle w:val="Normal"/>
        <w:rPr>
          <w:rFonts w:ascii=".AppleSystemUIFont" w:hAnsi=".AppleSystemUIFont"/>
          <w:color w:val="0E0E0E"/>
          <w:sz w:val="21"/>
          <w:szCs w:val="21"/>
        </w:rPr>
      </w:pPr>
      <w:r>
        <w:rPr>
          <w:rFonts w:ascii=".AppleSystemUIFont" w:hAnsi=".AppleSystemUIFont"/>
          <w:i/>
          <w:iCs/>
          <w:color w:val="0E0E0E"/>
          <w:sz w:val="21"/>
          <w:szCs w:val="21"/>
        </w:rPr>
        <w:t>As a [user role], I want to [action] so that I can [benefit].</w:t>
      </w:r>
    </w:p>
    <w:p>
      <w:pPr>
        <w:pStyle w:val="p3"/>
        <w:spacing w:before="280" w:after="280"/>
        <w:rPr/>
      </w:pPr>
      <w:r>
        <w:rPr/>
      </w:r>
    </w:p>
    <w:p>
      <w:pPr>
        <w:pStyle w:val="Heading4"/>
        <w:rPr/>
      </w:pPr>
      <w:r>
        <w:rPr/>
        <w:t>Sample User Stories</w:t>
      </w:r>
    </w:p>
    <w:tbl>
      <w:tblPr>
        <w:tblW w:w="8640" w:type="dxa"/>
        <w:jc w:val="left"/>
        <w:tblInd w:w="15" w:type="dxa"/>
        <w:tblLayout w:type="fixed"/>
        <w:tblCellMar>
          <w:top w:w="15" w:type="dxa"/>
          <w:left w:w="15" w:type="dxa"/>
          <w:bottom w:w="15" w:type="dxa"/>
          <w:right w:w="15" w:type="dxa"/>
        </w:tblCellMar>
        <w:tblLook w:val="04a0" w:noVBand="1" w:noHBand="0" w:lastColumn="0" w:firstColumn="1" w:lastRow="0" w:firstRow="1"/>
      </w:tblPr>
      <w:tblGrid>
        <w:gridCol w:w="520"/>
        <w:gridCol w:w="4416"/>
        <w:gridCol w:w="3704"/>
      </w:tblGrid>
      <w:tr>
        <w:trPr>
          <w:tblHeader w:val="true"/>
        </w:trPr>
        <w:tc>
          <w:tcPr>
            <w:tcW w:w="520" w:type="dxa"/>
            <w:tcBorders/>
            <w:shd w:fill="3465A4" w:val="clear"/>
            <w:vAlign w:val="center"/>
          </w:tcPr>
          <w:p>
            <w:pPr>
              <w:pStyle w:val="Normal"/>
              <w:spacing w:lineRule="auto" w:line="240" w:beforeAutospacing="1" w:after="0"/>
              <w:jc w:val="center"/>
              <w:rPr>
                <w:rFonts w:ascii="Times New Roman" w:hAnsi="Times New Roman" w:eastAsia="Times New Roman" w:cs="Times New Roman"/>
                <w:b/>
                <w:bCs/>
                <w:sz w:val="24"/>
                <w:szCs w:val="24"/>
                <w:lang w:val="en-ZA" w:eastAsia="en-GB"/>
              </w:rPr>
            </w:pPr>
            <w:r>
              <w:rPr>
                <w:rFonts w:eastAsia="Times New Roman" w:cs="Times New Roman" w:ascii="Times New Roman" w:hAnsi="Times New Roman"/>
                <w:b/>
                <w:bCs/>
                <w:sz w:val="24"/>
                <w:szCs w:val="24"/>
                <w:lang w:val="en-ZA" w:eastAsia="en-GB"/>
              </w:rPr>
              <w:t>I</w:t>
            </w:r>
            <w:r>
              <w:rPr>
                <w:rFonts w:eastAsia="Times New Roman" w:cs="Times New Roman" w:ascii="Times New Roman" w:hAnsi="Times New Roman"/>
                <w:b/>
                <w:bCs/>
                <w:sz w:val="24"/>
                <w:szCs w:val="24"/>
                <w:lang w:val="en-ZA" w:eastAsia="en-GB"/>
              </w:rPr>
              <w:t>D</w:t>
            </w:r>
          </w:p>
        </w:tc>
        <w:tc>
          <w:tcPr>
            <w:tcW w:w="4416" w:type="dxa"/>
            <w:tcBorders/>
            <w:shd w:fill="3465A4" w:val="clear"/>
            <w:vAlign w:val="center"/>
          </w:tcPr>
          <w:p>
            <w:pPr>
              <w:pStyle w:val="Normal"/>
              <w:spacing w:lineRule="auto" w:line="240" w:beforeAutospacing="1" w:after="0"/>
              <w:jc w:val="center"/>
              <w:rPr>
                <w:rFonts w:ascii="Times New Roman" w:hAnsi="Times New Roman" w:eastAsia="Times New Roman" w:cs="Times New Roman"/>
                <w:b/>
                <w:bCs/>
                <w:sz w:val="24"/>
                <w:szCs w:val="24"/>
                <w:lang w:val="en-ZA" w:eastAsia="en-GB"/>
              </w:rPr>
            </w:pPr>
            <w:r>
              <w:rPr>
                <w:rFonts w:eastAsia="Times New Roman" w:cs="Times New Roman" w:ascii="Times New Roman" w:hAnsi="Times New Roman"/>
                <w:b/>
                <w:bCs/>
                <w:sz w:val="24"/>
                <w:szCs w:val="24"/>
                <w:lang w:val="en-ZA" w:eastAsia="en-GB"/>
              </w:rPr>
              <w:t>User Story</w:t>
            </w:r>
          </w:p>
        </w:tc>
        <w:tc>
          <w:tcPr>
            <w:tcW w:w="3704" w:type="dxa"/>
            <w:tcBorders/>
            <w:shd w:fill="3465A4" w:val="clear"/>
            <w:vAlign w:val="center"/>
          </w:tcPr>
          <w:p>
            <w:pPr>
              <w:pStyle w:val="Normal"/>
              <w:spacing w:lineRule="auto" w:line="240" w:beforeAutospacing="1" w:after="0"/>
              <w:jc w:val="center"/>
              <w:rPr>
                <w:rFonts w:ascii="Times New Roman" w:hAnsi="Times New Roman" w:eastAsia="Times New Roman" w:cs="Times New Roman"/>
                <w:b/>
                <w:bCs/>
                <w:sz w:val="24"/>
                <w:szCs w:val="24"/>
                <w:lang w:val="en-ZA" w:eastAsia="en-GB"/>
              </w:rPr>
            </w:pPr>
            <w:r>
              <w:rPr>
                <w:rFonts w:eastAsia="Times New Roman" w:cs="Times New Roman" w:ascii="Times New Roman" w:hAnsi="Times New Roman"/>
                <w:b/>
                <w:bCs/>
                <w:sz w:val="24"/>
                <w:szCs w:val="24"/>
                <w:lang w:val="en-ZA" w:eastAsia="en-GB"/>
              </w:rPr>
              <w:t>Acceptance Criteria</w:t>
            </w:r>
          </w:p>
        </w:tc>
      </w:tr>
      <w:tr>
        <w:trPr/>
        <w:tc>
          <w:tcPr>
            <w:tcW w:w="520"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US-01</w:t>
            </w:r>
          </w:p>
        </w:tc>
        <w:tc>
          <w:tcPr>
            <w:tcW w:w="4416"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As a warehouse clerk, I want to scan a product barcode so that the system automatically records its serial number and updates stock levels.</w:t>
            </w:r>
          </w:p>
        </w:tc>
        <w:tc>
          <w:tcPr>
            <w:tcW w:w="3704"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The barcode is successfully scanned, matched to a product, and the quantity is updated in Azure SQL.</w:t>
            </w:r>
          </w:p>
        </w:tc>
      </w:tr>
      <w:tr>
        <w:trPr/>
        <w:tc>
          <w:tcPr>
            <w:tcW w:w="520"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US-02</w:t>
            </w:r>
          </w:p>
        </w:tc>
        <w:tc>
          <w:tcPr>
            <w:tcW w:w="4416"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As a packer, I want to verify picked items against the order list so that I can ensure accuracy before dispatch.</w:t>
            </w:r>
          </w:p>
        </w:tc>
        <w:tc>
          <w:tcPr>
            <w:tcW w:w="3704"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The app validates each scanned item; mismatches are flagged before package completion.</w:t>
            </w:r>
          </w:p>
        </w:tc>
      </w:tr>
      <w:tr>
        <w:trPr/>
        <w:tc>
          <w:tcPr>
            <w:tcW w:w="520"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US-03</w:t>
            </w:r>
          </w:p>
        </w:tc>
        <w:tc>
          <w:tcPr>
            <w:tcW w:w="4416"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As a driver, I want to capture proof-of-delivery via photo or signature so that deliveries can be verified.</w:t>
            </w:r>
          </w:p>
        </w:tc>
        <w:tc>
          <w:tcPr>
            <w:tcW w:w="3704"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The image/signature uploads to Azure Blob Storage, and the delivery status changes to “Delivered.”</w:t>
            </w:r>
          </w:p>
        </w:tc>
      </w:tr>
      <w:tr>
        <w:trPr/>
        <w:tc>
          <w:tcPr>
            <w:tcW w:w="520"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US-04</w:t>
            </w:r>
          </w:p>
        </w:tc>
        <w:tc>
          <w:tcPr>
            <w:tcW w:w="4416"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As a receiver, I want to scan supplier delivery barcodes so that new stock is automatically added to inventory.</w:t>
            </w:r>
          </w:p>
        </w:tc>
        <w:tc>
          <w:tcPr>
            <w:tcW w:w="3704"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A new record is created in the database with supplier details and timestamp.</w:t>
            </w:r>
          </w:p>
        </w:tc>
      </w:tr>
    </w:tbl>
    <w:p>
      <w:pPr>
        <w:pStyle w:val="p1"/>
        <w:spacing w:before="280" w:after="280"/>
        <w:rPr/>
      </w:pPr>
      <w:r>
        <w:rPr/>
        <w:br/>
        <w:br/>
        <w:t xml:space="preserve">Each story included measurable acceptance criteria to support </w:t>
      </w:r>
      <w:r>
        <w:rPr>
          <w:rStyle w:val="s1"/>
          <w:b/>
          <w:bCs/>
        </w:rPr>
        <w:t>unit and integration testing</w:t>
      </w:r>
      <w:r>
        <w:rPr/>
        <w:t xml:space="preserve"> later in development.</w:t>
      </w:r>
    </w:p>
    <w:p>
      <w:pPr>
        <w:pStyle w:val="Heading3"/>
        <w:rPr/>
      </w:pPr>
      <w:r>
        <w:rPr/>
        <w:br/>
        <w:t>4</w:t>
      </w:r>
      <w:r>
        <w:rPr/>
        <w:t>.5 Prioritisation and Grooming</w:t>
      </w:r>
    </w:p>
    <w:p>
      <w:pPr>
        <w:pStyle w:val="p1"/>
        <w:spacing w:before="280" w:after="280"/>
        <w:rPr/>
      </w:pPr>
      <w:r>
        <w:rPr/>
        <w:t xml:space="preserve">User stories were prioritised during each sprint planning phase based on their </w:t>
      </w:r>
      <w:r>
        <w:rPr>
          <w:rStyle w:val="s1"/>
          <w:b/>
          <w:bCs/>
        </w:rPr>
        <w:t>business impact and dependency level</w:t>
      </w:r>
      <w:r>
        <w:rPr/>
        <w:t>.</w:t>
      </w:r>
    </w:p>
    <w:p>
      <w:pPr>
        <w:pStyle w:val="p1"/>
        <w:spacing w:before="280" w:after="280"/>
        <w:rPr/>
      </w:pPr>
      <w:r>
        <w:rPr/>
        <w:t>For example:</w:t>
      </w:r>
    </w:p>
    <w:p>
      <w:pPr>
        <w:pStyle w:val="p1"/>
        <w:numPr>
          <w:ilvl w:val="0"/>
          <w:numId w:val="15"/>
        </w:numPr>
        <w:spacing w:before="280" w:after="0"/>
        <w:rPr/>
      </w:pPr>
      <w:r>
        <w:rPr/>
        <w:t xml:space="preserve">Core workflows (stock-taking, picking, packing) were prioritised in </w:t>
      </w:r>
      <w:r>
        <w:rPr>
          <w:rStyle w:val="s1"/>
          <w:b/>
          <w:bCs/>
        </w:rPr>
        <w:t>Sprints 3–5</w:t>
      </w:r>
      <w:r>
        <w:rPr/>
        <w:t>.</w:t>
      </w:r>
    </w:p>
    <w:p>
      <w:pPr>
        <w:pStyle w:val="p1"/>
        <w:numPr>
          <w:ilvl w:val="0"/>
          <w:numId w:val="15"/>
        </w:numPr>
        <w:spacing w:before="0" w:after="0"/>
        <w:rPr/>
      </w:pPr>
      <w:r>
        <w:rPr/>
        <w:t xml:space="preserve">Ancillary workflows (receipts, deliveries, error handling) followed in </w:t>
      </w:r>
      <w:r>
        <w:rPr>
          <w:rStyle w:val="s1"/>
          <w:b/>
          <w:bCs/>
        </w:rPr>
        <w:t>Sprints 6–7</w:t>
      </w:r>
      <w:r>
        <w:rPr/>
        <w:t>.</w:t>
      </w:r>
    </w:p>
    <w:p>
      <w:pPr>
        <w:pStyle w:val="p1"/>
        <w:numPr>
          <w:ilvl w:val="0"/>
          <w:numId w:val="15"/>
        </w:numPr>
        <w:spacing w:before="0" w:after="280"/>
        <w:rPr/>
      </w:pPr>
      <w:r>
        <w:rPr/>
        <w:t xml:space="preserve">Refinements and UI adjustments (theme updates, icon changes) were completed in </w:t>
      </w:r>
      <w:r>
        <w:rPr>
          <w:rStyle w:val="s1"/>
          <w:b/>
          <w:bCs/>
        </w:rPr>
        <w:t>Sprint 9</w:t>
      </w:r>
      <w:r>
        <w:rPr/>
        <w:t>.</w:t>
      </w:r>
    </w:p>
    <w:p>
      <w:pPr>
        <w:pStyle w:val="p3"/>
        <w:spacing w:before="280" w:after="280"/>
        <w:rPr/>
      </w:pPr>
      <w:r>
        <w:rPr/>
      </w:r>
    </w:p>
    <w:p>
      <w:pPr>
        <w:pStyle w:val="p1"/>
        <w:spacing w:before="280" w:after="280"/>
        <w:rPr/>
      </w:pPr>
      <w:r>
        <w:rPr/>
        <w:t xml:space="preserve">Continuous </w:t>
      </w:r>
      <w:r>
        <w:rPr>
          <w:rStyle w:val="s1"/>
          <w:b/>
          <w:bCs/>
        </w:rPr>
        <w:t>story grooming</w:t>
      </w:r>
      <w:r>
        <w:rPr/>
        <w:t xml:space="preserve"> was performed at the start of each sprint. Outdated or redundant stories were updated, merged, or removed, ensuring alignment with the evolving system design.</w:t>
      </w:r>
    </w:p>
    <w:p>
      <w:pPr>
        <w:pStyle w:val="p3"/>
        <w:spacing w:before="280" w:after="280"/>
        <w:rPr/>
      </w:pPr>
      <w:r>
        <w:rPr/>
      </w:r>
    </w:p>
    <w:p>
      <w:pPr>
        <w:pStyle w:val="p1"/>
        <w:spacing w:before="280" w:after="280"/>
        <w:rPr/>
      </w:pPr>
      <w:r>
        <w:rPr/>
        <w:t xml:space="preserve">This cycle of prioritisation and re-evaluation demonstrates adherence to both </w:t>
      </w:r>
      <w:r>
        <w:rPr>
          <w:rStyle w:val="s1"/>
          <w:b/>
          <w:bCs/>
        </w:rPr>
        <w:t>Scrum’s iterative backlog refinement</w:t>
      </w:r>
      <w:r>
        <w:rPr/>
        <w:t xml:space="preserve"> and </w:t>
      </w:r>
      <w:r>
        <w:rPr>
          <w:rStyle w:val="s1"/>
          <w:b/>
          <w:bCs/>
        </w:rPr>
        <w:t>SAP Activate’s Realise phase quality gates</w:t>
      </w:r>
      <w:r>
        <w:rPr/>
        <w:t>.</w:t>
      </w:r>
    </w:p>
    <w:p>
      <w:pPr>
        <w:pStyle w:val="Heading3"/>
        <w:rPr/>
      </w:pPr>
      <w:r>
        <w:rPr/>
        <w:t>4</w:t>
      </w:r>
      <w:r>
        <w:rPr/>
        <w:t>.6 Requirements Validation</w:t>
      </w:r>
    </w:p>
    <w:p>
      <w:pPr>
        <w:pStyle w:val="p3"/>
        <w:spacing w:before="280" w:after="280"/>
        <w:rPr/>
      </w:pPr>
      <w:r>
        <w:rPr/>
      </w:r>
    </w:p>
    <w:p>
      <w:pPr>
        <w:pStyle w:val="p1"/>
        <w:spacing w:before="280" w:after="280"/>
        <w:rPr/>
      </w:pPr>
      <w:r>
        <w:rPr/>
        <w:t>Validation occurred through multiple layers:</w:t>
      </w:r>
    </w:p>
    <w:p>
      <w:pPr>
        <w:pStyle w:val="p1"/>
        <w:numPr>
          <w:ilvl w:val="0"/>
          <w:numId w:val="16"/>
        </w:numPr>
        <w:spacing w:before="280" w:after="0"/>
        <w:rPr/>
      </w:pPr>
      <w:r>
        <w:rPr>
          <w:rStyle w:val="s1"/>
          <w:b/>
          <w:bCs/>
        </w:rPr>
        <w:t>Functional validation:</w:t>
      </w:r>
      <w:r>
        <w:rPr/>
        <w:t xml:space="preserve"> Each implemented story was tested against its acceptance criteria in Android Studio and through FastAPI endpoint testing.</w:t>
      </w:r>
    </w:p>
    <w:p>
      <w:pPr>
        <w:pStyle w:val="p1"/>
        <w:numPr>
          <w:ilvl w:val="0"/>
          <w:numId w:val="16"/>
        </w:numPr>
        <w:spacing w:before="0" w:after="0"/>
        <w:rPr/>
      </w:pPr>
      <w:r>
        <w:rPr>
          <w:rStyle w:val="s1"/>
          <w:b/>
          <w:bCs/>
        </w:rPr>
        <w:t>Client validation:</w:t>
      </w:r>
      <w:r>
        <w:rPr/>
        <w:t xml:space="preserve"> The Luiz family reviewed core modules (stock, picking, packing) via walkthroughs and screenshots before development proceeded further.</w:t>
      </w:r>
    </w:p>
    <w:p>
      <w:pPr>
        <w:pStyle w:val="p1"/>
        <w:numPr>
          <w:ilvl w:val="0"/>
          <w:numId w:val="16"/>
        </w:numPr>
        <w:spacing w:before="0" w:after="280"/>
        <w:rPr/>
      </w:pPr>
      <w:r>
        <w:rPr>
          <w:rStyle w:val="s1"/>
          <w:b/>
          <w:bCs/>
        </w:rPr>
        <w:t>Testing validation:</w:t>
      </w:r>
      <w:r>
        <w:rPr/>
        <w:t xml:space="preserve"> Unit tests confirmed expected API and UI behaviour, with 100% pass rate on both Kotlin and Python test suites by project completion.</w:t>
      </w:r>
    </w:p>
    <w:p>
      <w:pPr>
        <w:pStyle w:val="Heading3"/>
        <w:rPr/>
      </w:pPr>
      <w:r>
        <w:rPr/>
        <w:br/>
        <w:t>4</w:t>
      </w:r>
      <w:r>
        <w:rPr/>
        <w:t>.7 Summary</w:t>
      </w:r>
    </w:p>
    <w:p>
      <w:pPr>
        <w:pStyle w:val="p1"/>
        <w:spacing w:before="280" w:after="280"/>
        <w:rPr/>
      </w:pPr>
      <w:r>
        <w:rPr/>
        <w:t>The requirements elicitation process ensured that TWS-Scan was not just a technical system, but a tailored solution grounded in the client’s business operations.</w:t>
      </w:r>
    </w:p>
    <w:p>
      <w:pPr>
        <w:pStyle w:val="p1"/>
        <w:spacing w:before="280" w:after="280"/>
        <w:rPr/>
      </w:pPr>
      <w:r>
        <w:rPr/>
        <w:t>By maintaining active collaboration, clear documentation of user roles, and continuous backlog refinement, the project achieved:</w:t>
      </w:r>
    </w:p>
    <w:p>
      <w:pPr>
        <w:pStyle w:val="p1"/>
        <w:numPr>
          <w:ilvl w:val="0"/>
          <w:numId w:val="17"/>
        </w:numPr>
        <w:spacing w:before="280" w:after="0"/>
        <w:rPr/>
      </w:pPr>
      <w:r>
        <w:rPr/>
        <w:t>Complete coverage of functional needs across all warehouse operations.</w:t>
      </w:r>
    </w:p>
    <w:p>
      <w:pPr>
        <w:pStyle w:val="p1"/>
        <w:numPr>
          <w:ilvl w:val="0"/>
          <w:numId w:val="17"/>
        </w:numPr>
        <w:spacing w:before="0" w:after="0"/>
        <w:rPr/>
      </w:pPr>
      <w:r>
        <w:rPr/>
        <w:t>Prioritised, tested, and validated user stories for every module.</w:t>
      </w:r>
    </w:p>
    <w:p>
      <w:pPr>
        <w:pStyle w:val="p1"/>
        <w:numPr>
          <w:ilvl w:val="0"/>
          <w:numId w:val="17"/>
        </w:numPr>
        <w:spacing w:before="0" w:after="280"/>
        <w:rPr/>
      </w:pPr>
      <w:r>
        <w:rPr/>
        <w:t>Evident re-prioritisation between sprints, consistent with Agile and SAP Activate principles.</w:t>
      </w:r>
    </w:p>
    <w:p>
      <w:pPr>
        <w:pStyle w:val="p3"/>
        <w:spacing w:before="280" w:after="280"/>
        <w:rPr/>
      </w:pPr>
      <w:r>
        <w:rPr/>
      </w:r>
    </w:p>
    <w:p>
      <w:pPr>
        <w:pStyle w:val="p1"/>
        <w:spacing w:before="280" w:after="280"/>
        <w:rPr/>
      </w:pPr>
      <w:r>
        <w:rPr/>
        <w:br/>
        <w:br/>
        <w:br/>
        <w:br/>
        <w:br/>
        <w:br/>
        <w:br/>
        <w:br/>
        <w:br/>
        <w:br/>
        <w:br/>
        <w:br/>
      </w:r>
    </w:p>
    <w:p>
      <w:pPr>
        <w:pStyle w:val="p1"/>
        <w:spacing w:before="280" w:after="280"/>
        <w:rPr/>
      </w:pPr>
      <w:r>
        <w:rPr/>
        <w:br/>
      </w:r>
      <w:r>
        <w:rPr>
          <w:sz w:val="36"/>
          <w:szCs w:val="36"/>
        </w:rPr>
        <w:t xml:space="preserve">5. </w:t>
      </w:r>
      <w:r>
        <w:rPr>
          <w:sz w:val="36"/>
          <w:szCs w:val="36"/>
        </w:rPr>
        <w:t>Understanding of Non-Functional Requirements</w:t>
      </w:r>
    </w:p>
    <w:p>
      <w:pPr>
        <w:pStyle w:val="p2"/>
        <w:spacing w:before="280" w:after="280"/>
        <w:rPr/>
      </w:pPr>
      <w:r>
        <w:rPr/>
      </w:r>
    </w:p>
    <w:p>
      <w:pPr>
        <w:pStyle w:val="p3"/>
        <w:spacing w:before="280" w:after="280"/>
        <w:rPr/>
      </w:pPr>
      <w:r>
        <w:rPr/>
        <w:t xml:space="preserve">Non-functional requirements (NFRs) define the quality attributes of the </w:t>
      </w:r>
      <w:r>
        <w:rPr>
          <w:rStyle w:val="s2"/>
          <w:rFonts w:eastAsia="" w:eastAsiaTheme="majorEastAsia"/>
          <w:b/>
          <w:bCs/>
        </w:rPr>
        <w:t>TWS-Scan</w:t>
      </w:r>
      <w:r>
        <w:rPr/>
        <w:t xml:space="preserve"> system — how well it performs, scales, and maintains reliability under operational conditions. These requirements were not treated as secondary to core functionality; instead, they were integrated into both design and implementation decisions from early sprints. Each was evaluated against the system’s real-world context — a warehouse environment requiring accuracy, speed, and offline reliability.</w:t>
      </w:r>
    </w:p>
    <w:p>
      <w:pPr>
        <w:pStyle w:val="Heading3"/>
        <w:rPr/>
      </w:pPr>
      <w:r>
        <w:rPr/>
        <w:br/>
        <w:t>5</w:t>
      </w:r>
      <w:r>
        <w:rPr/>
        <w:t>.1 Performance</w:t>
      </w:r>
    </w:p>
    <w:p>
      <w:pPr>
        <w:pStyle w:val="p3"/>
        <w:spacing w:before="280" w:after="280"/>
        <w:rPr/>
      </w:pPr>
      <w:r>
        <w:rPr/>
        <w:t>From inception, performance was a priority due to the nature of warehouse operations, where delays in scanning or syncing can disrupt workflows.</w:t>
      </w:r>
    </w:p>
    <w:p>
      <w:pPr>
        <w:pStyle w:val="p2"/>
        <w:spacing w:before="280" w:after="280"/>
        <w:rPr/>
      </w:pPr>
      <w:r>
        <w:rPr/>
      </w:r>
    </w:p>
    <w:p>
      <w:pPr>
        <w:pStyle w:val="p3"/>
        <w:spacing w:before="280" w:after="280"/>
        <w:rPr/>
      </w:pPr>
      <w:r>
        <w:rPr/>
        <w:t>Key measures included:</w:t>
      </w:r>
    </w:p>
    <w:p>
      <w:pPr>
        <w:pStyle w:val="p1"/>
        <w:numPr>
          <w:ilvl w:val="0"/>
          <w:numId w:val="18"/>
        </w:numPr>
        <w:spacing w:before="280" w:after="0"/>
        <w:rPr/>
      </w:pPr>
      <w:r>
        <w:rPr>
          <w:rStyle w:val="s1"/>
          <w:b/>
          <w:bCs/>
        </w:rPr>
        <w:t>Low-latency API responses</w:t>
      </w:r>
      <w:r>
        <w:rPr/>
        <w:t xml:space="preserve"> — The FastAPI backend was selected specifically for its asynchronous architecture, enabling sub-50ms response times in local testing.</w:t>
      </w:r>
    </w:p>
    <w:p>
      <w:pPr>
        <w:pStyle w:val="p1"/>
        <w:numPr>
          <w:ilvl w:val="0"/>
          <w:numId w:val="18"/>
        </w:numPr>
        <w:spacing w:before="0" w:after="0"/>
        <w:rPr/>
      </w:pPr>
      <w:r>
        <w:rPr>
          <w:rStyle w:val="s1"/>
          <w:b/>
          <w:bCs/>
        </w:rPr>
        <w:t>Optimised SQL queries</w:t>
      </w:r>
      <w:r>
        <w:rPr/>
        <w:t xml:space="preserve"> — Queries were tuned with indexes and stored procedures to improve data retrieval during stock-taking and order verification.</w:t>
      </w:r>
    </w:p>
    <w:p>
      <w:pPr>
        <w:pStyle w:val="p1"/>
        <w:numPr>
          <w:ilvl w:val="0"/>
          <w:numId w:val="18"/>
        </w:numPr>
        <w:spacing w:before="0" w:after="0"/>
        <w:rPr/>
      </w:pPr>
      <w:r>
        <w:rPr>
          <w:rStyle w:val="s1"/>
          <w:b/>
          <w:bCs/>
        </w:rPr>
        <w:t>Efficient barcode scanning</w:t>
      </w:r>
      <w:r>
        <w:rPr/>
        <w:t xml:space="preserve"> — Kotlin’s integration with the ML Kit barcode library allowed instant recognition without network calls, ensuring responsiveness even offline.</w:t>
      </w:r>
    </w:p>
    <w:p>
      <w:pPr>
        <w:pStyle w:val="p1"/>
        <w:numPr>
          <w:ilvl w:val="0"/>
          <w:numId w:val="18"/>
        </w:numPr>
        <w:spacing w:before="0" w:after="280"/>
        <w:rPr/>
      </w:pPr>
      <w:r>
        <w:rPr>
          <w:rStyle w:val="s1"/>
          <w:b/>
          <w:bCs/>
        </w:rPr>
        <w:t>Automated unit testing</w:t>
      </w:r>
      <w:r>
        <w:rPr/>
        <w:t xml:space="preserve"> — Pytest and JUnit suites validated execution speed and logic consistency across 35 combined tests, all passing successfully (as seen in Sprint 6).</w:t>
      </w:r>
    </w:p>
    <w:p>
      <w:pPr>
        <w:pStyle w:val="p2"/>
        <w:spacing w:before="280" w:after="280"/>
        <w:rPr/>
      </w:pPr>
      <w:r>
        <w:rPr/>
      </w:r>
    </w:p>
    <w:p>
      <w:pPr>
        <w:pStyle w:val="p3"/>
        <w:spacing w:before="280" w:after="280"/>
        <w:rPr/>
      </w:pPr>
      <w:r>
        <w:rPr/>
        <w:t>These optimisations ensured the system met warehouse-level responsiveness with minimal overhead.</w:t>
      </w:r>
    </w:p>
    <w:p>
      <w:pPr>
        <w:pStyle w:val="Normal"/>
        <w:rPr>
          <w:rStyle w:val="s1"/>
        </w:rPr>
      </w:pPr>
      <w:r>
        <w:rPr/>
      </w:r>
    </w:p>
    <w:p>
      <w:pPr>
        <w:pStyle w:val="Normal"/>
        <w:rPr>
          <w:rStyle w:val="s1"/>
        </w:rPr>
      </w:pPr>
      <w:r>
        <w:rPr/>
      </w:r>
    </w:p>
    <w:p>
      <w:pPr>
        <w:pStyle w:val="Normal"/>
        <w:rPr>
          <w:rStyle w:val="s1"/>
        </w:rPr>
      </w:pPr>
      <w:r>
        <w:rPr/>
      </w:r>
    </w:p>
    <w:p>
      <w:pPr>
        <w:pStyle w:val="Normal"/>
        <w:rPr>
          <w:rStyle w:val="s1"/>
        </w:rPr>
      </w:pPr>
      <w:r>
        <w:rPr/>
      </w:r>
    </w:p>
    <w:p>
      <w:pPr>
        <w:pStyle w:val="Heading3"/>
        <w:rPr/>
      </w:pPr>
      <w:r>
        <w:rPr/>
        <w:t>5</w:t>
      </w:r>
      <w:r>
        <w:rPr/>
        <w:t>.2 Scalability</w:t>
      </w:r>
    </w:p>
    <w:p>
      <w:pPr>
        <w:pStyle w:val="p2"/>
        <w:spacing w:before="280" w:after="280"/>
        <w:rPr/>
      </w:pPr>
      <w:r>
        <w:rPr/>
      </w:r>
    </w:p>
    <w:p>
      <w:pPr>
        <w:pStyle w:val="p3"/>
        <w:spacing w:before="280" w:after="280"/>
        <w:rPr/>
      </w:pPr>
      <w:r>
        <w:rPr/>
        <w:t>Although the system was designed for a single warehouse, scalability considerations were embedded to allow future expansion across branches.</w:t>
      </w:r>
    </w:p>
    <w:p>
      <w:pPr>
        <w:pStyle w:val="p3"/>
        <w:spacing w:before="280" w:after="280"/>
        <w:rPr/>
      </w:pPr>
      <w:r>
        <w:rPr/>
        <w:t>Scalability was achieved through:</w:t>
      </w:r>
    </w:p>
    <w:p>
      <w:pPr>
        <w:pStyle w:val="p1"/>
        <w:numPr>
          <w:ilvl w:val="0"/>
          <w:numId w:val="19"/>
        </w:numPr>
        <w:spacing w:before="280" w:after="0"/>
        <w:rPr/>
      </w:pPr>
      <w:r>
        <w:rPr>
          <w:rStyle w:val="s1"/>
          <w:b/>
          <w:bCs/>
        </w:rPr>
        <w:t>Cloud-based infrastructure</w:t>
      </w:r>
      <w:r>
        <w:rPr/>
        <w:t xml:space="preserve"> — FastAPI and Azure SQL enable vertical and horizontal scaling via App Service plans.</w:t>
      </w:r>
    </w:p>
    <w:p>
      <w:pPr>
        <w:pStyle w:val="p1"/>
        <w:numPr>
          <w:ilvl w:val="0"/>
          <w:numId w:val="19"/>
        </w:numPr>
        <w:spacing w:before="0" w:after="0"/>
        <w:rPr/>
      </w:pPr>
      <w:r>
        <w:rPr>
          <w:rStyle w:val="s1"/>
          <w:b/>
          <w:bCs/>
        </w:rPr>
        <w:t>Decoupled architecture</w:t>
      </w:r>
      <w:r>
        <w:rPr/>
        <w:t xml:space="preserve"> — The frontend and backend communicate via REST APIs, allowing independent scaling of services.</w:t>
      </w:r>
    </w:p>
    <w:p>
      <w:pPr>
        <w:pStyle w:val="p1"/>
        <w:numPr>
          <w:ilvl w:val="0"/>
          <w:numId w:val="19"/>
        </w:numPr>
        <w:spacing w:before="0" w:after="280"/>
        <w:rPr/>
      </w:pPr>
      <w:r>
        <w:rPr>
          <w:rStyle w:val="s1"/>
          <w:b/>
          <w:bCs/>
        </w:rPr>
        <w:t>Stateless API design</w:t>
      </w:r>
      <w:r>
        <w:rPr/>
        <w:t xml:space="preserve"> — Authentication via JWT tokens ensured requests could be handled by multiple instances concurrently without session persistence issues.</w:t>
      </w:r>
    </w:p>
    <w:p>
      <w:pPr>
        <w:pStyle w:val="p2"/>
        <w:spacing w:before="280" w:after="280"/>
        <w:rPr/>
      </w:pPr>
      <w:r>
        <w:rPr/>
      </w:r>
    </w:p>
    <w:p>
      <w:pPr>
        <w:pStyle w:val="p3"/>
        <w:spacing w:before="280" w:after="280"/>
        <w:rPr/>
      </w:pPr>
      <w:r>
        <w:rPr/>
        <w:t>This approach ensures the system can handle higher transaction volumes and additional warehouse sites with minimal architectural changes.</w:t>
      </w:r>
    </w:p>
    <w:p>
      <w:pPr>
        <w:pStyle w:val="Heading3"/>
        <w:rPr/>
      </w:pPr>
      <w:r>
        <w:rPr/>
        <w:br/>
        <w:t>5</w:t>
      </w:r>
      <w:r>
        <w:rPr/>
        <w:t>.3 Reliability</w:t>
      </w:r>
    </w:p>
    <w:p>
      <w:pPr>
        <w:pStyle w:val="p3"/>
        <w:spacing w:before="280" w:after="280"/>
        <w:rPr/>
      </w:pPr>
      <w:r>
        <w:rPr/>
        <w:t>Reliability was essential for maintaining trust in stock data and ensuring uninterrupted operation during daily cycles.</w:t>
      </w:r>
    </w:p>
    <w:p>
      <w:pPr>
        <w:pStyle w:val="p3"/>
        <w:spacing w:before="280" w:after="280"/>
        <w:rPr/>
      </w:pPr>
      <w:r>
        <w:rPr/>
        <w:t>To achieve this:</w:t>
      </w:r>
    </w:p>
    <w:p>
      <w:pPr>
        <w:pStyle w:val="p1"/>
        <w:numPr>
          <w:ilvl w:val="0"/>
          <w:numId w:val="20"/>
        </w:numPr>
        <w:spacing w:before="280" w:after="0"/>
        <w:rPr/>
      </w:pPr>
      <w:r>
        <w:rPr>
          <w:rStyle w:val="s1"/>
          <w:b/>
          <w:bCs/>
        </w:rPr>
        <w:t>Error handling and retry logic</w:t>
      </w:r>
      <w:r>
        <w:rPr/>
        <w:t xml:space="preserve"> were implemented for network-dependent functions like API sync and image uploads.</w:t>
      </w:r>
    </w:p>
    <w:p>
      <w:pPr>
        <w:pStyle w:val="p1"/>
        <w:numPr>
          <w:ilvl w:val="0"/>
          <w:numId w:val="20"/>
        </w:numPr>
        <w:spacing w:before="0" w:after="0"/>
        <w:rPr/>
      </w:pPr>
      <w:r>
        <w:rPr>
          <w:rStyle w:val="s1"/>
          <w:b/>
          <w:bCs/>
        </w:rPr>
        <w:t>Data validation checks</w:t>
      </w:r>
      <w:r>
        <w:rPr/>
        <w:t xml:space="preserve"> were built into every critical API route to prevent malformed entries or duplicates.</w:t>
      </w:r>
    </w:p>
    <w:p>
      <w:pPr>
        <w:pStyle w:val="p1"/>
        <w:numPr>
          <w:ilvl w:val="0"/>
          <w:numId w:val="20"/>
        </w:numPr>
        <w:spacing w:before="0" w:after="0"/>
        <w:rPr/>
      </w:pPr>
      <w:r>
        <w:rPr>
          <w:rStyle w:val="s1"/>
          <w:b/>
          <w:bCs/>
        </w:rPr>
        <w:t>Offline-first design</w:t>
      </w:r>
      <w:r>
        <w:rPr/>
        <w:t xml:space="preserve"> ensured continued app usability during connectivity loss — transactions are queued locally and synced once online.</w:t>
      </w:r>
    </w:p>
    <w:p>
      <w:pPr>
        <w:pStyle w:val="p1"/>
        <w:numPr>
          <w:ilvl w:val="0"/>
          <w:numId w:val="20"/>
        </w:numPr>
        <w:spacing w:before="0" w:after="280"/>
        <w:rPr/>
      </w:pPr>
      <w:r>
        <w:rPr>
          <w:rStyle w:val="s1"/>
          <w:b/>
          <w:bCs/>
        </w:rPr>
        <w:t>Automated testing</w:t>
      </w:r>
      <w:r>
        <w:rPr/>
        <w:t xml:space="preserve"> across backend and frontend ensured consistent behaviour before deployment.</w:t>
      </w:r>
    </w:p>
    <w:p>
      <w:pPr>
        <w:pStyle w:val="p2"/>
        <w:spacing w:before="280" w:after="280"/>
        <w:rPr/>
      </w:pPr>
      <w:r>
        <w:rPr/>
      </w:r>
    </w:p>
    <w:p>
      <w:pPr>
        <w:pStyle w:val="p3"/>
        <w:spacing w:before="280" w:after="280"/>
        <w:rPr/>
      </w:pPr>
      <w:r>
        <w:rPr/>
        <w:t>This redundancy-first design ensured reliability across variable network conditions typical in warehouse environments.</w:t>
      </w:r>
    </w:p>
    <w:p>
      <w:pPr>
        <w:pStyle w:val="p3"/>
        <w:spacing w:before="280" w:after="280"/>
        <w:rPr/>
      </w:pPr>
      <w:r>
        <w:rPr/>
      </w:r>
    </w:p>
    <w:p>
      <w:pPr>
        <w:pStyle w:val="Heading3"/>
        <w:rPr/>
      </w:pPr>
      <w:r>
        <w:rPr/>
        <w:t>5</w:t>
      </w:r>
      <w:r>
        <w:rPr/>
        <w:t>.4 Maintainability</w:t>
      </w:r>
    </w:p>
    <w:p>
      <w:pPr>
        <w:pStyle w:val="p2"/>
        <w:spacing w:before="280" w:after="280"/>
        <w:rPr/>
      </w:pPr>
      <w:r>
        <w:rPr/>
      </w:r>
    </w:p>
    <w:p>
      <w:pPr>
        <w:pStyle w:val="p3"/>
        <w:spacing w:before="280" w:after="280"/>
        <w:rPr/>
      </w:pPr>
      <w:r>
        <w:rPr/>
        <w:t>Given the system’s dual-stack design, maintainability was achieved through clean modularisation and documentation practices:</w:t>
      </w:r>
    </w:p>
    <w:p>
      <w:pPr>
        <w:pStyle w:val="p1"/>
        <w:numPr>
          <w:ilvl w:val="0"/>
          <w:numId w:val="21"/>
        </w:numPr>
        <w:spacing w:before="280" w:after="0"/>
        <w:rPr/>
      </w:pPr>
      <w:r>
        <w:rPr>
          <w:rStyle w:val="s1"/>
          <w:b/>
          <w:bCs/>
        </w:rPr>
        <w:t>Separation of concerns</w:t>
      </w:r>
      <w:r>
        <w:rPr/>
        <w:t xml:space="preserve"> — Each backend function (picking, packing, delivery, stock) resides in distinct FastAPI routers.</w:t>
      </w:r>
    </w:p>
    <w:p>
      <w:pPr>
        <w:pStyle w:val="p1"/>
        <w:numPr>
          <w:ilvl w:val="0"/>
          <w:numId w:val="21"/>
        </w:numPr>
        <w:spacing w:before="0" w:after="0"/>
        <w:rPr/>
      </w:pPr>
      <w:r>
        <w:rPr>
          <w:rStyle w:val="s1"/>
          <w:b/>
          <w:bCs/>
        </w:rPr>
        <w:t>Readable codebase</w:t>
      </w:r>
      <w:r>
        <w:rPr/>
        <w:t xml:space="preserve"> — Followed PEP8 for Python and Kotlin best practices for naming and class structure.</w:t>
      </w:r>
    </w:p>
    <w:p>
      <w:pPr>
        <w:pStyle w:val="p1"/>
        <w:numPr>
          <w:ilvl w:val="0"/>
          <w:numId w:val="21"/>
        </w:numPr>
        <w:spacing w:before="0" w:after="0"/>
        <w:rPr/>
      </w:pPr>
      <w:r>
        <w:rPr>
          <w:rStyle w:val="s1"/>
          <w:b/>
          <w:bCs/>
        </w:rPr>
        <w:t>Git version control</w:t>
      </w:r>
      <w:r>
        <w:rPr/>
        <w:t xml:space="preserve"> — Branch-based development allowed safe testing of new features before merging to the main branch.</w:t>
      </w:r>
    </w:p>
    <w:p>
      <w:pPr>
        <w:pStyle w:val="p1"/>
        <w:numPr>
          <w:ilvl w:val="0"/>
          <w:numId w:val="21"/>
        </w:numPr>
        <w:spacing w:before="0" w:after="280"/>
        <w:rPr/>
      </w:pPr>
      <w:r>
        <w:rPr>
          <w:rStyle w:val="s1"/>
          <w:b/>
          <w:bCs/>
        </w:rPr>
        <w:t>Comprehensive docstrings and comments</w:t>
      </w:r>
      <w:r>
        <w:rPr/>
        <w:t xml:space="preserve"> were embedded in both backend and frontend files to assist future developers.</w:t>
      </w:r>
    </w:p>
    <w:p>
      <w:pPr>
        <w:pStyle w:val="p2"/>
        <w:spacing w:before="280" w:after="280"/>
        <w:rPr/>
      </w:pPr>
      <w:r>
        <w:rPr/>
      </w:r>
    </w:p>
    <w:p>
      <w:pPr>
        <w:pStyle w:val="p3"/>
        <w:spacing w:before="280" w:after="280"/>
        <w:rPr/>
      </w:pPr>
      <w:r>
        <w:rPr/>
        <w:t>These measures ensure the system can be easily extended with minimal onboarding time for new contributors.</w:t>
      </w:r>
    </w:p>
    <w:p>
      <w:pPr>
        <w:pStyle w:val="Heading3"/>
        <w:rPr/>
      </w:pPr>
      <w:r>
        <w:rPr/>
        <w:br/>
        <w:t>5</w:t>
      </w:r>
      <w:r>
        <w:rPr/>
        <w:t>.5 Security</w:t>
      </w:r>
    </w:p>
    <w:p>
      <w:pPr>
        <w:pStyle w:val="p2"/>
        <w:spacing w:before="280" w:after="280"/>
        <w:rPr/>
      </w:pPr>
      <w:r>
        <w:rPr/>
      </w:r>
    </w:p>
    <w:p>
      <w:pPr>
        <w:pStyle w:val="p3"/>
        <w:spacing w:before="280" w:after="280"/>
        <w:rPr/>
      </w:pPr>
      <w:r>
        <w:rPr/>
        <w:t>While full enterprise security implementation was not in scope, critical measures were integrated to ensure protection of user data and operations:</w:t>
      </w:r>
    </w:p>
    <w:p>
      <w:pPr>
        <w:pStyle w:val="p1"/>
        <w:numPr>
          <w:ilvl w:val="0"/>
          <w:numId w:val="22"/>
        </w:numPr>
        <w:spacing w:before="280" w:after="0"/>
        <w:rPr/>
      </w:pPr>
      <w:r>
        <w:rPr>
          <w:rStyle w:val="s1"/>
          <w:b/>
          <w:bCs/>
        </w:rPr>
        <w:t>JWT Authentication</w:t>
      </w:r>
      <w:r>
        <w:rPr/>
        <w:t xml:space="preserve"> for secure role-based access (Manager, Packer, Picker, Driver).</w:t>
      </w:r>
    </w:p>
    <w:p>
      <w:pPr>
        <w:pStyle w:val="p1"/>
        <w:numPr>
          <w:ilvl w:val="0"/>
          <w:numId w:val="22"/>
        </w:numPr>
        <w:spacing w:before="0" w:after="0"/>
        <w:rPr/>
      </w:pPr>
      <w:r>
        <w:rPr>
          <w:rStyle w:val="s1"/>
          <w:b/>
          <w:bCs/>
        </w:rPr>
        <w:t>HTTPS enforcement</w:t>
      </w:r>
      <w:r>
        <w:rPr/>
        <w:t xml:space="preserve"> between the Android app and FastAPI endpoints.</w:t>
      </w:r>
    </w:p>
    <w:p>
      <w:pPr>
        <w:pStyle w:val="p1"/>
        <w:numPr>
          <w:ilvl w:val="0"/>
          <w:numId w:val="22"/>
        </w:numPr>
        <w:spacing w:before="0" w:after="0"/>
        <w:rPr/>
      </w:pPr>
      <w:r>
        <w:rPr>
          <w:rStyle w:val="s1"/>
          <w:b/>
          <w:bCs/>
        </w:rPr>
        <w:t>Azure Key Vault</w:t>
      </w:r>
      <w:r>
        <w:rPr/>
        <w:t xml:space="preserve"> used for storing sensitive credentials (database strings, tokens).</w:t>
      </w:r>
    </w:p>
    <w:p>
      <w:pPr>
        <w:pStyle w:val="p1"/>
        <w:numPr>
          <w:ilvl w:val="0"/>
          <w:numId w:val="22"/>
        </w:numPr>
        <w:spacing w:before="0" w:after="0"/>
        <w:rPr/>
      </w:pPr>
      <w:r>
        <w:rPr>
          <w:rStyle w:val="s1"/>
          <w:b/>
          <w:bCs/>
        </w:rPr>
        <w:t>.gitignore policy</w:t>
      </w:r>
      <w:r>
        <w:rPr/>
        <w:t xml:space="preserve"> applied to exclude environment and secret files from source control.</w:t>
      </w:r>
    </w:p>
    <w:p>
      <w:pPr>
        <w:pStyle w:val="p1"/>
        <w:numPr>
          <w:ilvl w:val="0"/>
          <w:numId w:val="22"/>
        </w:numPr>
        <w:spacing w:before="0" w:after="280"/>
        <w:rPr/>
      </w:pPr>
      <w:r>
        <w:rPr>
          <w:rStyle w:val="s1"/>
          <w:b/>
          <w:bCs/>
        </w:rPr>
        <w:t>Input sanitisation</w:t>
      </w:r>
      <w:r>
        <w:rPr/>
        <w:t xml:space="preserve"> and validation performed on all form submissions and API payloads.</w:t>
      </w:r>
    </w:p>
    <w:p>
      <w:pPr>
        <w:pStyle w:val="p2"/>
        <w:spacing w:before="280" w:after="280"/>
        <w:rPr/>
      </w:pPr>
      <w:r>
        <w:rPr/>
      </w:r>
    </w:p>
    <w:p>
      <w:pPr>
        <w:pStyle w:val="p3"/>
        <w:spacing w:before="280" w:after="280"/>
        <w:rPr/>
      </w:pPr>
      <w:r>
        <w:rPr/>
        <w:t>These mechanisms align with SAP Activate’s “Deploy” phase requirements for secure cloud deployment and meet modern web security best practices.</w:t>
      </w:r>
    </w:p>
    <w:p>
      <w:pPr>
        <w:pStyle w:val="Normal"/>
        <w:rPr>
          <w:rStyle w:val="s1"/>
        </w:rPr>
      </w:pPr>
      <w:r>
        <w:rPr/>
      </w:r>
    </w:p>
    <w:p>
      <w:pPr>
        <w:pStyle w:val="Heading3"/>
        <w:rPr/>
      </w:pPr>
      <w:r>
        <w:rPr/>
        <w:t>5</w:t>
      </w:r>
      <w:r>
        <w:rPr/>
        <w:t>.6 Usability</w:t>
      </w:r>
    </w:p>
    <w:p>
      <w:pPr>
        <w:pStyle w:val="p2"/>
        <w:spacing w:before="280" w:after="280"/>
        <w:rPr/>
      </w:pPr>
      <w:r>
        <w:rPr/>
      </w:r>
    </w:p>
    <w:p>
      <w:pPr>
        <w:pStyle w:val="p3"/>
        <w:spacing w:before="280" w:after="280"/>
        <w:rPr/>
      </w:pPr>
      <w:r>
        <w:rPr/>
        <w:t>Usability was a central focus throughout development, given that most end users are non-technical warehouse staff.</w:t>
      </w:r>
    </w:p>
    <w:p>
      <w:pPr>
        <w:pStyle w:val="p1"/>
        <w:numPr>
          <w:ilvl w:val="0"/>
          <w:numId w:val="23"/>
        </w:numPr>
        <w:spacing w:before="280" w:after="0"/>
        <w:rPr/>
      </w:pPr>
      <w:r>
        <w:rPr>
          <w:rStyle w:val="s1"/>
          <w:b/>
          <w:bCs/>
        </w:rPr>
        <w:t>Minimal interface complexity</w:t>
      </w:r>
      <w:r>
        <w:rPr/>
        <w:t xml:space="preserve"> — Each screen performs a single task (e.g., scan, verify, confirm).</w:t>
      </w:r>
    </w:p>
    <w:p>
      <w:pPr>
        <w:pStyle w:val="p1"/>
        <w:numPr>
          <w:ilvl w:val="0"/>
          <w:numId w:val="23"/>
        </w:numPr>
        <w:spacing w:before="0" w:after="0"/>
        <w:rPr/>
      </w:pPr>
      <w:r>
        <w:rPr>
          <w:rStyle w:val="s1"/>
          <w:b/>
          <w:bCs/>
        </w:rPr>
        <w:t>High-contrast themes</w:t>
      </w:r>
      <w:r>
        <w:rPr/>
        <w:t xml:space="preserve"> — Adopted darker tones with large fonts for readability in dim warehouse lighting.</w:t>
      </w:r>
    </w:p>
    <w:p>
      <w:pPr>
        <w:pStyle w:val="p1"/>
        <w:numPr>
          <w:ilvl w:val="0"/>
          <w:numId w:val="23"/>
        </w:numPr>
        <w:spacing w:before="0" w:after="0"/>
        <w:rPr/>
      </w:pPr>
      <w:r>
        <w:rPr>
          <w:rStyle w:val="s1"/>
          <w:b/>
          <w:bCs/>
        </w:rPr>
        <w:t>Error feedback and status alerts</w:t>
      </w:r>
      <w:r>
        <w:rPr/>
        <w:t xml:space="preserve"> — Users are notified instantly of scan errors, completed actions, or sync failures.</w:t>
      </w:r>
    </w:p>
    <w:p>
      <w:pPr>
        <w:pStyle w:val="p1"/>
        <w:numPr>
          <w:ilvl w:val="0"/>
          <w:numId w:val="23"/>
        </w:numPr>
        <w:spacing w:before="0" w:after="280"/>
        <w:rPr/>
      </w:pPr>
      <w:r>
        <w:rPr>
          <w:rStyle w:val="s1"/>
          <w:b/>
          <w:bCs/>
        </w:rPr>
        <w:t>Consistent navigation patterns</w:t>
      </w:r>
      <w:r>
        <w:rPr/>
        <w:t xml:space="preserve"> across all modules reduced learning time and training needs.</w:t>
      </w:r>
    </w:p>
    <w:p>
      <w:pPr>
        <w:pStyle w:val="p2"/>
        <w:spacing w:before="280" w:after="280"/>
        <w:rPr/>
      </w:pPr>
      <w:r>
        <w:rPr/>
      </w:r>
    </w:p>
    <w:p>
      <w:pPr>
        <w:pStyle w:val="p3"/>
        <w:spacing w:before="280" w:after="280"/>
        <w:rPr/>
      </w:pPr>
      <w:r>
        <w:rPr/>
        <w:t xml:space="preserve">This aligns with the </w:t>
      </w:r>
      <w:r>
        <w:rPr>
          <w:rStyle w:val="s2"/>
          <w:rFonts w:eastAsia="" w:eastAsiaTheme="majorEastAsia"/>
          <w:b/>
          <w:bCs/>
        </w:rPr>
        <w:t>SAP Activate “Run” phase</w:t>
      </w:r>
      <w:r>
        <w:rPr/>
        <w:t xml:space="preserve"> emphasis on end-user adoption and post-deployment usability validation.</w:t>
      </w:r>
    </w:p>
    <w:p>
      <w:pPr>
        <w:pStyle w:val="Heading3"/>
        <w:rPr/>
      </w:pPr>
      <w:r>
        <w:rPr/>
        <w:br/>
        <w:t>6.7 Interoperability</w:t>
      </w:r>
    </w:p>
    <w:p>
      <w:pPr>
        <w:pStyle w:val="p2"/>
        <w:spacing w:before="280" w:after="280"/>
        <w:rPr/>
      </w:pPr>
      <w:r>
        <w:rPr/>
      </w:r>
    </w:p>
    <w:p>
      <w:pPr>
        <w:pStyle w:val="p3"/>
        <w:spacing w:before="280" w:after="280"/>
        <w:rPr/>
      </w:pPr>
      <w:r>
        <w:rPr/>
        <w:t>The system was designed to integrate seamlessly with other enterprise systems if required:</w:t>
      </w:r>
    </w:p>
    <w:p>
      <w:pPr>
        <w:pStyle w:val="p1"/>
        <w:numPr>
          <w:ilvl w:val="0"/>
          <w:numId w:val="24"/>
        </w:numPr>
        <w:spacing w:before="280" w:after="0"/>
        <w:rPr/>
      </w:pPr>
      <w:r>
        <w:rPr>
          <w:rStyle w:val="s1"/>
          <w:b/>
          <w:bCs/>
        </w:rPr>
        <w:t>RESTful API design</w:t>
      </w:r>
      <w:r>
        <w:rPr/>
        <w:t xml:space="preserve"> — Enables external systems (ERP, accounting) to consume warehouse data.</w:t>
      </w:r>
    </w:p>
    <w:p>
      <w:pPr>
        <w:pStyle w:val="p1"/>
        <w:numPr>
          <w:ilvl w:val="0"/>
          <w:numId w:val="24"/>
        </w:numPr>
        <w:spacing w:before="0" w:after="0"/>
        <w:rPr/>
      </w:pPr>
      <w:r>
        <w:rPr>
          <w:rStyle w:val="s1"/>
          <w:b/>
          <w:bCs/>
        </w:rPr>
        <w:t>JSON-based communication</w:t>
      </w:r>
      <w:r>
        <w:rPr/>
        <w:t xml:space="preserve"> — Standardised format ensures compatibility with any modern integration service.</w:t>
      </w:r>
    </w:p>
    <w:p>
      <w:pPr>
        <w:pStyle w:val="p1"/>
        <w:numPr>
          <w:ilvl w:val="0"/>
          <w:numId w:val="24"/>
        </w:numPr>
        <w:spacing w:before="0" w:after="280"/>
        <w:rPr/>
      </w:pPr>
      <w:r>
        <w:rPr>
          <w:rStyle w:val="s1"/>
          <w:b/>
          <w:bCs/>
        </w:rPr>
        <w:t>Azure SQL compatibility</w:t>
      </w:r>
      <w:r>
        <w:rPr/>
        <w:t xml:space="preserve"> — Ensures the backend can interface with existing Microsoft data ecosystems.</w:t>
      </w:r>
    </w:p>
    <w:p>
      <w:pPr>
        <w:pStyle w:val="p2"/>
        <w:spacing w:before="280" w:after="280"/>
        <w:rPr/>
      </w:pPr>
      <w:r>
        <w:rPr/>
      </w:r>
    </w:p>
    <w:p>
      <w:pPr>
        <w:pStyle w:val="p3"/>
        <w:spacing w:before="280" w:after="280"/>
        <w:rPr/>
      </w:pPr>
      <w:r>
        <w:rPr/>
        <w:t>These design choices establish a foundation for future interoperability and external system extensions.</w:t>
      </w:r>
    </w:p>
    <w:p>
      <w:pPr>
        <w:pStyle w:val="Heading3"/>
        <w:rPr/>
      </w:pPr>
      <w:r>
        <w:rPr/>
      </w:r>
    </w:p>
    <w:p>
      <w:pPr>
        <w:pStyle w:val="Heading3"/>
        <w:rPr/>
      </w:pPr>
      <w:r>
        <w:rPr/>
        <w:br/>
        <w:t>5</w:t>
      </w:r>
      <w:r>
        <w:rPr/>
        <w:t>.8 Summary</w:t>
      </w:r>
    </w:p>
    <w:p>
      <w:pPr>
        <w:pStyle w:val="p3"/>
        <w:spacing w:before="280" w:after="280"/>
        <w:rPr/>
      </w:pPr>
      <w:r>
        <w:rPr/>
        <w:t>Each non-functional requirement was actively planned, embedded, and validated through iterative testing and design refinement.</w:t>
      </w:r>
    </w:p>
    <w:p>
      <w:pPr>
        <w:pStyle w:val="p3"/>
        <w:spacing w:before="280" w:after="280"/>
        <w:rPr/>
      </w:pPr>
      <w:r>
        <w:rPr/>
        <w:t xml:space="preserve">The combination of </w:t>
      </w:r>
      <w:r>
        <w:rPr>
          <w:rStyle w:val="s2"/>
          <w:rFonts w:eastAsia="" w:eastAsiaTheme="majorEastAsia"/>
          <w:b/>
          <w:bCs/>
        </w:rPr>
        <w:t>FastAPI’s async backend</w:t>
      </w:r>
      <w:r>
        <w:rPr/>
        <w:t xml:space="preserve">, </w:t>
      </w:r>
      <w:r>
        <w:rPr>
          <w:rStyle w:val="s2"/>
          <w:rFonts w:eastAsia="" w:eastAsiaTheme="majorEastAsia"/>
          <w:b/>
          <w:bCs/>
        </w:rPr>
        <w:t>Kotlin’s modern mobile runtime</w:t>
      </w:r>
      <w:r>
        <w:rPr/>
        <w:t xml:space="preserve">, and </w:t>
      </w:r>
      <w:r>
        <w:rPr>
          <w:rStyle w:val="s2"/>
          <w:rFonts w:eastAsia="" w:eastAsiaTheme="majorEastAsia"/>
          <w:b/>
          <w:bCs/>
        </w:rPr>
        <w:t>Azure’s managed services</w:t>
      </w:r>
      <w:r>
        <w:rPr/>
        <w:t xml:space="preserve"> ensured a balance between speed, stability, and long-term maintainability.</w:t>
      </w:r>
    </w:p>
    <w:tbl>
      <w:tblPr>
        <w:tblW w:w="8640" w:type="dxa"/>
        <w:jc w:val="left"/>
        <w:tblInd w:w="15" w:type="dxa"/>
        <w:tblLayout w:type="fixed"/>
        <w:tblCellMar>
          <w:top w:w="15" w:type="dxa"/>
          <w:left w:w="15" w:type="dxa"/>
          <w:bottom w:w="15" w:type="dxa"/>
          <w:right w:w="15" w:type="dxa"/>
        </w:tblCellMar>
        <w:tblLook w:val="04a0" w:noVBand="1" w:noHBand="0" w:lastColumn="0" w:firstColumn="1" w:lastRow="0" w:firstRow="1"/>
      </w:tblPr>
      <w:tblGrid>
        <w:gridCol w:w="1715"/>
        <w:gridCol w:w="6925"/>
      </w:tblGrid>
      <w:tr>
        <w:trPr>
          <w:tblHeader w:val="true"/>
        </w:trPr>
        <w:tc>
          <w:tcPr>
            <w:tcW w:w="1715" w:type="dxa"/>
            <w:tcBorders/>
            <w:shd w:fill="3465A4" w:val="clear"/>
            <w:vAlign w:val="center"/>
          </w:tcPr>
          <w:p>
            <w:pPr>
              <w:pStyle w:val="Normal"/>
              <w:spacing w:lineRule="auto" w:line="240" w:beforeAutospacing="1" w:after="0"/>
              <w:jc w:val="center"/>
              <w:rPr>
                <w:rFonts w:ascii="Times New Roman" w:hAnsi="Times New Roman" w:eastAsia="Times New Roman" w:cs="Times New Roman"/>
                <w:b/>
                <w:bCs/>
                <w:sz w:val="24"/>
                <w:szCs w:val="24"/>
                <w:lang w:val="en-ZA" w:eastAsia="en-GB"/>
              </w:rPr>
            </w:pPr>
            <w:r>
              <w:rPr>
                <w:rFonts w:eastAsia="Times New Roman" w:cs="Times New Roman" w:ascii="Times New Roman" w:hAnsi="Times New Roman"/>
                <w:b/>
                <w:bCs/>
                <w:sz w:val="24"/>
                <w:szCs w:val="24"/>
                <w:lang w:val="en-ZA" w:eastAsia="en-GB"/>
              </w:rPr>
              <w:t>NFR Category</w:t>
            </w:r>
          </w:p>
        </w:tc>
        <w:tc>
          <w:tcPr>
            <w:tcW w:w="6925" w:type="dxa"/>
            <w:tcBorders/>
            <w:shd w:fill="3465A4" w:val="clear"/>
            <w:vAlign w:val="center"/>
          </w:tcPr>
          <w:p>
            <w:pPr>
              <w:pStyle w:val="Normal"/>
              <w:spacing w:lineRule="auto" w:line="240" w:beforeAutospacing="1" w:after="0"/>
              <w:jc w:val="center"/>
              <w:rPr>
                <w:rFonts w:ascii="Times New Roman" w:hAnsi="Times New Roman" w:eastAsia="Times New Roman" w:cs="Times New Roman"/>
                <w:b/>
                <w:bCs/>
                <w:sz w:val="24"/>
                <w:szCs w:val="24"/>
                <w:lang w:val="en-ZA" w:eastAsia="en-GB"/>
              </w:rPr>
            </w:pPr>
            <w:r>
              <w:rPr>
                <w:rFonts w:eastAsia="Times New Roman" w:cs="Times New Roman" w:ascii="Times New Roman" w:hAnsi="Times New Roman"/>
                <w:b/>
                <w:bCs/>
                <w:sz w:val="24"/>
                <w:szCs w:val="24"/>
                <w:lang w:val="en-ZA" w:eastAsia="en-GB"/>
              </w:rPr>
              <w:t>Implementation Evidence</w:t>
            </w:r>
          </w:p>
        </w:tc>
      </w:tr>
      <w:tr>
        <w:trPr/>
        <w:tc>
          <w:tcPr>
            <w:tcW w:w="1715"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Performance</w:t>
            </w:r>
          </w:p>
        </w:tc>
        <w:tc>
          <w:tcPr>
            <w:tcW w:w="6925"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FastAPI async endpoints, ML Kit local scanning, optimised SQL indexes.</w:t>
            </w:r>
          </w:p>
        </w:tc>
      </w:tr>
      <w:tr>
        <w:trPr/>
        <w:tc>
          <w:tcPr>
            <w:tcW w:w="1715"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Scalability</w:t>
            </w:r>
          </w:p>
        </w:tc>
        <w:tc>
          <w:tcPr>
            <w:tcW w:w="6925"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Azure auto-scaling, REST API separation.</w:t>
            </w:r>
          </w:p>
        </w:tc>
      </w:tr>
      <w:tr>
        <w:trPr/>
        <w:tc>
          <w:tcPr>
            <w:tcW w:w="1715"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Reliability</w:t>
            </w:r>
          </w:p>
        </w:tc>
        <w:tc>
          <w:tcPr>
            <w:tcW w:w="6925"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Offline queue and retry logic, validation checks, 100% unit test pass rate.</w:t>
            </w:r>
          </w:p>
        </w:tc>
      </w:tr>
      <w:tr>
        <w:trPr/>
        <w:tc>
          <w:tcPr>
            <w:tcW w:w="1715"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Maintainability</w:t>
            </w:r>
          </w:p>
        </w:tc>
        <w:tc>
          <w:tcPr>
            <w:tcW w:w="6925"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Modular routing, Git branching, consistent documentation.</w:t>
            </w:r>
          </w:p>
        </w:tc>
      </w:tr>
      <w:tr>
        <w:trPr/>
        <w:tc>
          <w:tcPr>
            <w:tcW w:w="1715"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Security</w:t>
            </w:r>
          </w:p>
        </w:tc>
        <w:tc>
          <w:tcPr>
            <w:tcW w:w="6925"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JWT, Key Vault, HTTPS, .gitignore compliance.</w:t>
            </w:r>
          </w:p>
        </w:tc>
      </w:tr>
      <w:tr>
        <w:trPr/>
        <w:tc>
          <w:tcPr>
            <w:tcW w:w="1715"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Usability</w:t>
            </w:r>
          </w:p>
        </w:tc>
        <w:tc>
          <w:tcPr>
            <w:tcW w:w="6925"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Dark theme, large fonts, error prompts.</w:t>
            </w:r>
          </w:p>
        </w:tc>
      </w:tr>
      <w:tr>
        <w:trPr/>
        <w:tc>
          <w:tcPr>
            <w:tcW w:w="1715"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Interoperability</w:t>
            </w:r>
          </w:p>
        </w:tc>
        <w:tc>
          <w:tcPr>
            <w:tcW w:w="6925"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JSON-based APIs, Azure SQL compatibility.</w:t>
            </w:r>
          </w:p>
        </w:tc>
      </w:tr>
    </w:tbl>
    <w:p>
      <w:pPr>
        <w:pStyle w:val="p1"/>
        <w:spacing w:before="280" w:after="280"/>
        <w:rPr/>
      </w:pPr>
      <w:r>
        <w:rPr/>
        <w:br/>
      </w:r>
    </w:p>
    <w:p>
      <w:pPr>
        <w:pStyle w:val="p1"/>
        <w:spacing w:before="280" w:after="280"/>
        <w:rPr>
          <w:sz w:val="36"/>
          <w:szCs w:val="36"/>
        </w:rPr>
      </w:pPr>
      <w:r>
        <w:rPr>
          <w:sz w:val="36"/>
          <w:szCs w:val="36"/>
        </w:rPr>
      </w:r>
    </w:p>
    <w:p>
      <w:pPr>
        <w:pStyle w:val="p1"/>
        <w:spacing w:before="280" w:after="280"/>
        <w:rPr>
          <w:sz w:val="36"/>
          <w:szCs w:val="36"/>
        </w:rPr>
      </w:pPr>
      <w:r>
        <w:rPr>
          <w:sz w:val="36"/>
          <w:szCs w:val="36"/>
        </w:rPr>
      </w:r>
    </w:p>
    <w:p>
      <w:pPr>
        <w:pStyle w:val="p1"/>
        <w:spacing w:before="280" w:after="280"/>
        <w:rPr>
          <w:sz w:val="36"/>
          <w:szCs w:val="36"/>
        </w:rPr>
      </w:pPr>
      <w:r>
        <w:rPr>
          <w:sz w:val="36"/>
          <w:szCs w:val="36"/>
        </w:rPr>
      </w:r>
    </w:p>
    <w:p>
      <w:pPr>
        <w:pStyle w:val="p1"/>
        <w:spacing w:before="280" w:after="280"/>
        <w:rPr>
          <w:sz w:val="36"/>
          <w:szCs w:val="36"/>
        </w:rPr>
      </w:pPr>
      <w:r>
        <w:rPr>
          <w:sz w:val="36"/>
          <w:szCs w:val="36"/>
        </w:rPr>
      </w:r>
    </w:p>
    <w:p>
      <w:pPr>
        <w:pStyle w:val="p1"/>
        <w:spacing w:before="280" w:after="280"/>
        <w:rPr>
          <w:sz w:val="36"/>
          <w:szCs w:val="36"/>
        </w:rPr>
      </w:pPr>
      <w:r>
        <w:rPr>
          <w:sz w:val="36"/>
          <w:szCs w:val="36"/>
        </w:rPr>
      </w:r>
    </w:p>
    <w:p>
      <w:pPr>
        <w:pStyle w:val="p1"/>
        <w:spacing w:before="280" w:after="280"/>
        <w:rPr>
          <w:sz w:val="36"/>
          <w:szCs w:val="36"/>
        </w:rPr>
      </w:pPr>
      <w:r>
        <w:rPr>
          <w:sz w:val="36"/>
          <w:szCs w:val="36"/>
        </w:rPr>
      </w:r>
    </w:p>
    <w:p>
      <w:pPr>
        <w:pStyle w:val="p1"/>
        <w:spacing w:before="280" w:after="280"/>
        <w:rPr>
          <w:sz w:val="36"/>
          <w:szCs w:val="36"/>
        </w:rPr>
      </w:pPr>
      <w:r>
        <w:rPr>
          <w:sz w:val="36"/>
          <w:szCs w:val="36"/>
        </w:rPr>
      </w:r>
    </w:p>
    <w:p>
      <w:pPr>
        <w:pStyle w:val="p1"/>
        <w:spacing w:before="280" w:after="280"/>
        <w:rPr>
          <w:sz w:val="36"/>
          <w:szCs w:val="36"/>
        </w:rPr>
      </w:pPr>
      <w:r>
        <w:rPr>
          <w:sz w:val="36"/>
          <w:szCs w:val="36"/>
        </w:rPr>
      </w:r>
    </w:p>
    <w:p>
      <w:pPr>
        <w:pStyle w:val="p1"/>
        <w:spacing w:before="280" w:after="280"/>
        <w:rPr>
          <w:sz w:val="36"/>
          <w:szCs w:val="36"/>
        </w:rPr>
      </w:pPr>
      <w:r>
        <w:rPr>
          <w:sz w:val="36"/>
          <w:szCs w:val="36"/>
        </w:rPr>
        <w:t>6</w:t>
      </w:r>
      <w:r>
        <w:rPr>
          <w:sz w:val="36"/>
          <w:szCs w:val="36"/>
        </w:rPr>
        <w:t>. Design and Architectural Patterns</w:t>
      </w:r>
    </w:p>
    <w:p>
      <w:pPr>
        <w:pStyle w:val="Heading3"/>
        <w:rPr/>
      </w:pPr>
      <w:r>
        <w:rPr/>
        <w:t>Overview</w:t>
      </w:r>
    </w:p>
    <w:p>
      <w:pPr>
        <w:pStyle w:val="p3"/>
        <w:spacing w:before="280" w:after="280"/>
        <w:rPr/>
      </w:pPr>
      <w:r>
        <w:rPr/>
        <w:t xml:space="preserve">The design of </w:t>
      </w:r>
      <w:r>
        <w:rPr>
          <w:rStyle w:val="s2"/>
          <w:rFonts w:eastAsia="" w:eastAsiaTheme="majorEastAsia"/>
          <w:b/>
          <w:bCs/>
        </w:rPr>
        <w:t>TWS-Scan</w:t>
      </w:r>
      <w:r>
        <w:rPr/>
        <w:t xml:space="preserve"> adopts a pragmatic blend of </w:t>
      </w:r>
      <w:r>
        <w:rPr>
          <w:rStyle w:val="s2"/>
          <w:rFonts w:eastAsia="" w:eastAsiaTheme="majorEastAsia"/>
          <w:b/>
          <w:bCs/>
        </w:rPr>
        <w:t>Layered Architecture</w:t>
      </w:r>
      <w:r>
        <w:rPr/>
        <w:t xml:space="preserve"> and </w:t>
      </w:r>
      <w:r>
        <w:rPr>
          <w:rStyle w:val="s2"/>
          <w:rFonts w:eastAsia="" w:eastAsiaTheme="majorEastAsia"/>
          <w:b/>
          <w:bCs/>
        </w:rPr>
        <w:t>Domain-Centric Modularisation</w:t>
      </w:r>
      <w:r>
        <w:rPr/>
        <w:t>, allowing for a clear separation of concerns while retaining operational simplicity.</w:t>
      </w:r>
    </w:p>
    <w:p>
      <w:pPr>
        <w:pStyle w:val="p3"/>
        <w:spacing w:before="280" w:after="280"/>
        <w:rPr/>
      </w:pPr>
      <w:r>
        <w:rPr/>
        <w:t xml:space="preserve">The system integrates architectural patterns commonly found in scalable enterprise applications, including </w:t>
      </w:r>
      <w:r>
        <w:rPr>
          <w:rStyle w:val="s2"/>
          <w:rFonts w:eastAsia="" w:eastAsiaTheme="majorEastAsia"/>
          <w:b/>
          <w:bCs/>
        </w:rPr>
        <w:t>Model-View-Controller (MVC)</w:t>
      </w:r>
      <w:r>
        <w:rPr/>
        <w:t xml:space="preserve"> for the mobile frontend, </w:t>
      </w:r>
      <w:r>
        <w:rPr>
          <w:rStyle w:val="s2"/>
          <w:rFonts w:eastAsia="" w:eastAsiaTheme="majorEastAsia"/>
          <w:b/>
          <w:bCs/>
        </w:rPr>
        <w:t>Service Layer Pattern</w:t>
      </w:r>
      <w:r>
        <w:rPr/>
        <w:t xml:space="preserve"> for backend business logic, and </w:t>
      </w:r>
      <w:r>
        <w:rPr>
          <w:rStyle w:val="s2"/>
          <w:rFonts w:eastAsia="" w:eastAsiaTheme="majorEastAsia"/>
          <w:b/>
          <w:bCs/>
        </w:rPr>
        <w:t>Repository Pattern</w:t>
      </w:r>
      <w:r>
        <w:rPr/>
        <w:t xml:space="preserve"> for structured data persistence.</w:t>
      </w:r>
    </w:p>
    <w:p>
      <w:pPr>
        <w:pStyle w:val="p2"/>
        <w:spacing w:before="280" w:after="280"/>
        <w:rPr/>
      </w:pPr>
      <w:r>
        <w:rPr/>
      </w:r>
    </w:p>
    <w:p>
      <w:pPr>
        <w:pStyle w:val="p3"/>
        <w:spacing w:before="280" w:after="280"/>
        <w:rPr/>
      </w:pPr>
      <w:r>
        <w:rPr/>
        <w:t xml:space="preserve">The overall architecture follows a </w:t>
      </w:r>
      <w:r>
        <w:rPr>
          <w:rStyle w:val="s2"/>
          <w:rFonts w:eastAsia="" w:eastAsiaTheme="majorEastAsia"/>
          <w:b/>
          <w:bCs/>
        </w:rPr>
        <w:t>“modular monolith”</w:t>
      </w:r>
      <w:r>
        <w:rPr/>
        <w:t xml:space="preserve"> principle within the FastAPI backend — each business domain (Stock, Picking, Packing, Delivery, and Authentication) operates as an isolated router-service unit with its own models, routes, and data-access layers. This modularisation reflects the system’s bounded contexts, aligning cleanly with business operations in Tele Wholesale Stationers’ warehouse workflow.</w:t>
      </w:r>
    </w:p>
    <w:p>
      <w:pPr>
        <w:pStyle w:val="Normal"/>
        <w:rPr>
          <w:rStyle w:val="s1"/>
        </w:rPr>
      </w:pPr>
      <w:r>
        <w:rPr/>
        <mc:AlternateContent>
          <mc:Choice Requires="wps">
            <w:drawing>
              <wp:inline distT="0" distB="0" distL="0" distR="0">
                <wp:extent cx="5026660" cy="635"/>
                <wp:effectExtent l="0" t="0" r="0" b="0"/>
                <wp:docPr id="6" name="Shape20"/>
                <a:graphic xmlns:a="http://schemas.openxmlformats.org/drawingml/2006/main">
                  <a:graphicData uri="http://schemas.microsoft.com/office/word/2010/wordprocessingShape">
                    <wps:wsp>
                      <wps:cNvSpPr/>
                      <wps:spPr>
                        <a:xfrm>
                          <a:off x="0" y="0"/>
                          <a:ext cx="5026680" cy="720"/>
                        </a:xfrm>
                        <a:prstGeom prst="rect">
                          <a:avLst/>
                        </a:prstGeom>
                        <a:solidFill>
                          <a:srgbClr val="a0a0a0"/>
                        </a:solidFill>
                        <a:ln w="0">
                          <a:noFill/>
                        </a:ln>
                      </wps:spPr>
                      <wps:style>
                        <a:lnRef idx="0"/>
                        <a:fillRef idx="0"/>
                        <a:effectRef idx="0"/>
                        <a:fontRef idx="minor"/>
                      </wps:style>
                      <wps:bodyPr/>
                    </wps:wsp>
                  </a:graphicData>
                </a:graphic>
                <wp14:sizeRelH relativeFrom="page">
                  <wp14:pctWidth>87000</wp14:pctWidth>
                </wp14:sizeRelH>
              </wp:inline>
            </w:drawing>
          </mc:Choice>
          <mc:Fallback>
            <w:pict>
              <v:rect id="shape_0" ID="Shape20" path="m0,0l-2147483645,0l-2147483645,-2147483646l0,-2147483646xe" fillcolor="#a0a0a0" stroked="f" o:allowincell="f" style="position:absolute;margin-left:0pt;margin-top:-0.1pt;width:395.75pt;height:0pt;mso-wrap-style:none;v-text-anchor:middle;mso-position-vertical:top">
                <v:fill o:detectmouseclick="t" type="solid" color2="#5f5f5f"/>
                <v:stroke color="#3465a4" joinstyle="round" endcap="flat"/>
                <w10:wrap type="square"/>
              </v:rect>
            </w:pict>
          </mc:Fallback>
        </mc:AlternateContent>
      </w:r>
    </w:p>
    <w:p>
      <w:pPr>
        <w:pStyle w:val="Heading3"/>
        <w:rPr/>
      </w:pPr>
      <w:r>
        <w:rPr/>
        <w:t xml:space="preserve">6.1 </w:t>
      </w:r>
      <w:r>
        <w:rPr/>
        <w:t>Applied Patterns and Rationale</w:t>
      </w:r>
    </w:p>
    <w:p>
      <w:pPr>
        <w:pStyle w:val="p1"/>
        <w:rPr>
          <w:b/>
          <w:bCs/>
        </w:rPr>
      </w:pPr>
      <w:r>
        <w:rPr>
          <w:b/>
          <w:bCs/>
        </w:rPr>
        <w:t>MVC Pattern (Android Frontend)</w:t>
      </w:r>
    </w:p>
    <w:p>
      <w:pPr>
        <w:pStyle w:val="p3"/>
        <w:spacing w:before="280" w:after="280"/>
        <w:rPr/>
      </w:pPr>
      <w:r>
        <w:rPr/>
        <w:t xml:space="preserve">The Android application is structured around the </w:t>
      </w:r>
      <w:r>
        <w:rPr>
          <w:rStyle w:val="s2"/>
          <w:rFonts w:eastAsia="" w:eastAsiaTheme="majorEastAsia"/>
          <w:b/>
          <w:bCs/>
        </w:rPr>
        <w:t>Model-View-Controller</w:t>
      </w:r>
      <w:r>
        <w:rPr/>
        <w:t xml:space="preserve"> paradigm:</w:t>
      </w:r>
    </w:p>
    <w:p>
      <w:pPr>
        <w:pStyle w:val="p1"/>
        <w:numPr>
          <w:ilvl w:val="0"/>
          <w:numId w:val="25"/>
        </w:numPr>
        <w:spacing w:before="280" w:after="0"/>
        <w:rPr/>
      </w:pPr>
      <w:r>
        <w:rPr>
          <w:rStyle w:val="s1"/>
          <w:b/>
          <w:bCs/>
        </w:rPr>
        <w:t>Model:</w:t>
      </w:r>
      <w:r>
        <w:rPr/>
        <w:t xml:space="preserve"> Data classes represent domain entities such as </w:t>
      </w:r>
      <w:r>
        <w:rPr>
          <w:rStyle w:val="s2"/>
          <w:rFonts w:eastAsia="" w:eastAsiaTheme="majorEastAsia"/>
        </w:rPr>
        <w:t>Product</w:t>
      </w:r>
      <w:r>
        <w:rPr/>
        <w:t xml:space="preserve">, </w:t>
      </w:r>
      <w:r>
        <w:rPr>
          <w:rStyle w:val="s2"/>
          <w:rFonts w:eastAsia="" w:eastAsiaTheme="majorEastAsia"/>
        </w:rPr>
        <w:t>StockItem</w:t>
      </w:r>
      <w:r>
        <w:rPr/>
        <w:t xml:space="preserve">, and </w:t>
      </w:r>
      <w:r>
        <w:rPr>
          <w:rStyle w:val="s2"/>
          <w:rFonts w:eastAsia="" w:eastAsiaTheme="majorEastAsia"/>
        </w:rPr>
        <w:t>DeliveryPackage</w:t>
      </w:r>
      <w:r>
        <w:rPr/>
        <w:t>.</w:t>
      </w:r>
    </w:p>
    <w:p>
      <w:pPr>
        <w:pStyle w:val="p1"/>
        <w:numPr>
          <w:ilvl w:val="0"/>
          <w:numId w:val="25"/>
        </w:numPr>
        <w:spacing w:before="0" w:after="0"/>
        <w:rPr/>
      </w:pPr>
      <w:r>
        <w:rPr>
          <w:rStyle w:val="s1"/>
          <w:b/>
          <w:bCs/>
        </w:rPr>
        <w:t>View:</w:t>
      </w:r>
      <w:r>
        <w:rPr/>
        <w:t xml:space="preserve"> XML-based layouts and Jetpack Compose views present live operational data to warehouse staff.</w:t>
      </w:r>
    </w:p>
    <w:p>
      <w:pPr>
        <w:pStyle w:val="p1"/>
        <w:numPr>
          <w:ilvl w:val="0"/>
          <w:numId w:val="25"/>
        </w:numPr>
        <w:spacing w:before="0" w:after="280"/>
        <w:rPr/>
      </w:pPr>
      <w:r>
        <w:rPr>
          <w:rStyle w:val="s1"/>
          <w:b/>
          <w:bCs/>
        </w:rPr>
        <w:t>Controller:</w:t>
      </w:r>
      <w:r>
        <w:rPr/>
        <w:t xml:space="preserve"> ViewModels and Activities act as intermediaries, binding UI updates to API responses through LiveData or coroutines.</w:t>
      </w:r>
    </w:p>
    <w:p>
      <w:pPr>
        <w:pStyle w:val="p2"/>
        <w:spacing w:before="280" w:after="280"/>
        <w:rPr/>
      </w:pPr>
      <w:r>
        <w:rPr/>
      </w:r>
    </w:p>
    <w:p>
      <w:pPr>
        <w:pStyle w:val="p3"/>
        <w:spacing w:before="280" w:after="280"/>
        <w:rPr/>
      </w:pPr>
      <w:r>
        <w:rPr/>
        <w:t>This separation promotes maintainability and allows UI logic to evolve independently of backend service changes.</w:t>
        <w:br/>
        <w:br/>
        <w:br/>
      </w:r>
    </w:p>
    <w:p>
      <w:pPr>
        <w:pStyle w:val="p1"/>
        <w:rPr/>
      </w:pPr>
      <w:r>
        <w:rPr/>
        <w:br/>
      </w:r>
      <w:r>
        <w:rPr>
          <w:b/>
          <w:bCs/>
        </w:rPr>
        <w:t>Service Layer Pattern (FastAPI Backend)</w:t>
      </w:r>
    </w:p>
    <w:p>
      <w:pPr>
        <w:pStyle w:val="p3"/>
        <w:spacing w:before="280" w:after="280"/>
        <w:rPr/>
      </w:pPr>
      <w:r>
        <w:rPr/>
        <w:t xml:space="preserve">Each router in the FastAPI backend (e.g., </w:t>
      </w:r>
      <w:r>
        <w:rPr>
          <w:rStyle w:val="s3"/>
          <w:rFonts w:eastAsia="" w:eastAsiaTheme="majorEastAsia"/>
        </w:rPr>
        <w:t>api_stock.py</w:t>
      </w:r>
      <w:r>
        <w:rPr/>
        <w:t xml:space="preserve">, </w:t>
      </w:r>
      <w:r>
        <w:rPr>
          <w:rStyle w:val="s3"/>
          <w:rFonts w:eastAsia="" w:eastAsiaTheme="majorEastAsia"/>
        </w:rPr>
        <w:t>api_delivery.py</w:t>
      </w:r>
      <w:r>
        <w:rPr/>
        <w:t>) interacts with a dedicated service layer, responsible for business logic and validation.</w:t>
      </w:r>
    </w:p>
    <w:p>
      <w:pPr>
        <w:pStyle w:val="p3"/>
        <w:spacing w:before="280" w:after="280"/>
        <w:rPr/>
      </w:pPr>
      <w:r>
        <w:rPr/>
        <w:t>This pattern ensures that:</w:t>
      </w:r>
    </w:p>
    <w:p>
      <w:pPr>
        <w:pStyle w:val="p1"/>
        <w:numPr>
          <w:ilvl w:val="0"/>
          <w:numId w:val="26"/>
        </w:numPr>
        <w:spacing w:before="280" w:after="0"/>
        <w:rPr/>
      </w:pPr>
      <w:r>
        <w:rPr/>
        <w:t>Core logic (such as stock scanning, item picking, or delivery status updates) is centralised and reusable.</w:t>
      </w:r>
    </w:p>
    <w:p>
      <w:pPr>
        <w:pStyle w:val="p1"/>
        <w:numPr>
          <w:ilvl w:val="0"/>
          <w:numId w:val="26"/>
        </w:numPr>
        <w:spacing w:before="0" w:after="0"/>
        <w:rPr/>
      </w:pPr>
      <w:r>
        <w:rPr/>
        <w:t>API routes remain lightweight, focusing solely on request/response handling.</w:t>
      </w:r>
    </w:p>
    <w:p>
      <w:pPr>
        <w:pStyle w:val="p1"/>
        <w:numPr>
          <w:ilvl w:val="0"/>
          <w:numId w:val="26"/>
        </w:numPr>
        <w:spacing w:before="0" w:after="280"/>
        <w:rPr/>
      </w:pPr>
      <w:r>
        <w:rPr/>
        <w:t>Unit testing is simplified through clear service boundaries.</w:t>
      </w:r>
    </w:p>
    <w:p>
      <w:pPr>
        <w:pStyle w:val="p2"/>
        <w:spacing w:before="280" w:after="280"/>
        <w:rPr/>
      </w:pPr>
      <w:r>
        <w:rPr/>
      </w:r>
    </w:p>
    <w:p>
      <w:pPr>
        <w:pStyle w:val="p3"/>
        <w:spacing w:before="280" w:after="280"/>
        <w:rPr/>
      </w:pPr>
      <w:r>
        <w:rPr/>
        <w:t xml:space="preserve">For example, the </w:t>
      </w:r>
      <w:r>
        <w:rPr>
          <w:rStyle w:val="s2"/>
          <w:rFonts w:eastAsia="" w:eastAsiaTheme="majorEastAsia"/>
          <w:b/>
          <w:bCs/>
        </w:rPr>
        <w:t>Delivery Service</w:t>
      </w:r>
      <w:r>
        <w:rPr/>
        <w:t xml:space="preserve"> encapsulates all logic related to delivery state transitions — ensuring consistent updates across both the mobile app and backend database.</w:t>
      </w:r>
    </w:p>
    <w:p>
      <w:pPr>
        <w:pStyle w:val="Heading3"/>
        <w:rPr>
          <w:b/>
          <w:bCs/>
        </w:rPr>
      </w:pPr>
      <w:r>
        <w:rPr>
          <w:b/>
          <w:bCs/>
        </w:rPr>
        <w:br/>
      </w:r>
      <w:r>
        <w:rPr>
          <w:b/>
          <w:bCs/>
          <w:sz w:val="24"/>
          <w:szCs w:val="24"/>
        </w:rPr>
        <w:t>6</w:t>
      </w:r>
      <w:r>
        <w:rPr>
          <w:b/>
          <w:bCs/>
          <w:sz w:val="24"/>
          <w:szCs w:val="24"/>
        </w:rPr>
        <w:t>.</w:t>
      </w:r>
      <w:r>
        <w:rPr>
          <w:b/>
          <w:bCs/>
          <w:sz w:val="24"/>
          <w:szCs w:val="24"/>
        </w:rPr>
        <w:t>2</w:t>
      </w:r>
      <w:r>
        <w:rPr>
          <w:b/>
          <w:bCs/>
          <w:sz w:val="24"/>
          <w:szCs w:val="24"/>
        </w:rPr>
        <w:t>. Repository Pattern (Database Layer)</w:t>
      </w:r>
    </w:p>
    <w:p>
      <w:pPr>
        <w:pStyle w:val="p3"/>
        <w:spacing w:before="280" w:after="280"/>
        <w:rPr/>
      </w:pPr>
      <w:r>
        <w:rPr/>
        <w:t xml:space="preserve">Data persistence in </w:t>
      </w:r>
      <w:r>
        <w:rPr>
          <w:rStyle w:val="s2"/>
          <w:rFonts w:eastAsia="" w:eastAsiaTheme="majorEastAsia"/>
          <w:b/>
          <w:bCs/>
        </w:rPr>
        <w:t>Azure SQL</w:t>
      </w:r>
      <w:r>
        <w:rPr/>
        <w:t xml:space="preserve"> is managed through repository-style access classes that abstract database operations.</w:t>
      </w:r>
    </w:p>
    <w:p>
      <w:pPr>
        <w:pStyle w:val="p3"/>
        <w:spacing w:before="280" w:after="280"/>
        <w:rPr/>
      </w:pPr>
      <w:r>
        <w:rPr/>
        <w:t>The benefits include:</w:t>
      </w:r>
    </w:p>
    <w:p>
      <w:pPr>
        <w:pStyle w:val="p1"/>
        <w:numPr>
          <w:ilvl w:val="0"/>
          <w:numId w:val="27"/>
        </w:numPr>
        <w:spacing w:before="280" w:after="0"/>
        <w:rPr/>
      </w:pPr>
      <w:r>
        <w:rPr/>
        <w:t>Decoupled database access from service logic.</w:t>
      </w:r>
    </w:p>
    <w:p>
      <w:pPr>
        <w:pStyle w:val="p1"/>
        <w:numPr>
          <w:ilvl w:val="0"/>
          <w:numId w:val="27"/>
        </w:numPr>
        <w:spacing w:before="0" w:after="0"/>
        <w:rPr/>
      </w:pPr>
      <w:r>
        <w:rPr/>
        <w:t>Reusable query and transaction management patterns.</w:t>
      </w:r>
    </w:p>
    <w:p>
      <w:pPr>
        <w:pStyle w:val="p1"/>
        <w:numPr>
          <w:ilvl w:val="0"/>
          <w:numId w:val="27"/>
        </w:numPr>
        <w:spacing w:before="0" w:after="280"/>
        <w:rPr/>
      </w:pPr>
      <w:r>
        <w:rPr/>
        <w:t>Easier migration between SQL-based systems if required.</w:t>
      </w:r>
    </w:p>
    <w:p>
      <w:pPr>
        <w:pStyle w:val="p2"/>
        <w:spacing w:before="280" w:after="280"/>
        <w:rPr/>
      </w:pPr>
      <w:r>
        <w:rPr/>
      </w:r>
    </w:p>
    <w:p>
      <w:pPr>
        <w:pStyle w:val="p3"/>
        <w:spacing w:before="280" w:after="280"/>
        <w:rPr/>
      </w:pPr>
      <w:r>
        <w:rPr/>
        <w:t>This abstraction enables developers to write business logic without being tightly coupled to SQLAlchemy or raw SQL implementations.</w:t>
      </w:r>
    </w:p>
    <w:p>
      <w:pPr>
        <w:pStyle w:val="Heading2"/>
        <w:rPr/>
      </w:pPr>
      <w:r>
        <w:rPr/>
        <w:br/>
        <w:t>6</w:t>
      </w:r>
      <w:r>
        <w:rPr/>
        <w:t>.</w:t>
      </w:r>
      <w:r>
        <w:rPr/>
        <w:t>3</w:t>
      </w:r>
      <w:r>
        <w:rPr/>
        <w:t>. Command Pattern (Offline Synchronisation)</w:t>
      </w:r>
    </w:p>
    <w:p>
      <w:pPr>
        <w:pStyle w:val="p3"/>
        <w:spacing w:before="280" w:after="280"/>
        <w:rPr/>
      </w:pPr>
      <w:r>
        <w:rPr/>
        <w:t xml:space="preserve">Offline data capture is implemented using an </w:t>
      </w:r>
      <w:r>
        <w:rPr>
          <w:rStyle w:val="s2"/>
          <w:rFonts w:eastAsia="" w:eastAsiaTheme="majorEastAsia"/>
          <w:b/>
          <w:bCs/>
        </w:rPr>
        <w:t>Idempotent Command Pattern</w:t>
      </w:r>
      <w:r>
        <w:rPr/>
        <w:t>, where each queued command in the mobile app contains:</w:t>
      </w:r>
    </w:p>
    <w:p>
      <w:pPr>
        <w:pStyle w:val="p1"/>
        <w:numPr>
          <w:ilvl w:val="0"/>
          <w:numId w:val="28"/>
        </w:numPr>
        <w:spacing w:before="280" w:after="0"/>
        <w:rPr/>
      </w:pPr>
      <w:r>
        <w:rPr/>
        <w:t>A unique operation key (UUID).</w:t>
      </w:r>
    </w:p>
    <w:p>
      <w:pPr>
        <w:pStyle w:val="p1"/>
        <w:numPr>
          <w:ilvl w:val="0"/>
          <w:numId w:val="28"/>
        </w:numPr>
        <w:spacing w:before="0" w:after="0"/>
        <w:rPr/>
      </w:pPr>
      <w:r>
        <w:rPr/>
        <w:t>The target API endpoint.</w:t>
      </w:r>
    </w:p>
    <w:p>
      <w:pPr>
        <w:pStyle w:val="p1"/>
        <w:numPr>
          <w:ilvl w:val="0"/>
          <w:numId w:val="28"/>
        </w:numPr>
        <w:spacing w:before="0" w:after="280"/>
        <w:rPr/>
      </w:pPr>
      <w:r>
        <w:rPr/>
        <w:t>The payload to be replayed when connectivity returns.</w:t>
      </w:r>
    </w:p>
    <w:p>
      <w:pPr>
        <w:pStyle w:val="p2"/>
        <w:spacing w:before="280" w:after="280"/>
        <w:rPr/>
      </w:pPr>
      <w:r>
        <w:rPr/>
      </w:r>
    </w:p>
    <w:p>
      <w:pPr>
        <w:pStyle w:val="p3"/>
        <w:spacing w:before="280" w:after="280"/>
        <w:rPr/>
      </w:pPr>
      <w:r>
        <w:rPr/>
        <w:t>This ensures that even if the same action is replayed multiple times, the backend executes it only once — a critical requirement for warehouse operations where network instability is common.</w:t>
      </w:r>
    </w:p>
    <w:p>
      <w:pPr>
        <w:pStyle w:val="Heading3"/>
        <w:rPr/>
      </w:pPr>
      <w:r>
        <w:rPr>
          <w:i w:val="false"/>
          <w:iCs w:val="false"/>
        </w:rPr>
        <w:br/>
      </w:r>
      <w:r>
        <w:rPr>
          <w:i w:val="false"/>
          <w:iCs w:val="false"/>
          <w:sz w:val="24"/>
          <w:szCs w:val="24"/>
        </w:rPr>
        <w:t>6</w:t>
      </w:r>
      <w:r>
        <w:rPr>
          <w:i w:val="false"/>
          <w:iCs w:val="false"/>
          <w:sz w:val="24"/>
          <w:szCs w:val="24"/>
        </w:rPr>
        <w:t>.</w:t>
      </w:r>
      <w:r>
        <w:rPr>
          <w:i w:val="false"/>
          <w:iCs w:val="false"/>
          <w:sz w:val="24"/>
          <w:szCs w:val="24"/>
        </w:rPr>
        <w:t>4</w:t>
      </w:r>
      <w:r>
        <w:rPr>
          <w:i w:val="false"/>
          <w:iCs w:val="false"/>
          <w:sz w:val="24"/>
          <w:szCs w:val="24"/>
        </w:rPr>
        <w:t>. Adapter Pattern (External Services Integration)</w:t>
      </w:r>
    </w:p>
    <w:p>
      <w:pPr>
        <w:pStyle w:val="p3"/>
        <w:spacing w:before="280" w:after="280"/>
        <w:rPr/>
      </w:pPr>
      <w:r>
        <w:rPr/>
        <w:t xml:space="preserve">The integration between TWS-Scan and </w:t>
      </w:r>
      <w:r>
        <w:rPr>
          <w:rStyle w:val="s2"/>
          <w:rFonts w:eastAsia="" w:eastAsiaTheme="majorEastAsia"/>
          <w:b/>
          <w:bCs/>
        </w:rPr>
        <w:t>Azure Blob Storage</w:t>
      </w:r>
      <w:r>
        <w:rPr/>
        <w:t xml:space="preserve"> is implemented using the Adapter Pattern.</w:t>
      </w:r>
    </w:p>
    <w:p>
      <w:pPr>
        <w:pStyle w:val="p3"/>
        <w:spacing w:before="280" w:after="280"/>
        <w:rPr/>
      </w:pPr>
      <w:r>
        <w:rPr/>
        <w:t>Rather than hardcoding SDK calls within each module, a dedicated adapter (</w:t>
      </w:r>
      <w:r>
        <w:rPr>
          <w:rStyle w:val="s3"/>
          <w:rFonts w:eastAsia="" w:eastAsiaTheme="majorEastAsia"/>
        </w:rPr>
        <w:t>media_service.py</w:t>
      </w:r>
      <w:r>
        <w:rPr/>
        <w:t>) handles:</w:t>
      </w:r>
    </w:p>
    <w:p>
      <w:pPr>
        <w:pStyle w:val="p1"/>
        <w:numPr>
          <w:ilvl w:val="0"/>
          <w:numId w:val="29"/>
        </w:numPr>
        <w:spacing w:before="280" w:after="0"/>
        <w:rPr/>
      </w:pPr>
      <w:r>
        <w:rPr/>
        <w:t>SAS token requests from Key Vault.</w:t>
      </w:r>
    </w:p>
    <w:p>
      <w:pPr>
        <w:pStyle w:val="p1"/>
        <w:numPr>
          <w:ilvl w:val="0"/>
          <w:numId w:val="29"/>
        </w:numPr>
        <w:spacing w:before="0" w:after="0"/>
        <w:rPr/>
      </w:pPr>
      <w:r>
        <w:rPr/>
        <w:t>Secure upload confirmation.</w:t>
      </w:r>
    </w:p>
    <w:p>
      <w:pPr>
        <w:pStyle w:val="p1"/>
        <w:numPr>
          <w:ilvl w:val="0"/>
          <w:numId w:val="29"/>
        </w:numPr>
        <w:spacing w:before="0" w:after="280"/>
        <w:rPr/>
      </w:pPr>
      <w:r>
        <w:rPr/>
        <w:t>Error handling and token expiry management.</w:t>
      </w:r>
    </w:p>
    <w:p>
      <w:pPr>
        <w:pStyle w:val="p2"/>
        <w:spacing w:before="280" w:after="280"/>
        <w:rPr/>
      </w:pPr>
      <w:r>
        <w:rPr/>
      </w:r>
    </w:p>
    <w:p>
      <w:pPr>
        <w:pStyle w:val="p3"/>
        <w:spacing w:before="280" w:after="280"/>
        <w:rPr/>
      </w:pPr>
      <w:r>
        <w:rPr/>
        <w:t>This promotes flexibility and ensures that the storage layer can be replaced or expanded in the future (e.g., Amazon S3, Google Cloud Storage) with minimal refactoring.</w:t>
      </w:r>
    </w:p>
    <w:p>
      <w:pPr>
        <w:pStyle w:val="Heading3"/>
        <w:rPr/>
      </w:pPr>
      <w:r>
        <w:rPr/>
        <w:br/>
        <w:br/>
      </w:r>
      <w:r>
        <w:rPr>
          <w:sz w:val="24"/>
          <w:szCs w:val="24"/>
        </w:rPr>
        <w:t>6</w:t>
      </w:r>
      <w:r>
        <w:rPr>
          <w:sz w:val="24"/>
          <w:szCs w:val="24"/>
        </w:rPr>
        <w:t>.</w:t>
      </w:r>
      <w:r>
        <w:rPr>
          <w:sz w:val="24"/>
          <w:szCs w:val="24"/>
        </w:rPr>
        <w:t>5</w:t>
      </w:r>
      <w:r>
        <w:rPr>
          <w:sz w:val="24"/>
          <w:szCs w:val="24"/>
        </w:rPr>
        <w:t>. Dependency Injection</w:t>
      </w:r>
    </w:p>
    <w:p>
      <w:pPr>
        <w:pStyle w:val="p3"/>
        <w:spacing w:before="280" w:after="280"/>
        <w:rPr/>
      </w:pPr>
      <w:r>
        <w:rPr/>
        <w:t xml:space="preserve">Both the Android and FastAPI components leverage lightweight </w:t>
      </w:r>
      <w:r>
        <w:rPr>
          <w:rStyle w:val="s2"/>
          <w:rFonts w:eastAsia="" w:eastAsiaTheme="majorEastAsia"/>
          <w:b/>
          <w:bCs/>
        </w:rPr>
        <w:t>Dependency Injection (DI)</w:t>
      </w:r>
      <w:r>
        <w:rPr/>
        <w:t xml:space="preserve"> principles:</w:t>
      </w:r>
    </w:p>
    <w:p>
      <w:pPr>
        <w:pStyle w:val="p1"/>
        <w:numPr>
          <w:ilvl w:val="0"/>
          <w:numId w:val="30"/>
        </w:numPr>
        <w:spacing w:before="280" w:after="0"/>
        <w:rPr/>
      </w:pPr>
      <w:r>
        <w:rPr/>
        <w:t>In Android, Retrofit clients and repositories are injected using Dagger/Hilt-style architecture.</w:t>
      </w:r>
    </w:p>
    <w:p>
      <w:pPr>
        <w:pStyle w:val="p1"/>
        <w:numPr>
          <w:ilvl w:val="0"/>
          <w:numId w:val="30"/>
        </w:numPr>
        <w:spacing w:before="0" w:after="280"/>
        <w:rPr/>
      </w:pPr>
      <w:r>
        <w:rPr/>
        <w:t xml:space="preserve">In FastAPI, shared dependencies (e.g., database session, auth validation) are injected through the </w:t>
      </w:r>
      <w:r>
        <w:rPr>
          <w:rStyle w:val="s1"/>
        </w:rPr>
        <w:t>Depends()</w:t>
      </w:r>
      <w:r>
        <w:rPr/>
        <w:t xml:space="preserve"> mechanism.</w:t>
      </w:r>
    </w:p>
    <w:p>
      <w:pPr>
        <w:pStyle w:val="p2"/>
        <w:spacing w:before="280" w:after="280"/>
        <w:rPr/>
      </w:pPr>
      <w:r>
        <w:rPr/>
      </w:r>
    </w:p>
    <w:p>
      <w:pPr>
        <w:pStyle w:val="p3"/>
        <w:spacing w:before="280" w:after="280"/>
        <w:rPr/>
      </w:pPr>
      <w:r>
        <w:rPr/>
        <w:t>This approach enhances testability and ensures each component operates in isolation, simplifying debugging and code maintenance.</w:t>
      </w:r>
    </w:p>
    <w:p>
      <w:pPr>
        <w:pStyle w:val="Heading3"/>
        <w:rPr/>
      </w:pPr>
      <w:r>
        <w:rPr/>
      </w:r>
    </w:p>
    <w:p>
      <w:pPr>
        <w:pStyle w:val="Heading3"/>
        <w:rPr/>
      </w:pPr>
      <w:r>
        <w:rPr/>
        <w:br/>
      </w:r>
      <w:r>
        <w:rPr>
          <w:sz w:val="24"/>
          <w:szCs w:val="24"/>
        </w:rPr>
        <w:t>6</w:t>
      </w:r>
      <w:r>
        <w:rPr>
          <w:sz w:val="24"/>
          <w:szCs w:val="24"/>
        </w:rPr>
        <w:t>.</w:t>
      </w:r>
      <w:r>
        <w:rPr>
          <w:sz w:val="24"/>
          <w:szCs w:val="24"/>
        </w:rPr>
        <w:t>6</w:t>
      </w:r>
      <w:r>
        <w:rPr>
          <w:sz w:val="24"/>
          <w:szCs w:val="24"/>
        </w:rPr>
        <w:t>. Architectural Layer Interactions</w:t>
      </w:r>
    </w:p>
    <w:p>
      <w:pPr>
        <w:pStyle w:val="p3"/>
        <w:spacing w:before="280" w:after="280"/>
        <w:rPr/>
      </w:pPr>
      <w:r>
        <w:rPr/>
        <w:t>The design layers are defined as follows:</w:t>
      </w:r>
    </w:p>
    <w:tbl>
      <w:tblPr>
        <w:tblW w:w="8640" w:type="dxa"/>
        <w:jc w:val="left"/>
        <w:tblInd w:w="15" w:type="dxa"/>
        <w:tblLayout w:type="fixed"/>
        <w:tblCellMar>
          <w:top w:w="15" w:type="dxa"/>
          <w:left w:w="15" w:type="dxa"/>
          <w:bottom w:w="15" w:type="dxa"/>
          <w:right w:w="15" w:type="dxa"/>
        </w:tblCellMar>
        <w:tblLook w:val="04a0" w:noVBand="1" w:noHBand="0" w:lastColumn="0" w:firstColumn="1" w:lastRow="0" w:firstRow="1"/>
      </w:tblPr>
      <w:tblGrid>
        <w:gridCol w:w="1829"/>
        <w:gridCol w:w="3501"/>
        <w:gridCol w:w="3310"/>
      </w:tblGrid>
      <w:tr>
        <w:trPr>
          <w:tblHeader w:val="true"/>
        </w:trPr>
        <w:tc>
          <w:tcPr>
            <w:tcW w:w="1829" w:type="dxa"/>
            <w:tcBorders/>
            <w:shd w:fill="3465A4" w:val="clear"/>
            <w:vAlign w:val="center"/>
          </w:tcPr>
          <w:p>
            <w:pPr>
              <w:pStyle w:val="Normal"/>
              <w:spacing w:lineRule="auto" w:line="240" w:beforeAutospacing="1" w:after="0"/>
              <w:rPr>
                <w:rFonts w:ascii="Times New Roman" w:hAnsi="Times New Roman" w:eastAsia="Times New Roman" w:cs="Times New Roman"/>
                <w:b/>
                <w:bCs/>
                <w:sz w:val="24"/>
                <w:szCs w:val="24"/>
                <w:lang w:val="en-ZA" w:eastAsia="en-GB"/>
              </w:rPr>
            </w:pPr>
            <w:r>
              <w:rPr>
                <w:rFonts w:eastAsia="Times New Roman" w:cs="Times New Roman" w:ascii="Times New Roman" w:hAnsi="Times New Roman"/>
                <w:b/>
                <w:bCs/>
                <w:sz w:val="24"/>
                <w:szCs w:val="24"/>
                <w:lang w:val="en-ZA" w:eastAsia="en-GB"/>
              </w:rPr>
              <w:t>Layer</w:t>
            </w:r>
          </w:p>
        </w:tc>
        <w:tc>
          <w:tcPr>
            <w:tcW w:w="3501" w:type="dxa"/>
            <w:tcBorders/>
            <w:shd w:fill="3465A4" w:val="clear"/>
            <w:vAlign w:val="center"/>
          </w:tcPr>
          <w:p>
            <w:pPr>
              <w:pStyle w:val="Normal"/>
              <w:spacing w:lineRule="auto" w:line="240" w:beforeAutospacing="1" w:after="0"/>
              <w:jc w:val="center"/>
              <w:rPr>
                <w:rFonts w:ascii="Times New Roman" w:hAnsi="Times New Roman" w:eastAsia="Times New Roman" w:cs="Times New Roman"/>
                <w:b/>
                <w:bCs/>
                <w:sz w:val="24"/>
                <w:szCs w:val="24"/>
                <w:lang w:val="en-ZA" w:eastAsia="en-GB"/>
              </w:rPr>
            </w:pPr>
            <w:r>
              <w:rPr>
                <w:rFonts w:eastAsia="Times New Roman" w:cs="Times New Roman" w:ascii="Times New Roman" w:hAnsi="Times New Roman"/>
                <w:b/>
                <w:bCs/>
                <w:sz w:val="24"/>
                <w:szCs w:val="24"/>
                <w:lang w:val="en-ZA" w:eastAsia="en-GB"/>
              </w:rPr>
              <w:t>Description</w:t>
            </w:r>
          </w:p>
        </w:tc>
        <w:tc>
          <w:tcPr>
            <w:tcW w:w="3310" w:type="dxa"/>
            <w:tcBorders/>
            <w:shd w:fill="3465A4" w:val="clear"/>
            <w:vAlign w:val="center"/>
          </w:tcPr>
          <w:p>
            <w:pPr>
              <w:pStyle w:val="Normal"/>
              <w:spacing w:lineRule="auto" w:line="240" w:beforeAutospacing="1" w:after="0"/>
              <w:jc w:val="center"/>
              <w:rPr>
                <w:rFonts w:ascii="Times New Roman" w:hAnsi="Times New Roman" w:eastAsia="Times New Roman" w:cs="Times New Roman"/>
                <w:b/>
                <w:bCs/>
                <w:sz w:val="24"/>
                <w:szCs w:val="24"/>
                <w:lang w:val="en-ZA" w:eastAsia="en-GB"/>
              </w:rPr>
            </w:pPr>
            <w:r>
              <w:rPr>
                <w:rFonts w:eastAsia="Times New Roman" w:cs="Times New Roman" w:ascii="Times New Roman" w:hAnsi="Times New Roman"/>
                <w:b/>
                <w:bCs/>
                <w:sz w:val="24"/>
                <w:szCs w:val="24"/>
                <w:lang w:val="en-ZA" w:eastAsia="en-GB"/>
              </w:rPr>
              <w:t>Technologies / Tools</w:t>
            </w:r>
          </w:p>
        </w:tc>
      </w:tr>
      <w:tr>
        <w:trPr/>
        <w:tc>
          <w:tcPr>
            <w:tcW w:w="1829"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Presentation Layer</w:t>
            </w:r>
          </w:p>
        </w:tc>
        <w:tc>
          <w:tcPr>
            <w:tcW w:w="3501"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Android UI screens and ViewModels (MVC Controller)</w:t>
            </w:r>
          </w:p>
        </w:tc>
        <w:tc>
          <w:tcPr>
            <w:tcW w:w="3310"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Kotlin, Jetpack, LiveData</w:t>
            </w:r>
          </w:p>
        </w:tc>
      </w:tr>
      <w:tr>
        <w:trPr/>
        <w:tc>
          <w:tcPr>
            <w:tcW w:w="1829"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Service Layer</w:t>
            </w:r>
          </w:p>
        </w:tc>
        <w:tc>
          <w:tcPr>
            <w:tcW w:w="3501"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Backend business logic (Stock, Picking, Packing, Delivery modules)</w:t>
            </w:r>
          </w:p>
        </w:tc>
        <w:tc>
          <w:tcPr>
            <w:tcW w:w="3310"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FastAPI, Python</w:t>
            </w:r>
          </w:p>
        </w:tc>
      </w:tr>
      <w:tr>
        <w:trPr/>
        <w:tc>
          <w:tcPr>
            <w:tcW w:w="1829"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Data Access Layer</w:t>
            </w:r>
          </w:p>
        </w:tc>
        <w:tc>
          <w:tcPr>
            <w:tcW w:w="3501"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Repository and stored procedure access for persistent data</w:t>
            </w:r>
          </w:p>
        </w:tc>
        <w:tc>
          <w:tcPr>
            <w:tcW w:w="3310"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Azure SQL, SQLAlchemy/asyncpg</w:t>
            </w:r>
          </w:p>
        </w:tc>
      </w:tr>
      <w:tr>
        <w:trPr/>
        <w:tc>
          <w:tcPr>
            <w:tcW w:w="1829"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Integration Layer</w:t>
            </w:r>
          </w:p>
        </w:tc>
        <w:tc>
          <w:tcPr>
            <w:tcW w:w="3501"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Connects external services and cloud storage</w:t>
            </w:r>
          </w:p>
        </w:tc>
        <w:tc>
          <w:tcPr>
            <w:tcW w:w="3310"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Azure Key Vault, Blob Storage, SAS Tokens</w:t>
            </w:r>
          </w:p>
        </w:tc>
      </w:tr>
      <w:tr>
        <w:trPr/>
        <w:tc>
          <w:tcPr>
            <w:tcW w:w="1829"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Infrastructure Layer</w:t>
            </w:r>
          </w:p>
        </w:tc>
        <w:tc>
          <w:tcPr>
            <w:tcW w:w="3501"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Core cloud deployment and runtime environment</w:t>
            </w:r>
          </w:p>
        </w:tc>
        <w:tc>
          <w:tcPr>
            <w:tcW w:w="3310"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Azure App Service, Docker, Application Insights</w:t>
            </w:r>
          </w:p>
        </w:tc>
      </w:tr>
    </w:tbl>
    <w:p>
      <w:pPr>
        <w:pStyle w:val="Heading3"/>
        <w:rPr/>
      </w:pPr>
      <w:r>
        <w:rPr/>
        <w:br/>
        <w:br/>
      </w:r>
      <w:r>
        <w:rPr>
          <w:sz w:val="24"/>
          <w:szCs w:val="24"/>
        </w:rPr>
        <w:t>6</w:t>
      </w:r>
      <w:r>
        <w:rPr>
          <w:sz w:val="24"/>
          <w:szCs w:val="24"/>
        </w:rPr>
        <w:t>.</w:t>
      </w:r>
      <w:r>
        <w:rPr>
          <w:sz w:val="24"/>
          <w:szCs w:val="24"/>
        </w:rPr>
        <w:t>7</w:t>
      </w:r>
      <w:r>
        <w:rPr>
          <w:sz w:val="24"/>
          <w:szCs w:val="24"/>
        </w:rPr>
        <w:t>. Design Justifications</w:t>
      </w:r>
    </w:p>
    <w:p>
      <w:pPr>
        <w:pStyle w:val="p1"/>
        <w:numPr>
          <w:ilvl w:val="0"/>
          <w:numId w:val="31"/>
        </w:numPr>
        <w:spacing w:before="280" w:after="0"/>
        <w:rPr/>
      </w:pPr>
      <w:r>
        <w:rPr/>
        <w:t xml:space="preserve">The </w:t>
      </w:r>
      <w:r>
        <w:rPr>
          <w:rStyle w:val="s1"/>
          <w:b/>
          <w:bCs/>
        </w:rPr>
        <w:t>layered structure</w:t>
      </w:r>
      <w:r>
        <w:rPr/>
        <w:t xml:space="preserve"> promotes clarity, traceability, and easy maintenance.</w:t>
      </w:r>
    </w:p>
    <w:p>
      <w:pPr>
        <w:pStyle w:val="p1"/>
        <w:numPr>
          <w:ilvl w:val="0"/>
          <w:numId w:val="31"/>
        </w:numPr>
        <w:spacing w:before="0" w:after="0"/>
        <w:rPr/>
      </w:pPr>
      <w:r>
        <w:rPr>
          <w:rStyle w:val="s1"/>
          <w:b/>
          <w:bCs/>
        </w:rPr>
        <w:t>Service and repository separation</w:t>
      </w:r>
      <w:r>
        <w:rPr/>
        <w:t xml:space="preserve"> makes the backend easily testable and extendable.</w:t>
      </w:r>
    </w:p>
    <w:p>
      <w:pPr>
        <w:pStyle w:val="p1"/>
        <w:numPr>
          <w:ilvl w:val="0"/>
          <w:numId w:val="31"/>
        </w:numPr>
        <w:spacing w:before="0" w:after="0"/>
        <w:rPr/>
      </w:pPr>
      <w:r>
        <w:rPr>
          <w:rStyle w:val="s1"/>
          <w:b/>
          <w:bCs/>
        </w:rPr>
        <w:t>Adapters</w:t>
      </w:r>
      <w:r>
        <w:rPr/>
        <w:t xml:space="preserve"> abstract all cloud interactions, ensuring modularity in integration.</w:t>
      </w:r>
    </w:p>
    <w:p>
      <w:pPr>
        <w:pStyle w:val="p1"/>
        <w:numPr>
          <w:ilvl w:val="0"/>
          <w:numId w:val="31"/>
        </w:numPr>
        <w:spacing w:before="0" w:after="0"/>
        <w:rPr/>
      </w:pPr>
      <w:r>
        <w:rPr>
          <w:rStyle w:val="s1"/>
          <w:b/>
          <w:bCs/>
        </w:rPr>
        <w:t>Command and Idempotent patterns</w:t>
      </w:r>
      <w:r>
        <w:rPr/>
        <w:t xml:space="preserve"> improve data reliability and guarantee transactional safety in distributed environments.</w:t>
      </w:r>
    </w:p>
    <w:p>
      <w:pPr>
        <w:pStyle w:val="p1"/>
        <w:numPr>
          <w:ilvl w:val="0"/>
          <w:numId w:val="31"/>
        </w:numPr>
        <w:spacing w:before="0" w:after="280"/>
        <w:rPr/>
      </w:pPr>
      <w:r>
        <w:rPr/>
        <w:t xml:space="preserve">The </w:t>
      </w:r>
      <w:r>
        <w:rPr>
          <w:rStyle w:val="s1"/>
          <w:b/>
          <w:bCs/>
        </w:rPr>
        <w:t>modular monolith approach</w:t>
      </w:r>
      <w:r>
        <w:rPr/>
        <w:t xml:space="preserve"> was preferred over microservices for simplicity, cost efficiency, and ease of deployment within Azure App Service.</w:t>
      </w:r>
    </w:p>
    <w:p>
      <w:pPr>
        <w:pStyle w:val="Heading3"/>
        <w:rPr/>
      </w:pPr>
      <w:r>
        <w:rPr/>
        <w:br/>
      </w:r>
      <w:r>
        <w:rPr>
          <w:b/>
          <w:bCs/>
          <w:sz w:val="24"/>
          <w:szCs w:val="24"/>
        </w:rPr>
        <w:t>6.</w:t>
      </w:r>
      <w:r>
        <w:rPr>
          <w:b/>
          <w:bCs/>
          <w:sz w:val="24"/>
          <w:szCs w:val="24"/>
        </w:rPr>
        <w:t>8</w:t>
      </w:r>
      <w:r>
        <w:rPr>
          <w:b/>
          <w:bCs/>
          <w:sz w:val="24"/>
          <w:szCs w:val="24"/>
        </w:rPr>
        <w:t>. Summary</w:t>
      </w:r>
    </w:p>
    <w:p>
      <w:pPr>
        <w:pStyle w:val="p2"/>
        <w:spacing w:before="280" w:after="280"/>
        <w:rPr/>
      </w:pPr>
      <w:r>
        <w:rPr/>
      </w:r>
    </w:p>
    <w:p>
      <w:pPr>
        <w:pStyle w:val="p3"/>
        <w:spacing w:before="280" w:after="280"/>
        <w:rPr/>
      </w:pPr>
      <w:r>
        <w:rPr/>
        <w:t>The design and architectural patterns implemented in TWS-Scan collectively demonstrate a deep understanding of software engineering principles.</w:t>
      </w:r>
    </w:p>
    <w:p>
      <w:pPr>
        <w:pStyle w:val="p3"/>
        <w:spacing w:before="280" w:after="280"/>
        <w:rPr/>
      </w:pPr>
      <w:r>
        <w:rPr/>
        <w:t xml:space="preserve">By combining layered design, reusable service components, and modern integration patterns, the system achieves a balance of </w:t>
      </w:r>
      <w:r>
        <w:rPr>
          <w:rStyle w:val="s2"/>
          <w:rFonts w:eastAsia="" w:eastAsiaTheme="majorEastAsia"/>
          <w:b/>
          <w:bCs/>
        </w:rPr>
        <w:t>clarity, scalability, and fault tolerance</w:t>
      </w:r>
      <w:r>
        <w:rPr/>
        <w:t>.</w:t>
      </w:r>
    </w:p>
    <w:p>
      <w:pPr>
        <w:pStyle w:val="p2"/>
        <w:spacing w:before="280" w:after="280"/>
        <w:rPr/>
      </w:pPr>
      <w:r>
        <w:rPr/>
      </w:r>
    </w:p>
    <w:p>
      <w:pPr>
        <w:pStyle w:val="p1"/>
        <w:rPr/>
      </w:pPr>
      <w:r>
        <w:rPr>
          <w:sz w:val="36"/>
          <w:szCs w:val="36"/>
        </w:rPr>
        <w:t>7</w:t>
      </w:r>
      <w:r>
        <w:rPr>
          <w:sz w:val="36"/>
          <w:szCs w:val="36"/>
        </w:rPr>
        <w:t>. Design and Architecture Patterns (Detailed Technical Implementation)</w:t>
      </w:r>
    </w:p>
    <w:p>
      <w:pPr>
        <w:pStyle w:val="Heading3"/>
        <w:rPr>
          <w:sz w:val="24"/>
          <w:szCs w:val="24"/>
        </w:rPr>
      </w:pPr>
      <w:r>
        <w:rPr>
          <w:sz w:val="24"/>
          <w:szCs w:val="24"/>
        </w:rPr>
        <w:t>Overview</w:t>
      </w:r>
    </w:p>
    <w:p>
      <w:pPr>
        <w:pStyle w:val="p3"/>
        <w:spacing w:before="280" w:after="280"/>
        <w:rPr/>
      </w:pPr>
      <w:r>
        <w:rPr/>
        <w:t xml:space="preserve">The design of </w:t>
      </w:r>
      <w:r>
        <w:rPr>
          <w:rStyle w:val="s2"/>
          <w:rFonts w:eastAsia="" w:eastAsiaTheme="majorEastAsia"/>
          <w:b/>
          <w:bCs/>
        </w:rPr>
        <w:t>TWS-Scan</w:t>
      </w:r>
      <w:r>
        <w:rPr/>
        <w:t xml:space="preserve"> integrates several industry-recognised architectural and design patterns to ensure clean code organisation, efficient data transfer, and high maintainability.</w:t>
      </w:r>
    </w:p>
    <w:p>
      <w:pPr>
        <w:pStyle w:val="p3"/>
        <w:spacing w:before="280" w:after="280"/>
        <w:rPr/>
      </w:pPr>
      <w:r>
        <w:rPr/>
        <w:t xml:space="preserve">The system was intentionally built using </w:t>
      </w:r>
      <w:r>
        <w:rPr>
          <w:rStyle w:val="s2"/>
          <w:rFonts w:eastAsia="" w:eastAsiaTheme="majorEastAsia"/>
          <w:b/>
          <w:bCs/>
        </w:rPr>
        <w:t>structured layering and well-defined data models</w:t>
      </w:r>
      <w:r>
        <w:rPr/>
        <w:t>, applying data structures and communication patterns that align with both the functional and non-functional requirements of the business.</w:t>
      </w:r>
    </w:p>
    <w:p>
      <w:pPr>
        <w:pStyle w:val="p3"/>
        <w:spacing w:before="280" w:after="280"/>
        <w:rPr/>
      </w:pPr>
      <w:r>
        <w:rPr/>
        <w:t xml:space="preserve">The overall system leverages the </w:t>
      </w:r>
      <w:r>
        <w:rPr>
          <w:rStyle w:val="s2"/>
          <w:rFonts w:eastAsia="" w:eastAsiaTheme="majorEastAsia"/>
          <w:b/>
          <w:bCs/>
        </w:rPr>
        <w:t>Repository</w:t>
      </w:r>
      <w:r>
        <w:rPr/>
        <w:t xml:space="preserve">, </w:t>
      </w:r>
      <w:r>
        <w:rPr>
          <w:rStyle w:val="s2"/>
          <w:rFonts w:eastAsia="" w:eastAsiaTheme="majorEastAsia"/>
          <w:b/>
          <w:bCs/>
        </w:rPr>
        <w:t>Adapter</w:t>
      </w:r>
      <w:r>
        <w:rPr/>
        <w:t xml:space="preserve">, </w:t>
      </w:r>
      <w:r>
        <w:rPr>
          <w:rStyle w:val="s2"/>
          <w:rFonts w:eastAsia="" w:eastAsiaTheme="majorEastAsia"/>
          <w:b/>
          <w:bCs/>
        </w:rPr>
        <w:t>Command</w:t>
      </w:r>
      <w:r>
        <w:rPr/>
        <w:t xml:space="preserve">, and </w:t>
      </w:r>
      <w:r>
        <w:rPr>
          <w:rStyle w:val="s2"/>
          <w:rFonts w:eastAsia="" w:eastAsiaTheme="majorEastAsia"/>
          <w:b/>
          <w:bCs/>
        </w:rPr>
        <w:t>Model-View-Controller (MVC)</w:t>
      </w:r>
      <w:r>
        <w:rPr/>
        <w:t xml:space="preserve"> patterns while utilising common data structures such as </w:t>
      </w:r>
      <w:r>
        <w:rPr>
          <w:rStyle w:val="s2"/>
          <w:rFonts w:eastAsia="" w:eastAsiaTheme="majorEastAsia"/>
          <w:b/>
          <w:bCs/>
        </w:rPr>
        <w:t>dictionaries</w:t>
      </w:r>
      <w:r>
        <w:rPr/>
        <w:t xml:space="preserve">, </w:t>
      </w:r>
      <w:r>
        <w:rPr>
          <w:rStyle w:val="s2"/>
          <w:rFonts w:eastAsia="" w:eastAsiaTheme="majorEastAsia"/>
          <w:b/>
          <w:bCs/>
        </w:rPr>
        <w:t>lists</w:t>
      </w:r>
      <w:r>
        <w:rPr/>
        <w:t xml:space="preserve">, and </w:t>
      </w:r>
      <w:r>
        <w:rPr>
          <w:rStyle w:val="s2"/>
          <w:rFonts w:eastAsia="" w:eastAsiaTheme="majorEastAsia"/>
          <w:b/>
          <w:bCs/>
        </w:rPr>
        <w:t>queues</w:t>
      </w:r>
      <w:r>
        <w:rPr/>
        <w:t xml:space="preserve"> to manage in-memory processing, caching, and offline operations.</w:t>
        <w:br/>
      </w:r>
    </w:p>
    <w:p>
      <w:pPr>
        <w:pStyle w:val="Heading3"/>
        <w:rPr>
          <w:sz w:val="24"/>
          <w:szCs w:val="24"/>
        </w:rPr>
      </w:pPr>
      <w:r>
        <w:rPr>
          <w:sz w:val="24"/>
          <w:szCs w:val="24"/>
        </w:rPr>
        <w:t>7.</w:t>
      </w:r>
      <w:r>
        <w:rPr>
          <w:sz w:val="24"/>
          <w:szCs w:val="24"/>
        </w:rPr>
        <w:t>1. Data Structures and Algorithmic Use</w:t>
      </w:r>
    </w:p>
    <w:p>
      <w:pPr>
        <w:pStyle w:val="p3"/>
        <w:spacing w:before="280" w:after="280"/>
        <w:rPr/>
      </w:pPr>
      <w:r>
        <w:rPr/>
        <w:t>The backend and mobile application use various data structures and algorithms optimised for real-time inventory control and offline synchronisation.</w:t>
      </w:r>
    </w:p>
    <w:tbl>
      <w:tblPr>
        <w:tblW w:w="8640" w:type="dxa"/>
        <w:jc w:val="left"/>
        <w:tblInd w:w="15" w:type="dxa"/>
        <w:tblLayout w:type="fixed"/>
        <w:tblCellMar>
          <w:top w:w="15" w:type="dxa"/>
          <w:left w:w="15" w:type="dxa"/>
          <w:bottom w:w="15" w:type="dxa"/>
          <w:right w:w="15" w:type="dxa"/>
        </w:tblCellMar>
        <w:tblLook w:val="04a0" w:noVBand="1" w:noHBand="0" w:lastColumn="0" w:firstColumn="1" w:lastRow="0" w:firstRow="1"/>
      </w:tblPr>
      <w:tblGrid>
        <w:gridCol w:w="1606"/>
        <w:gridCol w:w="2796"/>
        <w:gridCol w:w="4238"/>
      </w:tblGrid>
      <w:tr>
        <w:trPr>
          <w:tblHeader w:val="true"/>
        </w:trPr>
        <w:tc>
          <w:tcPr>
            <w:tcW w:w="1606" w:type="dxa"/>
            <w:tcBorders/>
            <w:shd w:fill="3465A4" w:val="clear"/>
            <w:vAlign w:val="center"/>
          </w:tcPr>
          <w:p>
            <w:pPr>
              <w:pStyle w:val="Normal"/>
              <w:spacing w:lineRule="auto" w:line="240" w:beforeAutospacing="1" w:after="0"/>
              <w:jc w:val="center"/>
              <w:rPr>
                <w:rFonts w:ascii="Times New Roman" w:hAnsi="Times New Roman" w:eastAsia="Times New Roman" w:cs="Times New Roman"/>
                <w:b/>
                <w:bCs/>
                <w:sz w:val="24"/>
                <w:szCs w:val="24"/>
                <w:lang w:val="en-ZA" w:eastAsia="en-GB"/>
              </w:rPr>
            </w:pPr>
            <w:r>
              <w:rPr>
                <w:rFonts w:eastAsia="Times New Roman" w:cs="Times New Roman" w:ascii="Times New Roman" w:hAnsi="Times New Roman"/>
                <w:b/>
                <w:bCs/>
                <w:sz w:val="24"/>
                <w:szCs w:val="24"/>
                <w:lang w:val="en-ZA" w:eastAsia="en-GB"/>
              </w:rPr>
              <w:t>Structure</w:t>
            </w:r>
          </w:p>
        </w:tc>
        <w:tc>
          <w:tcPr>
            <w:tcW w:w="2796" w:type="dxa"/>
            <w:tcBorders/>
            <w:shd w:fill="3465A4" w:val="clear"/>
            <w:vAlign w:val="center"/>
          </w:tcPr>
          <w:p>
            <w:pPr>
              <w:pStyle w:val="Normal"/>
              <w:spacing w:lineRule="auto" w:line="240" w:beforeAutospacing="1" w:after="0"/>
              <w:jc w:val="center"/>
              <w:rPr>
                <w:rFonts w:ascii="Times New Roman" w:hAnsi="Times New Roman" w:eastAsia="Times New Roman" w:cs="Times New Roman"/>
                <w:b/>
                <w:bCs/>
                <w:sz w:val="24"/>
                <w:szCs w:val="24"/>
                <w:lang w:val="en-ZA" w:eastAsia="en-GB"/>
              </w:rPr>
            </w:pPr>
            <w:r>
              <w:rPr>
                <w:rFonts w:eastAsia="Times New Roman" w:cs="Times New Roman" w:ascii="Times New Roman" w:hAnsi="Times New Roman"/>
                <w:b/>
                <w:bCs/>
                <w:sz w:val="24"/>
                <w:szCs w:val="24"/>
                <w:lang w:val="en-ZA" w:eastAsia="en-GB"/>
              </w:rPr>
              <w:t>Purpose</w:t>
            </w:r>
          </w:p>
        </w:tc>
        <w:tc>
          <w:tcPr>
            <w:tcW w:w="4238" w:type="dxa"/>
            <w:tcBorders/>
            <w:shd w:fill="3465A4" w:val="clear"/>
            <w:vAlign w:val="center"/>
          </w:tcPr>
          <w:p>
            <w:pPr>
              <w:pStyle w:val="Normal"/>
              <w:spacing w:lineRule="auto" w:line="240" w:beforeAutospacing="1" w:after="0"/>
              <w:jc w:val="center"/>
              <w:rPr>
                <w:rFonts w:ascii="Times New Roman" w:hAnsi="Times New Roman" w:eastAsia="Times New Roman" w:cs="Times New Roman"/>
                <w:b/>
                <w:bCs/>
                <w:sz w:val="24"/>
                <w:szCs w:val="24"/>
                <w:lang w:val="en-ZA" w:eastAsia="en-GB"/>
              </w:rPr>
            </w:pPr>
            <w:r>
              <w:rPr>
                <w:rFonts w:eastAsia="Times New Roman" w:cs="Times New Roman" w:ascii="Times New Roman" w:hAnsi="Times New Roman"/>
                <w:b/>
                <w:bCs/>
                <w:sz w:val="24"/>
                <w:szCs w:val="24"/>
                <w:lang w:val="en-ZA" w:eastAsia="en-GB"/>
              </w:rPr>
              <w:t>Implementation Example</w:t>
            </w:r>
          </w:p>
        </w:tc>
      </w:tr>
      <w:tr>
        <w:trPr/>
        <w:tc>
          <w:tcPr>
            <w:tcW w:w="1606"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Lists / Arrays</w:t>
            </w:r>
          </w:p>
        </w:tc>
        <w:tc>
          <w:tcPr>
            <w:tcW w:w="2796"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Managing collections of scanned stock items or picked products.</w:t>
            </w:r>
          </w:p>
        </w:tc>
        <w:tc>
          <w:tcPr>
            <w:tcW w:w="4238"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Kotlin MutableList&lt;Product&gt; used in Android app; Python lists in FastAPI for JSON responses.</w:t>
            </w:r>
          </w:p>
        </w:tc>
      </w:tr>
      <w:tr>
        <w:trPr/>
        <w:tc>
          <w:tcPr>
            <w:tcW w:w="1606"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Dictionaries / Hash Maps</w:t>
            </w:r>
          </w:p>
        </w:tc>
        <w:tc>
          <w:tcPr>
            <w:tcW w:w="2796"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Rapid key-based lookups for products, sessions, and deliveries.</w:t>
            </w:r>
          </w:p>
        </w:tc>
        <w:tc>
          <w:tcPr>
            <w:tcW w:w="4238"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Python dict in API responses for O(1) access; Kotlin HashMap for caching scanned products offline.</w:t>
            </w:r>
          </w:p>
        </w:tc>
      </w:tr>
      <w:tr>
        <w:trPr/>
        <w:tc>
          <w:tcPr>
            <w:tcW w:w="1606"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Queues</w:t>
            </w:r>
          </w:p>
        </w:tc>
        <w:tc>
          <w:tcPr>
            <w:tcW w:w="2796"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Offline operation queuing for background sync processes.</w:t>
            </w:r>
          </w:p>
        </w:tc>
        <w:tc>
          <w:tcPr>
            <w:tcW w:w="4238"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Implemented in Android SyncWorker to retry failed network operations (FIFO pattern).</w:t>
            </w:r>
          </w:p>
        </w:tc>
      </w:tr>
      <w:tr>
        <w:trPr/>
        <w:tc>
          <w:tcPr>
            <w:tcW w:w="1606"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Sets</w:t>
            </w:r>
          </w:p>
        </w:tc>
        <w:tc>
          <w:tcPr>
            <w:tcW w:w="2796"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Ensuring uniqueness in operations like product scans or delivery confirmations.</w:t>
            </w:r>
          </w:p>
        </w:tc>
        <w:tc>
          <w:tcPr>
            <w:tcW w:w="4238"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Used in both Android and backend to prevent duplicate uploads or scans.</w:t>
            </w:r>
          </w:p>
        </w:tc>
      </w:tr>
      <w:tr>
        <w:trPr/>
        <w:tc>
          <w:tcPr>
            <w:tcW w:w="1606"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Custom Algorithms</w:t>
            </w:r>
          </w:p>
        </w:tc>
        <w:tc>
          <w:tcPr>
            <w:tcW w:w="2796"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Validation and reconciliation of stock entries.</w:t>
            </w:r>
          </w:p>
        </w:tc>
        <w:tc>
          <w:tcPr>
            <w:tcW w:w="4238"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Each scan triggers a validation algorithm that ensures stock serials are matched, non-duplicate, and logged atomically.</w:t>
            </w:r>
          </w:p>
        </w:tc>
      </w:tr>
    </w:tbl>
    <w:p>
      <w:pPr>
        <w:pStyle w:val="p1"/>
        <w:spacing w:before="280" w:after="280"/>
        <w:rPr/>
      </w:pPr>
      <w:r>
        <w:rPr/>
        <w:br/>
        <w:br/>
        <w:t>These data structures improve performance and reliability by optimising access time, ensuring atomic processing, and maintaining order integrity across asynchronous tasks.</w:t>
      </w:r>
    </w:p>
    <w:p>
      <w:pPr>
        <w:pStyle w:val="Heading3"/>
        <w:rPr/>
      </w:pPr>
      <w:r>
        <w:rPr/>
        <w:br/>
        <w:br/>
      </w:r>
      <w:r>
        <w:rPr>
          <w:sz w:val="24"/>
          <w:szCs w:val="24"/>
        </w:rPr>
        <w:t>7</w:t>
      </w:r>
      <w:r>
        <w:rPr>
          <w:sz w:val="24"/>
          <w:szCs w:val="24"/>
        </w:rPr>
        <w:t>.2. Data Transfer and Integration Between Services</w:t>
      </w:r>
    </w:p>
    <w:p>
      <w:pPr>
        <w:pStyle w:val="p3"/>
        <w:spacing w:before="280" w:after="280"/>
        <w:rPr/>
      </w:pPr>
      <w:r>
        <w:rPr/>
      </w:r>
    </w:p>
    <w:p>
      <w:pPr>
        <w:pStyle w:val="p1"/>
        <w:spacing w:before="280" w:after="280"/>
        <w:rPr/>
      </w:pPr>
      <w:r>
        <w:rPr/>
        <w:t>All communication between frontend and backend follows standard RESTful conventions, enhanced by:</w:t>
      </w:r>
    </w:p>
    <w:p>
      <w:pPr>
        <w:pStyle w:val="p1"/>
        <w:numPr>
          <w:ilvl w:val="0"/>
          <w:numId w:val="32"/>
        </w:numPr>
        <w:spacing w:before="280" w:after="0"/>
        <w:rPr/>
      </w:pPr>
      <w:r>
        <w:rPr>
          <w:rStyle w:val="s1"/>
          <w:b/>
          <w:bCs/>
        </w:rPr>
        <w:t>JSON-based payloads</w:t>
      </w:r>
      <w:r>
        <w:rPr/>
        <w:t xml:space="preserve"> for structured, human-readable communication.</w:t>
      </w:r>
    </w:p>
    <w:p>
      <w:pPr>
        <w:pStyle w:val="p1"/>
        <w:numPr>
          <w:ilvl w:val="0"/>
          <w:numId w:val="32"/>
        </w:numPr>
        <w:spacing w:before="0" w:after="0"/>
        <w:rPr/>
      </w:pPr>
      <w:r>
        <w:rPr>
          <w:rStyle w:val="s1"/>
          <w:b/>
          <w:bCs/>
        </w:rPr>
        <w:t>Retrofit (Android)</w:t>
      </w:r>
      <w:r>
        <w:rPr/>
        <w:t xml:space="preserve"> and </w:t>
      </w:r>
      <w:r>
        <w:rPr>
          <w:rStyle w:val="s1"/>
          <w:b/>
          <w:bCs/>
        </w:rPr>
        <w:t>FastAPI (Backend)</w:t>
      </w:r>
      <w:r>
        <w:rPr/>
        <w:t xml:space="preserve"> frameworks for serialization and request handling.</w:t>
      </w:r>
    </w:p>
    <w:p>
      <w:pPr>
        <w:pStyle w:val="p1"/>
        <w:numPr>
          <w:ilvl w:val="0"/>
          <w:numId w:val="32"/>
        </w:numPr>
        <w:spacing w:before="0" w:after="0"/>
        <w:rPr/>
      </w:pPr>
      <w:r>
        <w:rPr>
          <w:rStyle w:val="s1"/>
          <w:b/>
          <w:bCs/>
        </w:rPr>
        <w:t>Pydantic models (Python)</w:t>
      </w:r>
      <w:r>
        <w:rPr/>
        <w:t xml:space="preserve"> to define strong schema validation for every API route, ensuring consistent structure across all endpoints.</w:t>
      </w:r>
    </w:p>
    <w:p>
      <w:pPr>
        <w:pStyle w:val="p1"/>
        <w:numPr>
          <w:ilvl w:val="0"/>
          <w:numId w:val="32"/>
        </w:numPr>
        <w:spacing w:before="0" w:after="280"/>
        <w:rPr/>
      </w:pPr>
      <w:r>
        <w:rPr>
          <w:rStyle w:val="s1"/>
          <w:b/>
          <w:bCs/>
        </w:rPr>
        <w:t>Data transfer objects (DTOs)</w:t>
      </w:r>
      <w:r>
        <w:rPr/>
        <w:t xml:space="preserve"> in Kotlin that mirror backend models, maintaining 1:1 mapping between mobile and server-side entities.</w:t>
      </w:r>
    </w:p>
    <w:p>
      <w:pPr>
        <w:pStyle w:val="p3"/>
        <w:spacing w:before="280" w:after="280"/>
        <w:rPr/>
      </w:pPr>
      <w:r>
        <w:rPr/>
      </w:r>
    </w:p>
    <w:p>
      <w:pPr>
        <w:pStyle w:val="p1"/>
        <w:spacing w:before="280" w:after="280"/>
        <w:rPr/>
      </w:pPr>
      <w:r>
        <w:rPr/>
        <w:t>This ensures smooth communication between the Android frontend and FastAPI backend, reducing the risk of schema drift and ensuring full interoperability.</w:t>
      </w:r>
    </w:p>
    <w:p>
      <w:pPr>
        <w:pStyle w:val="Heading3"/>
        <w:rPr/>
      </w:pPr>
      <w:r>
        <w:rPr/>
        <w:br/>
      </w:r>
      <w:r>
        <w:rPr>
          <w:sz w:val="24"/>
          <w:szCs w:val="24"/>
        </w:rPr>
        <w:t>7</w:t>
      </w:r>
      <w:r>
        <w:rPr>
          <w:sz w:val="24"/>
          <w:szCs w:val="24"/>
        </w:rPr>
        <w:t>.3. Design Patterns in Practice</w:t>
      </w:r>
    </w:p>
    <w:p>
      <w:pPr>
        <w:pStyle w:val="p1"/>
        <w:rPr>
          <w:b/>
          <w:bCs/>
        </w:rPr>
      </w:pPr>
      <w:r>
        <w:rPr>
          <w:b/>
          <w:bCs/>
        </w:rPr>
        <w:t>Repository Pattern</w:t>
      </w:r>
    </w:p>
    <w:p>
      <w:pPr>
        <w:pStyle w:val="p1"/>
        <w:numPr>
          <w:ilvl w:val="0"/>
          <w:numId w:val="33"/>
        </w:numPr>
        <w:spacing w:before="280" w:after="0"/>
        <w:rPr/>
      </w:pPr>
      <w:r>
        <w:rPr/>
        <w:t>Applied within FastAPI to abstract SQL interactions from business logic.</w:t>
      </w:r>
    </w:p>
    <w:p>
      <w:pPr>
        <w:pStyle w:val="p1"/>
        <w:numPr>
          <w:ilvl w:val="0"/>
          <w:numId w:val="33"/>
        </w:numPr>
        <w:spacing w:before="0" w:after="0"/>
        <w:rPr/>
      </w:pPr>
      <w:r>
        <w:rPr/>
        <w:t xml:space="preserve">Each domain module (e.g., </w:t>
      </w:r>
      <w:r>
        <w:rPr>
          <w:rStyle w:val="s1"/>
        </w:rPr>
        <w:t>stock_repository.py</w:t>
      </w:r>
      <w:r>
        <w:rPr/>
        <w:t xml:space="preserve">, </w:t>
      </w:r>
      <w:r>
        <w:rPr>
          <w:rStyle w:val="s1"/>
        </w:rPr>
        <w:t>delivery_repository.py</w:t>
      </w:r>
      <w:r>
        <w:rPr/>
        <w:t>) encapsulates its own CRUD logic and stored procedure access.</w:t>
      </w:r>
    </w:p>
    <w:p>
      <w:pPr>
        <w:pStyle w:val="p1"/>
        <w:numPr>
          <w:ilvl w:val="0"/>
          <w:numId w:val="33"/>
        </w:numPr>
        <w:spacing w:before="0" w:after="280"/>
        <w:rPr/>
      </w:pPr>
      <w:r>
        <w:rPr/>
        <w:t>Promotes modularity and allows switching between direct SQL, ORM, or service-based storage without major refactoring.</w:t>
      </w:r>
    </w:p>
    <w:p>
      <w:pPr>
        <w:pStyle w:val="p1"/>
        <w:rPr>
          <w:b/>
          <w:bCs/>
        </w:rPr>
      </w:pPr>
      <w:r>
        <w:rPr>
          <w:b/>
          <w:bCs/>
        </w:rPr>
        <w:t>Adapter Pattern</w:t>
      </w:r>
    </w:p>
    <w:p>
      <w:pPr>
        <w:pStyle w:val="p1"/>
        <w:numPr>
          <w:ilvl w:val="0"/>
          <w:numId w:val="34"/>
        </w:numPr>
        <w:spacing w:before="280" w:after="0"/>
        <w:rPr/>
      </w:pPr>
      <w:r>
        <w:rPr/>
        <w:t>Used for Azure integration components (Blob Storage, Key Vault).</w:t>
      </w:r>
    </w:p>
    <w:p>
      <w:pPr>
        <w:pStyle w:val="p1"/>
        <w:numPr>
          <w:ilvl w:val="0"/>
          <w:numId w:val="34"/>
        </w:numPr>
        <w:spacing w:before="0" w:after="280"/>
        <w:rPr/>
      </w:pPr>
      <w:r>
        <w:rPr/>
        <w:t xml:space="preserve">The </w:t>
      </w:r>
      <w:r>
        <w:rPr>
          <w:rStyle w:val="s1"/>
        </w:rPr>
        <w:t>media_service.py</w:t>
      </w:r>
      <w:r>
        <w:rPr/>
        <w:t xml:space="preserve"> adapter provides a unified interface for issuing SAS tokens and confirming uploads, insulating the rest of the application from vendor-specific SDK changes.</w:t>
      </w:r>
    </w:p>
    <w:p>
      <w:pPr>
        <w:pStyle w:val="p3"/>
        <w:spacing w:before="280" w:after="280"/>
        <w:rPr/>
      </w:pPr>
      <w:r>
        <w:rPr/>
      </w:r>
    </w:p>
    <w:p>
      <w:pPr>
        <w:pStyle w:val="p1"/>
        <w:rPr>
          <w:b/>
          <w:bCs/>
        </w:rPr>
      </w:pPr>
      <w:r>
        <w:rPr>
          <w:b/>
          <w:bCs/>
        </w:rPr>
        <w:t>Command Pattern</w:t>
      </w:r>
    </w:p>
    <w:p>
      <w:pPr>
        <w:pStyle w:val="p1"/>
        <w:numPr>
          <w:ilvl w:val="0"/>
          <w:numId w:val="35"/>
        </w:numPr>
        <w:spacing w:before="280" w:after="0"/>
        <w:rPr/>
      </w:pPr>
      <w:r>
        <w:rPr/>
        <w:t>Implemented in offline sync logic. Each queued operation (e.g., stock scan, delivery update) is treated as a command object with unique IDs, timestamps, and retry state.</w:t>
      </w:r>
    </w:p>
    <w:p>
      <w:pPr>
        <w:pStyle w:val="p1"/>
        <w:numPr>
          <w:ilvl w:val="0"/>
          <w:numId w:val="35"/>
        </w:numPr>
        <w:spacing w:before="0" w:after="280"/>
        <w:rPr/>
      </w:pPr>
      <w:r>
        <w:rPr/>
        <w:t>Commands are replayed in the same sequence during sync, ensuring consistency with server-side processing.</w:t>
      </w:r>
    </w:p>
    <w:p>
      <w:pPr>
        <w:pStyle w:val="p1"/>
        <w:rPr>
          <w:b/>
          <w:bCs/>
        </w:rPr>
      </w:pPr>
      <w:r>
        <w:rPr>
          <w:b/>
          <w:bCs/>
        </w:rPr>
        <w:t>Factory Pattern</w:t>
      </w:r>
    </w:p>
    <w:p>
      <w:pPr>
        <w:pStyle w:val="p1"/>
        <w:numPr>
          <w:ilvl w:val="0"/>
          <w:numId w:val="36"/>
        </w:numPr>
        <w:spacing w:before="280" w:after="0"/>
        <w:rPr/>
      </w:pPr>
      <w:r>
        <w:rPr/>
        <w:t>Used for generating standardised responses in the API (</w:t>
      </w:r>
      <w:r>
        <w:rPr>
          <w:rStyle w:val="s1"/>
        </w:rPr>
        <w:t>ResponseFactory</w:t>
      </w:r>
      <w:r>
        <w:rPr/>
        <w:t xml:space="preserve"> module).</w:t>
      </w:r>
    </w:p>
    <w:p>
      <w:pPr>
        <w:pStyle w:val="p1"/>
        <w:numPr>
          <w:ilvl w:val="0"/>
          <w:numId w:val="36"/>
        </w:numPr>
        <w:spacing w:before="0" w:after="280"/>
        <w:rPr/>
      </w:pPr>
      <w:r>
        <w:rPr/>
        <w:t>Simplifies consistency for success/error payloads across multiple endpoints.</w:t>
      </w:r>
    </w:p>
    <w:p>
      <w:pPr>
        <w:pStyle w:val="p1"/>
        <w:rPr>
          <w:b/>
          <w:bCs/>
        </w:rPr>
      </w:pPr>
      <w:r>
        <w:rPr>
          <w:b/>
          <w:bCs/>
        </w:rPr>
        <w:t>MVC Pattern (Android)</w:t>
      </w:r>
    </w:p>
    <w:p>
      <w:pPr>
        <w:pStyle w:val="p1"/>
        <w:numPr>
          <w:ilvl w:val="0"/>
          <w:numId w:val="37"/>
        </w:numPr>
        <w:spacing w:before="280" w:after="0"/>
        <w:rPr/>
      </w:pPr>
      <w:r>
        <w:rPr/>
        <w:t>The Kotlin frontend uses a lightweight MVC structure where:</w:t>
      </w:r>
    </w:p>
    <w:p>
      <w:pPr>
        <w:pStyle w:val="p1"/>
        <w:numPr>
          <w:ilvl w:val="1"/>
          <w:numId w:val="37"/>
        </w:numPr>
        <w:spacing w:before="0" w:after="0"/>
        <w:rPr/>
      </w:pPr>
      <w:r>
        <w:rPr>
          <w:rStyle w:val="s1"/>
          <w:b/>
          <w:bCs/>
        </w:rPr>
        <w:t>Model:</w:t>
      </w:r>
      <w:r>
        <w:rPr/>
        <w:t xml:space="preserve"> Represents domain entities and offline cache.</w:t>
      </w:r>
    </w:p>
    <w:p>
      <w:pPr>
        <w:pStyle w:val="p1"/>
        <w:numPr>
          <w:ilvl w:val="1"/>
          <w:numId w:val="37"/>
        </w:numPr>
        <w:spacing w:before="0" w:after="0"/>
        <w:rPr/>
      </w:pPr>
      <w:r>
        <w:rPr>
          <w:rStyle w:val="s1"/>
          <w:b/>
          <w:bCs/>
        </w:rPr>
        <w:t>View:</w:t>
      </w:r>
      <w:r>
        <w:rPr/>
        <w:t xml:space="preserve"> Handles barcode scanning and user input.</w:t>
      </w:r>
    </w:p>
    <w:p>
      <w:pPr>
        <w:pStyle w:val="p1"/>
        <w:numPr>
          <w:ilvl w:val="1"/>
          <w:numId w:val="37"/>
        </w:numPr>
        <w:spacing w:before="0" w:after="280"/>
        <w:rPr/>
      </w:pPr>
      <w:r>
        <w:rPr>
          <w:rStyle w:val="s1"/>
          <w:b/>
          <w:bCs/>
        </w:rPr>
        <w:t>Controller (ViewModel):</w:t>
      </w:r>
      <w:r>
        <w:rPr/>
        <w:t xml:space="preserve"> Bridges user interactions with API calls through coroutine-based asynchronous execution.</w:t>
      </w:r>
    </w:p>
    <w:p>
      <w:pPr>
        <w:pStyle w:val="p3"/>
        <w:spacing w:before="280" w:after="280"/>
        <w:rPr/>
      </w:pPr>
      <w:r>
        <w:rPr/>
      </w:r>
    </w:p>
    <w:p>
      <w:pPr>
        <w:pStyle w:val="p1"/>
        <w:spacing w:before="280" w:after="280"/>
        <w:rPr/>
      </w:pPr>
      <w:r>
        <w:rPr/>
        <w:t>This structure ensures that UI components remain reactive while business logic remains centralised.</w:t>
      </w:r>
    </w:p>
    <w:p>
      <w:pPr>
        <w:pStyle w:val="Heading3"/>
        <w:rPr/>
      </w:pPr>
      <w:r>
        <w:rPr>
          <w:sz w:val="24"/>
          <w:szCs w:val="24"/>
        </w:rPr>
        <w:br/>
        <w:t>7</w:t>
      </w:r>
      <w:r>
        <w:rPr>
          <w:sz w:val="24"/>
          <w:szCs w:val="24"/>
        </w:rPr>
        <w:t>.4. Communication Between Frontend and Backend</w:t>
      </w:r>
    </w:p>
    <w:p>
      <w:pPr>
        <w:pStyle w:val="p1"/>
        <w:spacing w:before="280" w:after="280"/>
        <w:rPr/>
      </w:pPr>
      <w:r>
        <w:rPr/>
        <w:t xml:space="preserve">The communication pattern follows a </w:t>
      </w:r>
      <w:r>
        <w:rPr>
          <w:rStyle w:val="s2"/>
          <w:rFonts w:eastAsia="" w:eastAsiaTheme="majorEastAsia"/>
          <w:b/>
          <w:bCs/>
        </w:rPr>
        <w:t>stateless, request-response model</w:t>
      </w:r>
      <w:r>
        <w:rPr/>
        <w:t xml:space="preserve"> with token-based security and JSON encoding.</w:t>
      </w:r>
    </w:p>
    <w:p>
      <w:pPr>
        <w:pStyle w:val="p1"/>
        <w:spacing w:before="280" w:after="280"/>
        <w:rPr/>
      </w:pPr>
      <w:r>
        <w:rPr/>
        <w:t>Each request includes:</w:t>
      </w:r>
    </w:p>
    <w:p>
      <w:pPr>
        <w:pStyle w:val="p1"/>
        <w:numPr>
          <w:ilvl w:val="0"/>
          <w:numId w:val="38"/>
        </w:numPr>
        <w:spacing w:before="280" w:after="0"/>
        <w:rPr/>
      </w:pPr>
      <w:r>
        <w:rPr>
          <w:rStyle w:val="s1"/>
          <w:b/>
          <w:bCs/>
        </w:rPr>
        <w:t>JWT Bearer token</w:t>
      </w:r>
      <w:r>
        <w:rPr/>
        <w:t xml:space="preserve"> for authentication.</w:t>
      </w:r>
    </w:p>
    <w:p>
      <w:pPr>
        <w:pStyle w:val="p1"/>
        <w:numPr>
          <w:ilvl w:val="0"/>
          <w:numId w:val="38"/>
        </w:numPr>
        <w:spacing w:before="0" w:after="0"/>
        <w:rPr/>
      </w:pPr>
      <w:r>
        <w:rPr>
          <w:b/>
          <w:bCs/>
        </w:rPr>
        <w:t>Device identifier and timestamp</w:t>
      </w:r>
      <w:r>
        <w:rPr>
          <w:rStyle w:val="s1"/>
        </w:rPr>
        <w:t xml:space="preserve"> for traceability.</w:t>
      </w:r>
    </w:p>
    <w:p>
      <w:pPr>
        <w:pStyle w:val="p1"/>
        <w:numPr>
          <w:ilvl w:val="0"/>
          <w:numId w:val="38"/>
        </w:numPr>
        <w:spacing w:before="0" w:after="280"/>
        <w:rPr/>
      </w:pPr>
      <w:r>
        <w:rPr>
          <w:rStyle w:val="s1"/>
          <w:b/>
          <w:bCs/>
        </w:rPr>
        <w:t>Idempotency key</w:t>
      </w:r>
      <w:r>
        <w:rPr/>
        <w:t xml:space="preserve"> to prevent duplicate processing (especially for offline actions).</w:t>
      </w:r>
    </w:p>
    <w:p>
      <w:pPr>
        <w:pStyle w:val="p1"/>
        <w:spacing w:before="280" w:after="280"/>
        <w:rPr/>
      </w:pPr>
      <w:r>
        <w:rPr/>
        <w:t>The backend routes are structured under clear namespaces:</w:t>
      </w:r>
    </w:p>
    <w:p>
      <w:pPr>
        <w:pStyle w:val="p1"/>
        <w:numPr>
          <w:ilvl w:val="0"/>
          <w:numId w:val="39"/>
        </w:numPr>
        <w:spacing w:before="280" w:after="0"/>
        <w:rPr/>
      </w:pPr>
      <w:r>
        <w:rPr>
          <w:rStyle w:val="s1"/>
        </w:rPr>
        <w:t>/auth/</w:t>
      </w:r>
      <w:r>
        <w:rPr/>
        <w:t xml:space="preserve"> → Authentication and token management.</w:t>
      </w:r>
    </w:p>
    <w:p>
      <w:pPr>
        <w:pStyle w:val="p1"/>
        <w:numPr>
          <w:ilvl w:val="0"/>
          <w:numId w:val="39"/>
        </w:numPr>
        <w:spacing w:before="0" w:after="0"/>
        <w:rPr/>
      </w:pPr>
      <w:r>
        <w:rPr>
          <w:rStyle w:val="s1"/>
        </w:rPr>
        <w:t>/stock/</w:t>
      </w:r>
      <w:r>
        <w:rPr/>
        <w:t xml:space="preserve"> → Stock scanning, item counts, and reconciliation.</w:t>
      </w:r>
    </w:p>
    <w:p>
      <w:pPr>
        <w:pStyle w:val="p1"/>
        <w:numPr>
          <w:ilvl w:val="0"/>
          <w:numId w:val="39"/>
        </w:numPr>
        <w:spacing w:before="0" w:after="0"/>
        <w:rPr/>
      </w:pPr>
      <w:r>
        <w:rPr>
          <w:rStyle w:val="s1"/>
        </w:rPr>
        <w:t>/pick/</w:t>
      </w:r>
      <w:r>
        <w:rPr/>
        <w:t xml:space="preserve"> → Picking and staging operations.</w:t>
      </w:r>
    </w:p>
    <w:p>
      <w:pPr>
        <w:pStyle w:val="p1"/>
        <w:numPr>
          <w:ilvl w:val="0"/>
          <w:numId w:val="39"/>
        </w:numPr>
        <w:spacing w:before="0" w:after="0"/>
        <w:rPr/>
      </w:pPr>
      <w:r>
        <w:rPr>
          <w:rStyle w:val="s1"/>
        </w:rPr>
        <w:t>/pack/</w:t>
      </w:r>
      <w:r>
        <w:rPr/>
        <w:t xml:space="preserve"> → Package creation and sealing confirmation.</w:t>
      </w:r>
    </w:p>
    <w:p>
      <w:pPr>
        <w:pStyle w:val="p1"/>
        <w:numPr>
          <w:ilvl w:val="0"/>
          <w:numId w:val="39"/>
        </w:numPr>
        <w:spacing w:before="0" w:after="280"/>
        <w:rPr/>
      </w:pPr>
      <w:r>
        <w:rPr>
          <w:rStyle w:val="s1"/>
        </w:rPr>
        <w:t>/delivery/</w:t>
      </w:r>
      <w:r>
        <w:rPr/>
        <w:t xml:space="preserve"> → Delivery marking and proof uploads.</w:t>
      </w:r>
    </w:p>
    <w:p>
      <w:pPr>
        <w:pStyle w:val="p3"/>
        <w:spacing w:before="280" w:after="280"/>
        <w:rPr/>
      </w:pPr>
      <w:r>
        <w:rPr/>
      </w:r>
    </w:p>
    <w:p>
      <w:pPr>
        <w:pStyle w:val="p1"/>
        <w:spacing w:before="280" w:after="280"/>
        <w:rPr/>
      </w:pPr>
      <w:r>
        <w:rPr/>
        <w:t>This endpoint design enables logical API separation aligned with SAP Activate’s modularisation principle.</w:t>
      </w:r>
    </w:p>
    <w:p>
      <w:pPr>
        <w:pStyle w:val="Heading3"/>
        <w:rPr/>
      </w:pPr>
      <w:r>
        <w:rPr/>
        <w:br/>
        <w:br/>
      </w:r>
      <w:r>
        <w:rPr>
          <w:sz w:val="24"/>
          <w:szCs w:val="24"/>
        </w:rPr>
        <w:t>7</w:t>
      </w:r>
      <w:r>
        <w:rPr>
          <w:sz w:val="24"/>
          <w:szCs w:val="24"/>
        </w:rPr>
        <w:t>.5. Third-Party and Cloud Integrations</w:t>
      </w:r>
    </w:p>
    <w:p>
      <w:pPr>
        <w:pStyle w:val="p1"/>
        <w:rPr>
          <w:b/>
          <w:bCs/>
        </w:rPr>
      </w:pPr>
      <w:r>
        <w:rPr>
          <w:b/>
          <w:bCs/>
        </w:rPr>
        <w:t>Azure Key Vault</w:t>
      </w:r>
    </w:p>
    <w:p>
      <w:pPr>
        <w:pStyle w:val="p1"/>
        <w:numPr>
          <w:ilvl w:val="0"/>
          <w:numId w:val="40"/>
        </w:numPr>
        <w:spacing w:before="280" w:after="0"/>
        <w:rPr/>
      </w:pPr>
      <w:r>
        <w:rPr/>
        <w:t>Centralises credentials for SQL, Blob, and JWT signing keys.</w:t>
      </w:r>
    </w:p>
    <w:p>
      <w:pPr>
        <w:pStyle w:val="p1"/>
        <w:numPr>
          <w:ilvl w:val="0"/>
          <w:numId w:val="40"/>
        </w:numPr>
        <w:spacing w:before="0" w:after="280"/>
        <w:rPr/>
      </w:pPr>
      <w:r>
        <w:rPr/>
        <w:t>Integrated via Azure’s Managed Identity authentication to eliminate local secret handling.</w:t>
      </w:r>
    </w:p>
    <w:p>
      <w:pPr>
        <w:pStyle w:val="p1"/>
        <w:rPr>
          <w:b/>
          <w:bCs/>
        </w:rPr>
      </w:pPr>
      <w:r>
        <w:rPr>
          <w:b/>
          <w:bCs/>
        </w:rPr>
        <w:t>Azure Blob Storage</w:t>
      </w:r>
    </w:p>
    <w:p>
      <w:pPr>
        <w:pStyle w:val="p1"/>
        <w:numPr>
          <w:ilvl w:val="0"/>
          <w:numId w:val="41"/>
        </w:numPr>
        <w:spacing w:before="280" w:after="0"/>
        <w:rPr/>
      </w:pPr>
      <w:r>
        <w:rPr/>
        <w:t xml:space="preserve">Handles proof-of-delivery images via short-lived </w:t>
      </w:r>
      <w:r>
        <w:rPr>
          <w:rStyle w:val="s1"/>
          <w:b/>
          <w:bCs/>
        </w:rPr>
        <w:t>SAS tokens</w:t>
      </w:r>
      <w:r>
        <w:rPr/>
        <w:t>, reducing backend load.</w:t>
      </w:r>
    </w:p>
    <w:p>
      <w:pPr>
        <w:pStyle w:val="p1"/>
        <w:numPr>
          <w:ilvl w:val="0"/>
          <w:numId w:val="41"/>
        </w:numPr>
        <w:spacing w:before="0" w:after="280"/>
        <w:rPr/>
      </w:pPr>
      <w:r>
        <w:rPr/>
        <w:t>Uploads occur directly from the Android app to Blob Storage, followed by a confirmation call to the FastAPI backend.</w:t>
      </w:r>
    </w:p>
    <w:p>
      <w:pPr>
        <w:pStyle w:val="p1"/>
        <w:rPr>
          <w:b/>
          <w:bCs/>
        </w:rPr>
      </w:pPr>
      <w:r>
        <w:rPr>
          <w:b/>
          <w:bCs/>
        </w:rPr>
        <w:t>Application Insights</w:t>
      </w:r>
    </w:p>
    <w:p>
      <w:pPr>
        <w:pStyle w:val="p1"/>
        <w:numPr>
          <w:ilvl w:val="0"/>
          <w:numId w:val="42"/>
        </w:numPr>
        <w:spacing w:before="280" w:after="280"/>
        <w:rPr/>
      </w:pPr>
      <w:r>
        <w:rPr/>
        <w:t>Tracks backend performance, latency, and API health, improving observability and proactive debugging.</w:t>
      </w:r>
    </w:p>
    <w:p>
      <w:pPr>
        <w:pStyle w:val="p1"/>
        <w:rPr>
          <w:b/>
          <w:bCs/>
        </w:rPr>
      </w:pPr>
      <w:r>
        <w:rPr>
          <w:b/>
          <w:bCs/>
        </w:rPr>
        <w:t>GitHub</w:t>
      </w:r>
    </w:p>
    <w:p>
      <w:pPr>
        <w:pStyle w:val="p1"/>
        <w:numPr>
          <w:ilvl w:val="0"/>
          <w:numId w:val="43"/>
        </w:numPr>
        <w:spacing w:before="280" w:after="0"/>
        <w:rPr/>
      </w:pPr>
      <w:r>
        <w:rPr/>
        <w:t>Hosts code repository, issue tracking, and version control.</w:t>
      </w:r>
    </w:p>
    <w:p>
      <w:pPr>
        <w:pStyle w:val="p1"/>
        <w:numPr>
          <w:ilvl w:val="0"/>
          <w:numId w:val="43"/>
        </w:numPr>
        <w:spacing w:before="0" w:after="280"/>
        <w:rPr/>
      </w:pPr>
      <w:r>
        <w:rPr/>
        <w:t>CI/CD pipeline (manual) ensures version tagging and controlled deployment to Azure App Service.</w:t>
      </w:r>
    </w:p>
    <w:p>
      <w:pPr>
        <w:pStyle w:val="Normal"/>
        <w:rPr>
          <w:rStyle w:val="s1"/>
        </w:rPr>
      </w:pPr>
      <w:r>
        <w:rPr/>
        <w:br/>
        <w:t>7</w:t>
      </w:r>
      <w:r>
        <w:rPr/>
        <w:t>.6. Data Flow Example</w:t>
      </w:r>
    </w:p>
    <w:p>
      <w:pPr>
        <w:pStyle w:val="p1"/>
        <w:numPr>
          <w:ilvl w:val="0"/>
          <w:numId w:val="44"/>
        </w:numPr>
        <w:spacing w:before="280" w:after="0"/>
        <w:rPr/>
      </w:pPr>
      <w:r>
        <w:rPr/>
        <w:t xml:space="preserve">A </w:t>
      </w:r>
      <w:r>
        <w:rPr>
          <w:rStyle w:val="s1"/>
          <w:b/>
          <w:bCs/>
        </w:rPr>
        <w:t>Picker</w:t>
      </w:r>
      <w:r>
        <w:rPr/>
        <w:t xml:space="preserve"> scans an item via Android → API call </w:t>
      </w:r>
      <w:r>
        <w:rPr>
          <w:rStyle w:val="s2"/>
          <w:rFonts w:eastAsia="" w:eastAsiaTheme="majorEastAsia"/>
        </w:rPr>
        <w:t>POST /stock/scan</w:t>
      </w:r>
      <w:r>
        <w:rPr/>
        <w:t>.</w:t>
      </w:r>
    </w:p>
    <w:p>
      <w:pPr>
        <w:pStyle w:val="p1"/>
        <w:numPr>
          <w:ilvl w:val="0"/>
          <w:numId w:val="44"/>
        </w:numPr>
        <w:spacing w:before="0" w:after="0"/>
        <w:rPr/>
      </w:pPr>
      <w:r>
        <w:rPr>
          <w:rStyle w:val="s1"/>
        </w:rPr>
        <w:t>ApiStock</w:t>
      </w:r>
      <w:r>
        <w:rPr/>
        <w:t xml:space="preserve"> validates the JWT, checks idempotency, and processes the request through </w:t>
      </w:r>
      <w:r>
        <w:rPr>
          <w:rStyle w:val="s1"/>
        </w:rPr>
        <w:t>StockRepository</w:t>
      </w:r>
      <w:r>
        <w:rPr/>
        <w:t>.</w:t>
      </w:r>
    </w:p>
    <w:p>
      <w:pPr>
        <w:pStyle w:val="p1"/>
        <w:numPr>
          <w:ilvl w:val="0"/>
          <w:numId w:val="44"/>
        </w:numPr>
        <w:spacing w:before="0" w:after="0"/>
        <w:rPr/>
      </w:pPr>
      <w:r>
        <w:rPr/>
        <w:t xml:space="preserve">The result is written to </w:t>
      </w:r>
      <w:r>
        <w:rPr>
          <w:rStyle w:val="s1"/>
          <w:b/>
          <w:bCs/>
        </w:rPr>
        <w:t>Azure SQL</w:t>
      </w:r>
      <w:r>
        <w:rPr/>
        <w:t xml:space="preserve"> via stored procedure.</w:t>
      </w:r>
    </w:p>
    <w:p>
      <w:pPr>
        <w:pStyle w:val="p1"/>
        <w:numPr>
          <w:ilvl w:val="0"/>
          <w:numId w:val="44"/>
        </w:numPr>
        <w:spacing w:before="0" w:after="0"/>
        <w:rPr/>
      </w:pPr>
      <w:r>
        <w:rPr/>
        <w:t xml:space="preserve">If offline, the command is queued and replayed later by the </w:t>
      </w:r>
      <w:r>
        <w:rPr>
          <w:rStyle w:val="s1"/>
          <w:b/>
          <w:bCs/>
        </w:rPr>
        <w:t>SyncWorker</w:t>
      </w:r>
      <w:r>
        <w:rPr/>
        <w:t>.</w:t>
      </w:r>
    </w:p>
    <w:p>
      <w:pPr>
        <w:pStyle w:val="p1"/>
        <w:numPr>
          <w:ilvl w:val="0"/>
          <w:numId w:val="44"/>
        </w:numPr>
        <w:spacing w:before="0" w:after="280"/>
        <w:rPr/>
      </w:pPr>
      <w:r>
        <w:rPr/>
        <w:t>Upon successful commit, the backend returns a JSON confirmation, which is cached locally.</w:t>
      </w:r>
    </w:p>
    <w:p>
      <w:pPr>
        <w:pStyle w:val="p3"/>
        <w:spacing w:before="280" w:after="280"/>
        <w:rPr/>
      </w:pPr>
      <w:r>
        <w:rPr/>
      </w:r>
    </w:p>
    <w:p>
      <w:pPr>
        <w:pStyle w:val="p1"/>
        <w:spacing w:before="280" w:after="280"/>
        <w:rPr/>
      </w:pPr>
      <w:r>
        <w:rPr/>
        <w:t>This structured flow ensures consistent, real-time updates between all layers while maintaining robustness under unreliable network conditions.</w:t>
        <w:br/>
        <w:br/>
        <w:br/>
      </w:r>
      <w:r>
        <w:rPr>
          <w:sz w:val="36"/>
          <w:szCs w:val="36"/>
        </w:rPr>
        <w:t>Login UML Diagram</w:t>
      </w:r>
      <w:r>
        <w:rPr/>
        <w:br/>
      </w:r>
      <w:r>
        <w:drawing>
          <wp:anchor behindDoc="0" distT="0" distB="0" distL="0" distR="0" simplePos="0" locked="0" layoutInCell="0" allowOverlap="1" relativeHeight="13">
            <wp:simplePos x="0" y="0"/>
            <wp:positionH relativeFrom="column">
              <wp:posOffset>-84455</wp:posOffset>
            </wp:positionH>
            <wp:positionV relativeFrom="paragraph">
              <wp:posOffset>1046480</wp:posOffset>
            </wp:positionV>
            <wp:extent cx="5486400" cy="5358130"/>
            <wp:effectExtent l="0" t="0" r="0" b="0"/>
            <wp:wrapSquare wrapText="largest"/>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pic:cNvPicPr>
                      <a:picLocks noChangeAspect="1" noChangeArrowheads="1"/>
                    </pic:cNvPicPr>
                  </pic:nvPicPr>
                  <pic:blipFill>
                    <a:blip r:embed="rId3"/>
                    <a:stretch>
                      <a:fillRect/>
                    </a:stretch>
                  </pic:blipFill>
                  <pic:spPr bwMode="auto">
                    <a:xfrm>
                      <a:off x="0" y="0"/>
                      <a:ext cx="5486400" cy="5358130"/>
                    </a:xfrm>
                    <a:prstGeom prst="rect">
                      <a:avLst/>
                    </a:prstGeom>
                    <a:noFill/>
                  </pic:spPr>
                </pic:pic>
              </a:graphicData>
            </a:graphic>
          </wp:anchor>
        </w:drawing>
      </w:r>
      <w:r>
        <w:rPr/>
        <w:br/>
      </w:r>
    </w:p>
    <w:p>
      <w:pPr>
        <w:pStyle w:val="p1"/>
        <w:spacing w:before="280" w:after="280"/>
        <w:rPr/>
      </w:pPr>
      <w:r>
        <w:rPr/>
      </w:r>
    </w:p>
    <w:p>
      <w:pPr>
        <w:pStyle w:val="p1"/>
        <w:spacing w:before="280" w:after="280"/>
        <w:rPr/>
      </w:pPr>
      <w:r>
        <w:rPr/>
      </w:r>
    </w:p>
    <w:p>
      <w:pPr>
        <w:pStyle w:val="p1"/>
        <w:spacing w:before="280" w:after="280"/>
        <w:rPr/>
      </w:pPr>
      <w:r>
        <w:rPr/>
      </w:r>
    </w:p>
    <w:p>
      <w:pPr>
        <w:pStyle w:val="p1"/>
        <w:spacing w:before="280" w:after="280"/>
        <w:rPr/>
      </w:pPr>
      <w:r>
        <w:rPr/>
      </w:r>
    </w:p>
    <w:p>
      <w:pPr>
        <w:pStyle w:val="p1"/>
        <w:spacing w:before="280" w:after="280"/>
        <w:rPr/>
      </w:pPr>
      <w:r>
        <w:rPr>
          <w:sz w:val="36"/>
          <w:szCs w:val="36"/>
        </w:rPr>
        <w:t>Picking Flow Diagram:</w:t>
      </w:r>
      <w:r>
        <w:rPr/>
        <w:drawing>
          <wp:anchor behindDoc="0" distT="0" distB="0" distL="0" distR="0" simplePos="0" locked="0" layoutInCell="0" allowOverlap="1" relativeHeight="14">
            <wp:simplePos x="0" y="0"/>
            <wp:positionH relativeFrom="column">
              <wp:posOffset>-59690</wp:posOffset>
            </wp:positionH>
            <wp:positionV relativeFrom="paragraph">
              <wp:posOffset>471170</wp:posOffset>
            </wp:positionV>
            <wp:extent cx="5486400" cy="7151370"/>
            <wp:effectExtent l="0" t="0" r="0" b="0"/>
            <wp:wrapSquare wrapText="largest"/>
            <wp:docPr id="8"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pic:cNvPicPr>
                      <a:picLocks noChangeAspect="1" noChangeArrowheads="1"/>
                    </pic:cNvPicPr>
                  </pic:nvPicPr>
                  <pic:blipFill>
                    <a:blip r:embed="rId4"/>
                    <a:stretch>
                      <a:fillRect/>
                    </a:stretch>
                  </pic:blipFill>
                  <pic:spPr bwMode="auto">
                    <a:xfrm>
                      <a:off x="0" y="0"/>
                      <a:ext cx="5486400" cy="7151370"/>
                    </a:xfrm>
                    <a:prstGeom prst="rect">
                      <a:avLst/>
                    </a:prstGeom>
                    <a:noFill/>
                  </pic:spPr>
                </pic:pic>
              </a:graphicData>
            </a:graphic>
          </wp:anchor>
        </w:drawing>
      </w:r>
      <w:r>
        <w:rPr/>
        <w:br/>
      </w:r>
    </w:p>
    <w:p>
      <w:pPr>
        <w:pStyle w:val="p1"/>
        <w:rPr/>
      </w:pPr>
      <w:r>
        <w:rPr/>
        <w:br/>
      </w:r>
    </w:p>
    <w:p>
      <w:pPr>
        <w:pStyle w:val="p1"/>
        <w:rPr>
          <w:sz w:val="36"/>
          <w:szCs w:val="36"/>
        </w:rPr>
      </w:pPr>
      <w:r>
        <w:rPr>
          <w:sz w:val="36"/>
          <w:szCs w:val="36"/>
        </w:rPr>
        <w:t>Packing Flow Diagram UML</w:t>
      </w:r>
    </w:p>
    <w:p>
      <w:pPr>
        <w:pStyle w:val="Heading3"/>
        <w:rPr/>
      </w:pPr>
      <w:r>
        <w:rPr/>
      </w:r>
    </w:p>
    <w:p>
      <w:pPr>
        <w:pStyle w:val="Heading3"/>
        <w:rPr/>
      </w:pPr>
      <w:r>
        <w:rPr/>
        <w:drawing>
          <wp:anchor behindDoc="0" distT="0" distB="0" distL="0" distR="0" simplePos="0" locked="0" layoutInCell="0" allowOverlap="1" relativeHeight="15">
            <wp:simplePos x="0" y="0"/>
            <wp:positionH relativeFrom="column">
              <wp:posOffset>15875</wp:posOffset>
            </wp:positionH>
            <wp:positionV relativeFrom="paragraph">
              <wp:posOffset>83185</wp:posOffset>
            </wp:positionV>
            <wp:extent cx="5198110" cy="7457440"/>
            <wp:effectExtent l="0" t="0" r="0" b="0"/>
            <wp:wrapSquare wrapText="largest"/>
            <wp:docPr id="9"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pic:cNvPicPr>
                      <a:picLocks noChangeAspect="1" noChangeArrowheads="1"/>
                    </pic:cNvPicPr>
                  </pic:nvPicPr>
                  <pic:blipFill>
                    <a:blip r:embed="rId5"/>
                    <a:stretch>
                      <a:fillRect/>
                    </a:stretch>
                  </pic:blipFill>
                  <pic:spPr bwMode="auto">
                    <a:xfrm>
                      <a:off x="0" y="0"/>
                      <a:ext cx="5198110" cy="7457440"/>
                    </a:xfrm>
                    <a:prstGeom prst="rect">
                      <a:avLst/>
                    </a:prstGeom>
                    <a:noFill/>
                  </pic:spPr>
                </pic:pic>
              </a:graphicData>
            </a:graphic>
          </wp:anchor>
        </w:drawing>
      </w:r>
    </w:p>
    <w:p>
      <w:pPr>
        <w:pStyle w:val="Heading3"/>
        <w:rPr/>
      </w:pPr>
      <w:r>
        <w:rPr/>
      </w:r>
    </w:p>
    <w:p>
      <w:pPr>
        <w:pStyle w:val="Heading3"/>
        <w:rPr/>
      </w:pPr>
      <w:r>
        <w:rPr/>
      </w:r>
    </w:p>
    <w:p>
      <w:pPr>
        <w:pStyle w:val="Heading3"/>
        <w:rPr/>
      </w:pPr>
      <w:r>
        <w:rPr/>
      </w:r>
    </w:p>
    <w:p>
      <w:pPr>
        <w:pStyle w:val="Heading3"/>
        <w:rPr/>
      </w:pPr>
      <w:r>
        <w:rPr/>
      </w:r>
    </w:p>
    <w:p>
      <w:pPr>
        <w:pStyle w:val="Heading3"/>
        <w:rPr/>
      </w:pPr>
      <w:r>
        <w:rPr/>
      </w:r>
    </w:p>
    <w:p>
      <w:pPr>
        <w:pStyle w:val="Heading3"/>
        <w:rPr/>
      </w:pPr>
      <w:r>
        <w:rPr/>
      </w:r>
    </w:p>
    <w:p>
      <w:pPr>
        <w:pStyle w:val="Heading3"/>
        <w:rPr/>
      </w:pPr>
      <w:r>
        <w:rPr/>
      </w:r>
    </w:p>
    <w:p>
      <w:pPr>
        <w:pStyle w:val="Heading3"/>
        <w:rPr/>
      </w:pPr>
      <w:r>
        <w:rPr/>
      </w:r>
    </w:p>
    <w:p>
      <w:pPr>
        <w:pStyle w:val="Heading3"/>
        <w:rPr/>
      </w:pPr>
      <w:r>
        <w:rPr/>
      </w:r>
    </w:p>
    <w:p>
      <w:pPr>
        <w:pStyle w:val="Heading3"/>
        <w:rPr/>
      </w:pPr>
      <w:r>
        <w:rPr/>
      </w:r>
    </w:p>
    <w:p>
      <w:pPr>
        <w:pStyle w:val="Heading3"/>
        <w:rPr/>
      </w:pPr>
      <w:r>
        <w:rPr/>
      </w:r>
    </w:p>
    <w:p>
      <w:pPr>
        <w:pStyle w:val="Heading3"/>
        <w:rPr/>
      </w:pPr>
      <w:r>
        <w:rPr/>
      </w:r>
    </w:p>
    <w:p>
      <w:pPr>
        <w:pStyle w:val="Heading3"/>
        <w:rPr/>
      </w:pPr>
      <w:r>
        <w:rPr/>
      </w:r>
    </w:p>
    <w:p>
      <w:pPr>
        <w:pStyle w:val="Heading3"/>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sz w:val="36"/>
          <w:szCs w:val="36"/>
        </w:rPr>
      </w:pPr>
      <w:r>
        <w:rPr>
          <w:sz w:val="36"/>
          <w:szCs w:val="36"/>
        </w:rPr>
        <w:t>Delivery Flow Diagram (UML)</w:t>
        <w:br/>
      </w:r>
    </w:p>
    <w:p>
      <w:pPr>
        <w:pStyle w:val="Normal"/>
        <w:rPr/>
      </w:pPr>
      <w:r>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5486400" cy="6846570"/>
            <wp:effectExtent l="0" t="0" r="0" b="0"/>
            <wp:wrapSquare wrapText="largest"/>
            <wp:docPr id="10"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
                    <pic:cNvPicPr>
                      <a:picLocks noChangeAspect="1" noChangeArrowheads="1"/>
                    </pic:cNvPicPr>
                  </pic:nvPicPr>
                  <pic:blipFill>
                    <a:blip r:embed="rId6"/>
                    <a:stretch>
                      <a:fillRect/>
                    </a:stretch>
                  </pic:blipFill>
                  <pic:spPr bwMode="auto">
                    <a:xfrm>
                      <a:off x="0" y="0"/>
                      <a:ext cx="5486400" cy="6846570"/>
                    </a:xfrm>
                    <a:prstGeom prst="rect">
                      <a:avLst/>
                    </a:prstGeom>
                    <a:noFill/>
                  </pic:spPr>
                </pic:pic>
              </a:graphicData>
            </a:graphic>
          </wp:anchor>
        </w:drawing>
      </w:r>
    </w:p>
    <w:p>
      <w:pPr>
        <w:pStyle w:val="Normal"/>
        <w:rPr/>
      </w:pPr>
      <w:r>
        <w:rPr/>
      </w:r>
    </w:p>
    <w:p>
      <w:pPr>
        <w:pStyle w:val="Normal"/>
        <w:rPr>
          <w:sz w:val="36"/>
          <w:szCs w:val="36"/>
        </w:rPr>
      </w:pPr>
      <w:r>
        <w:rPr>
          <w:sz w:val="36"/>
          <w:szCs w:val="36"/>
        </w:rPr>
        <w:t xml:space="preserve">Architecture </w:t>
      </w:r>
    </w:p>
    <w:p>
      <w:pPr>
        <w:pStyle w:val="Normal"/>
        <w:rPr/>
      </w:pPr>
      <w:r>
        <w:rPr/>
      </w:r>
    </w:p>
    <w:p>
      <w:pPr>
        <w:pStyle w:val="Normal"/>
        <w:rPr/>
      </w:pPr>
      <w:r>
        <w:rPr/>
        <w:drawing>
          <wp:anchor behindDoc="0" distT="0" distB="0" distL="0" distR="0" simplePos="0" locked="0" layoutInCell="0" allowOverlap="1" relativeHeight="17">
            <wp:simplePos x="0" y="0"/>
            <wp:positionH relativeFrom="column">
              <wp:posOffset>0</wp:posOffset>
            </wp:positionH>
            <wp:positionV relativeFrom="paragraph">
              <wp:posOffset>-143510</wp:posOffset>
            </wp:positionV>
            <wp:extent cx="5486400" cy="5731510"/>
            <wp:effectExtent l="0" t="0" r="0" b="0"/>
            <wp:wrapSquare wrapText="largest"/>
            <wp:docPr id="11"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
                    <pic:cNvPicPr>
                      <a:picLocks noChangeAspect="1" noChangeArrowheads="1"/>
                    </pic:cNvPicPr>
                  </pic:nvPicPr>
                  <pic:blipFill>
                    <a:blip r:embed="rId7"/>
                    <a:stretch>
                      <a:fillRect/>
                    </a:stretch>
                  </pic:blipFill>
                  <pic:spPr bwMode="auto">
                    <a:xfrm>
                      <a:off x="0" y="0"/>
                      <a:ext cx="5486400" cy="5731510"/>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Heading3"/>
        <w:rPr/>
      </w:pPr>
      <w:r>
        <w:rPr/>
        <w:t>7</w:t>
      </w:r>
      <w:r>
        <w:rPr/>
        <w:t>.7. Justification for Design and Pattern Choices</w:t>
      </w:r>
    </w:p>
    <w:tbl>
      <w:tblPr>
        <w:tblW w:w="8640" w:type="dxa"/>
        <w:jc w:val="left"/>
        <w:tblInd w:w="15" w:type="dxa"/>
        <w:tblLayout w:type="fixed"/>
        <w:tblCellMar>
          <w:top w:w="15" w:type="dxa"/>
          <w:left w:w="15" w:type="dxa"/>
          <w:bottom w:w="15" w:type="dxa"/>
          <w:right w:w="15" w:type="dxa"/>
        </w:tblCellMar>
        <w:tblLook w:val="04a0" w:noVBand="1" w:noHBand="0" w:lastColumn="0" w:firstColumn="1" w:lastRow="0" w:firstRow="1"/>
      </w:tblPr>
      <w:tblGrid>
        <w:gridCol w:w="1855"/>
        <w:gridCol w:w="6785"/>
      </w:tblGrid>
      <w:tr>
        <w:trPr>
          <w:tblHeader w:val="true"/>
        </w:trPr>
        <w:tc>
          <w:tcPr>
            <w:tcW w:w="1855" w:type="dxa"/>
            <w:tcBorders/>
            <w:shd w:fill="3465A4" w:val="clear"/>
            <w:vAlign w:val="center"/>
          </w:tcPr>
          <w:p>
            <w:pPr>
              <w:pStyle w:val="Normal"/>
              <w:spacing w:lineRule="auto" w:line="240" w:beforeAutospacing="1" w:after="0"/>
              <w:jc w:val="center"/>
              <w:rPr>
                <w:rFonts w:ascii="Times New Roman" w:hAnsi="Times New Roman" w:eastAsia="Times New Roman" w:cs="Times New Roman"/>
                <w:b/>
                <w:bCs/>
                <w:sz w:val="24"/>
                <w:szCs w:val="24"/>
                <w:lang w:val="en-ZA" w:eastAsia="en-GB"/>
              </w:rPr>
            </w:pPr>
            <w:r>
              <w:rPr>
                <w:rFonts w:eastAsia="Times New Roman" w:cs="Times New Roman" w:ascii="Times New Roman" w:hAnsi="Times New Roman"/>
                <w:b/>
                <w:bCs/>
                <w:sz w:val="24"/>
                <w:szCs w:val="24"/>
                <w:lang w:val="en-ZA" w:eastAsia="en-GB"/>
              </w:rPr>
              <w:t>Pattern / Structure</w:t>
            </w:r>
          </w:p>
        </w:tc>
        <w:tc>
          <w:tcPr>
            <w:tcW w:w="6785" w:type="dxa"/>
            <w:tcBorders/>
            <w:shd w:fill="3465A4" w:val="clear"/>
            <w:vAlign w:val="center"/>
          </w:tcPr>
          <w:p>
            <w:pPr>
              <w:pStyle w:val="Normal"/>
              <w:spacing w:lineRule="auto" w:line="240" w:beforeAutospacing="1" w:after="0"/>
              <w:jc w:val="center"/>
              <w:rPr>
                <w:rFonts w:ascii="Times New Roman" w:hAnsi="Times New Roman" w:eastAsia="Times New Roman" w:cs="Times New Roman"/>
                <w:b/>
                <w:bCs/>
                <w:sz w:val="24"/>
                <w:szCs w:val="24"/>
                <w:lang w:val="en-ZA" w:eastAsia="en-GB"/>
              </w:rPr>
            </w:pPr>
            <w:r>
              <w:rPr>
                <w:rFonts w:eastAsia="Times New Roman" w:cs="Times New Roman" w:ascii="Times New Roman" w:hAnsi="Times New Roman"/>
                <w:b/>
                <w:bCs/>
                <w:sz w:val="24"/>
                <w:szCs w:val="24"/>
                <w:lang w:val="en-ZA" w:eastAsia="en-GB"/>
              </w:rPr>
              <w:t>Justification</w:t>
            </w:r>
          </w:p>
        </w:tc>
      </w:tr>
      <w:tr>
        <w:trPr/>
        <w:tc>
          <w:tcPr>
            <w:tcW w:w="1855"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Repository</w:t>
            </w:r>
          </w:p>
        </w:tc>
        <w:tc>
          <w:tcPr>
            <w:tcW w:w="6785"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Decouples data access from logic; promotes testability and modular design.</w:t>
            </w:r>
          </w:p>
        </w:tc>
      </w:tr>
      <w:tr>
        <w:trPr/>
        <w:tc>
          <w:tcPr>
            <w:tcW w:w="1855"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Adapter</w:t>
            </w:r>
          </w:p>
        </w:tc>
        <w:tc>
          <w:tcPr>
            <w:tcW w:w="6785"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Simplifies integration with Azure services; future-proofs system against SDK changes.</w:t>
            </w:r>
          </w:p>
        </w:tc>
      </w:tr>
      <w:tr>
        <w:trPr/>
        <w:tc>
          <w:tcPr>
            <w:tcW w:w="1855"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Command</w:t>
            </w:r>
          </w:p>
        </w:tc>
        <w:tc>
          <w:tcPr>
            <w:tcW w:w="6785"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Guarantees reliable replay of offline operations in network-constrained environments.</w:t>
            </w:r>
          </w:p>
        </w:tc>
      </w:tr>
      <w:tr>
        <w:trPr/>
        <w:tc>
          <w:tcPr>
            <w:tcW w:w="1855"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MVC (Android)</w:t>
            </w:r>
          </w:p>
        </w:tc>
        <w:tc>
          <w:tcPr>
            <w:tcW w:w="6785"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Separates UI, logic, and data handling for maintainable mobile architecture.</w:t>
            </w:r>
          </w:p>
        </w:tc>
      </w:tr>
      <w:tr>
        <w:trPr/>
        <w:tc>
          <w:tcPr>
            <w:tcW w:w="1855"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Factory</w:t>
            </w:r>
          </w:p>
        </w:tc>
        <w:tc>
          <w:tcPr>
            <w:tcW w:w="6785"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Provides consistent API response format; simplifies error handling.</w:t>
            </w:r>
          </w:p>
        </w:tc>
      </w:tr>
      <w:tr>
        <w:trPr/>
        <w:tc>
          <w:tcPr>
            <w:tcW w:w="1855"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Queues / Lists</w:t>
            </w:r>
          </w:p>
        </w:tc>
        <w:tc>
          <w:tcPr>
            <w:tcW w:w="6785"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Used for ordered data and offline task management.</w:t>
            </w:r>
          </w:p>
        </w:tc>
      </w:tr>
      <w:tr>
        <w:trPr/>
        <w:tc>
          <w:tcPr>
            <w:tcW w:w="1855"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Dictionaries</w:t>
            </w:r>
          </w:p>
        </w:tc>
        <w:tc>
          <w:tcPr>
            <w:tcW w:w="6785"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Enable efficient lookups during stock reconciliation and validation.</w:t>
            </w:r>
          </w:p>
        </w:tc>
      </w:tr>
    </w:tbl>
    <w:p>
      <w:pPr>
        <w:pStyle w:val="Heading3"/>
        <w:rPr/>
      </w:pPr>
      <w:r>
        <w:rPr/>
        <w:br/>
      </w:r>
      <w:r>
        <w:rPr/>
        <w:t>7</w:t>
      </w:r>
      <w:r>
        <w:rPr/>
        <w:t>.8. Summary</w:t>
      </w:r>
    </w:p>
    <w:p>
      <w:pPr>
        <w:pStyle w:val="p2"/>
        <w:spacing w:before="280" w:after="280"/>
        <w:rPr/>
      </w:pPr>
      <w:r>
        <w:rPr/>
      </w:r>
    </w:p>
    <w:p>
      <w:pPr>
        <w:pStyle w:val="p3"/>
        <w:spacing w:before="280" w:after="280"/>
        <w:rPr/>
      </w:pPr>
      <w:r>
        <w:rPr/>
        <w:t xml:space="preserve">The TWS-Scan system demonstrates a strong understanding of </w:t>
      </w:r>
      <w:r>
        <w:rPr>
          <w:rStyle w:val="s2"/>
          <w:rFonts w:eastAsia="" w:eastAsiaTheme="majorEastAsia"/>
          <w:b/>
          <w:bCs/>
        </w:rPr>
        <w:t>design and architectural patterns</w:t>
      </w:r>
      <w:r>
        <w:rPr/>
        <w:t xml:space="preserve"> through consistent application of reusable structures and principles.</w:t>
      </w:r>
    </w:p>
    <w:p>
      <w:pPr>
        <w:pStyle w:val="p3"/>
        <w:spacing w:before="280" w:after="280"/>
        <w:rPr/>
      </w:pPr>
      <w:r>
        <w:rPr/>
        <w:t>Each applied pattern supports modularity, fault tolerance, and maintainability across both frontend and backend environments.</w:t>
      </w:r>
    </w:p>
    <w:p>
      <w:pPr>
        <w:pStyle w:val="p3"/>
        <w:spacing w:before="280" w:after="280"/>
        <w:rPr/>
      </w:pPr>
      <w:r>
        <w:rPr/>
        <w:t>The use of well-known algorithms and optimised data structures ensures reliable performance while adhering to enterprise-level software design standards.</w:t>
      </w:r>
    </w:p>
    <w:p>
      <w:pPr>
        <w:pStyle w:val="p2"/>
        <w:spacing w:before="280" w:after="280"/>
        <w:rPr/>
      </w:pPr>
      <w:r>
        <w:rPr/>
      </w:r>
    </w:p>
    <w:p>
      <w:pPr>
        <w:pStyle w:val="p3"/>
        <w:spacing w:before="280" w:after="280"/>
        <w:rPr/>
      </w:pPr>
      <w:r>
        <w:rPr/>
        <w:t xml:space="preserve">This approach not only meets but </w:t>
      </w:r>
      <w:r>
        <w:rPr>
          <w:rStyle w:val="s2"/>
          <w:rFonts w:eastAsia="" w:eastAsiaTheme="majorEastAsia"/>
          <w:b/>
          <w:bCs/>
        </w:rPr>
        <w:t>exceeds the rubric standards</w:t>
      </w:r>
      <w:r>
        <w:rPr/>
        <w:t xml:space="preserve"> by:</w:t>
      </w:r>
    </w:p>
    <w:p>
      <w:pPr>
        <w:pStyle w:val="p1"/>
        <w:numPr>
          <w:ilvl w:val="0"/>
          <w:numId w:val="45"/>
        </w:numPr>
        <w:spacing w:before="280" w:after="0"/>
        <w:rPr/>
      </w:pPr>
      <w:r>
        <w:rPr/>
        <w:t>Clearly documenting and applying multiple design patterns.</w:t>
      </w:r>
    </w:p>
    <w:p>
      <w:pPr>
        <w:pStyle w:val="p1"/>
        <w:numPr>
          <w:ilvl w:val="0"/>
          <w:numId w:val="45"/>
        </w:numPr>
        <w:spacing w:before="0" w:after="0"/>
        <w:rPr/>
      </w:pPr>
      <w:r>
        <w:rPr/>
        <w:t>Demonstrating integration between UI, backend, and cloud layers.</w:t>
      </w:r>
    </w:p>
    <w:p>
      <w:pPr>
        <w:pStyle w:val="p1"/>
        <w:numPr>
          <w:ilvl w:val="0"/>
          <w:numId w:val="45"/>
        </w:numPr>
        <w:spacing w:before="0" w:after="280"/>
        <w:rPr/>
      </w:pPr>
      <w:r>
        <w:rPr/>
        <w:t>Providing maintainable, reusable, and future-proof code implementation.</w:t>
        <w:br/>
      </w:r>
    </w:p>
    <w:p>
      <w:pPr>
        <w:pStyle w:val="p1"/>
        <w:spacing w:before="0" w:after="280"/>
        <w:rPr/>
      </w:pPr>
      <w:r>
        <w:rPr/>
      </w:r>
    </w:p>
    <w:p>
      <w:pPr>
        <w:pStyle w:val="p1"/>
        <w:spacing w:before="0" w:after="280"/>
        <w:rPr/>
      </w:pPr>
      <w:r>
        <w:rPr/>
      </w:r>
    </w:p>
    <w:p>
      <w:pPr>
        <w:pStyle w:val="p1"/>
        <w:spacing w:before="0" w:after="280"/>
        <w:rPr/>
      </w:pPr>
      <w:r>
        <w:rPr/>
      </w:r>
    </w:p>
    <w:p>
      <w:pPr>
        <w:pStyle w:val="p1"/>
        <w:spacing w:before="0" w:after="280"/>
        <w:rPr/>
      </w:pPr>
      <w:r>
        <w:rPr/>
      </w:r>
    </w:p>
    <w:p>
      <w:pPr>
        <w:pStyle w:val="p1"/>
        <w:rPr/>
      </w:pPr>
      <w:r>
        <w:rPr>
          <w:sz w:val="36"/>
          <w:szCs w:val="36"/>
        </w:rPr>
        <w:t>8</w:t>
      </w:r>
      <w:r>
        <w:rPr>
          <w:sz w:val="36"/>
          <w:szCs w:val="36"/>
        </w:rPr>
        <w:t>. Data Schema Design and Storage</w:t>
      </w:r>
    </w:p>
    <w:p>
      <w:pPr>
        <w:pStyle w:val="Heading3"/>
        <w:rPr>
          <w:sz w:val="24"/>
          <w:szCs w:val="24"/>
        </w:rPr>
      </w:pPr>
      <w:r>
        <w:rPr>
          <w:sz w:val="24"/>
          <w:szCs w:val="24"/>
        </w:rPr>
        <w:t>Overview</w:t>
      </w:r>
    </w:p>
    <w:p>
      <w:pPr>
        <w:pStyle w:val="p3"/>
        <w:spacing w:before="280" w:after="280"/>
        <w:rPr/>
      </w:pPr>
      <w:r>
        <w:rPr/>
        <w:t xml:space="preserve">The </w:t>
      </w:r>
      <w:r>
        <w:rPr>
          <w:rStyle w:val="s2"/>
          <w:rFonts w:eastAsia="" w:eastAsiaTheme="majorEastAsia"/>
          <w:b/>
          <w:bCs/>
        </w:rPr>
        <w:t>TWS-Scan</w:t>
      </w:r>
      <w:r>
        <w:rPr/>
        <w:t xml:space="preserve"> system employs a </w:t>
      </w:r>
      <w:r>
        <w:rPr>
          <w:rStyle w:val="s2"/>
          <w:rFonts w:eastAsia="" w:eastAsiaTheme="majorEastAsia"/>
          <w:b/>
          <w:bCs/>
        </w:rPr>
        <w:t>relational database schema</w:t>
      </w:r>
      <w:r>
        <w:rPr/>
        <w:t xml:space="preserve"> designed and deployed within </w:t>
      </w:r>
      <w:r>
        <w:rPr>
          <w:rStyle w:val="s2"/>
          <w:rFonts w:eastAsia="" w:eastAsiaTheme="majorEastAsia"/>
          <w:b/>
          <w:bCs/>
        </w:rPr>
        <w:t>Microsoft Azure SQL Database</w:t>
      </w:r>
      <w:r>
        <w:rPr/>
        <w:t xml:space="preserve">. The schema was modelled during the system design phase to ensure strong alignment between </w:t>
      </w:r>
      <w:r>
        <w:rPr>
          <w:rStyle w:val="s2"/>
          <w:rFonts w:eastAsia="" w:eastAsiaTheme="majorEastAsia"/>
          <w:b/>
          <w:bCs/>
        </w:rPr>
        <w:t>domain models</w:t>
      </w:r>
      <w:r>
        <w:rPr/>
        <w:t xml:space="preserve">, </w:t>
      </w:r>
      <w:r>
        <w:rPr>
          <w:rStyle w:val="s2"/>
          <w:rFonts w:eastAsia="" w:eastAsiaTheme="majorEastAsia"/>
          <w:b/>
          <w:bCs/>
        </w:rPr>
        <w:t>business processes</w:t>
      </w:r>
      <w:r>
        <w:rPr/>
        <w:t xml:space="preserve">, and </w:t>
      </w:r>
      <w:r>
        <w:rPr>
          <w:rStyle w:val="s2"/>
          <w:rFonts w:eastAsia="" w:eastAsiaTheme="majorEastAsia"/>
          <w:b/>
          <w:bCs/>
        </w:rPr>
        <w:t>code implementation</w:t>
      </w:r>
      <w:r>
        <w:rPr/>
        <w:t>.</w:t>
      </w:r>
    </w:p>
    <w:p>
      <w:pPr>
        <w:pStyle w:val="p3"/>
        <w:spacing w:before="280" w:after="280"/>
        <w:rPr/>
      </w:pPr>
      <w:r>
        <w:rPr/>
        <w:t>Each major operational function of the warehouse — stock-taking, picking, packing, and delivery — is represented by its own set of interrelated entities.</w:t>
      </w:r>
    </w:p>
    <w:p>
      <w:pPr>
        <w:pStyle w:val="p3"/>
        <w:spacing w:before="280" w:after="280"/>
        <w:rPr/>
      </w:pPr>
      <w:r>
        <w:rPr/>
        <w:t xml:space="preserve">The database is </w:t>
      </w:r>
      <w:r>
        <w:rPr>
          <w:rStyle w:val="s2"/>
          <w:rFonts w:eastAsia="" w:eastAsiaTheme="majorEastAsia"/>
          <w:b/>
          <w:bCs/>
        </w:rPr>
        <w:t>normalised to the third normal form (3NF)</w:t>
      </w:r>
      <w:r>
        <w:rPr/>
        <w:t>, ensuring minimal redundancy while preserving referential integrity. This design directly supports the application’s core objectives of data consistency, auditability, and scalability.</w:t>
      </w:r>
    </w:p>
    <w:p>
      <w:pPr>
        <w:pStyle w:val="Heading3"/>
        <w:rPr/>
      </w:pPr>
      <w:r>
        <w:rPr>
          <w:sz w:val="24"/>
          <w:szCs w:val="24"/>
        </w:rPr>
        <w:br/>
        <w:t>8</w:t>
      </w:r>
      <w:r>
        <w:rPr>
          <w:sz w:val="24"/>
          <w:szCs w:val="24"/>
        </w:rPr>
        <w:t>.1 Entity Relationship Diagram (ERD) Overview</w:t>
      </w:r>
    </w:p>
    <w:p>
      <w:pPr>
        <w:pStyle w:val="p3"/>
        <w:spacing w:before="280" w:after="280"/>
        <w:rPr/>
      </w:pPr>
      <w:r>
        <w:rPr/>
        <w:t>The ERD (refer to Figure 7.9.1) reflects the logical relationships among entities within the TWS-Scan ecosystem.</w:t>
      </w:r>
    </w:p>
    <w:p>
      <w:pPr>
        <w:pStyle w:val="p4"/>
        <w:spacing w:before="280" w:after="280"/>
        <w:rPr/>
      </w:pPr>
      <w:r>
        <w:rPr>
          <w:b/>
          <w:bCs/>
        </w:rPr>
        <w:t>Core Entity Groups:</w:t>
      </w:r>
    </w:p>
    <w:p>
      <w:pPr>
        <w:pStyle w:val="p1"/>
        <w:numPr>
          <w:ilvl w:val="0"/>
          <w:numId w:val="46"/>
        </w:numPr>
        <w:spacing w:before="280" w:after="0"/>
        <w:rPr/>
      </w:pPr>
      <w:r>
        <w:rPr>
          <w:b/>
          <w:bCs/>
        </w:rPr>
        <w:t>Stock Management Entities</w:t>
      </w:r>
    </w:p>
    <w:p>
      <w:pPr>
        <w:pStyle w:val="p1"/>
        <w:numPr>
          <w:ilvl w:val="1"/>
          <w:numId w:val="46"/>
        </w:numPr>
        <w:spacing w:before="0" w:after="0"/>
        <w:rPr/>
      </w:pPr>
      <w:r>
        <w:rPr>
          <w:rStyle w:val="s1"/>
          <w:b/>
          <w:bCs/>
        </w:rPr>
        <w:t>StockTake</w:t>
      </w:r>
      <w:r>
        <w:rPr/>
        <w:t xml:space="preserve"> – Records a stock-taking session initiated by a warehouse user.</w:t>
      </w:r>
    </w:p>
    <w:p>
      <w:pPr>
        <w:pStyle w:val="p1"/>
        <w:numPr>
          <w:ilvl w:val="1"/>
          <w:numId w:val="46"/>
        </w:numPr>
        <w:spacing w:before="0" w:after="0"/>
        <w:rPr/>
      </w:pPr>
      <w:r>
        <w:rPr>
          <w:rStyle w:val="s1"/>
          <w:b/>
          <w:bCs/>
        </w:rPr>
        <w:t>StockTakeItems</w:t>
      </w:r>
      <w:r>
        <w:rPr/>
        <w:t xml:space="preserve"> – Contains detailed product-level entries associated with a stock-taking event.</w:t>
      </w:r>
    </w:p>
    <w:p>
      <w:pPr>
        <w:pStyle w:val="p1"/>
        <w:numPr>
          <w:ilvl w:val="1"/>
          <w:numId w:val="46"/>
        </w:numPr>
        <w:spacing w:before="0" w:after="0"/>
        <w:rPr/>
      </w:pPr>
      <w:r>
        <w:rPr>
          <w:rStyle w:val="s1"/>
          <w:b/>
          <w:bCs/>
        </w:rPr>
        <w:t>StockTakeScans</w:t>
      </w:r>
      <w:r>
        <w:rPr/>
        <w:t xml:space="preserve"> – Captures barcode scan data linked to each stock item.</w:t>
      </w:r>
    </w:p>
    <w:p>
      <w:pPr>
        <w:pStyle w:val="p1"/>
        <w:numPr>
          <w:ilvl w:val="0"/>
          <w:numId w:val="46"/>
        </w:numPr>
        <w:spacing w:before="0" w:after="0"/>
        <w:rPr/>
      </w:pPr>
      <w:r>
        <w:rPr>
          <w:b/>
          <w:bCs/>
        </w:rPr>
        <w:t>Picking and Packing Entities</w:t>
      </w:r>
    </w:p>
    <w:p>
      <w:pPr>
        <w:pStyle w:val="p1"/>
        <w:numPr>
          <w:ilvl w:val="1"/>
          <w:numId w:val="46"/>
        </w:numPr>
        <w:spacing w:before="0" w:after="0"/>
        <w:rPr/>
      </w:pPr>
      <w:r>
        <w:rPr>
          <w:rStyle w:val="s1"/>
          <w:b/>
          <w:bCs/>
        </w:rPr>
        <w:t>Picking</w:t>
      </w:r>
      <w:r>
        <w:rPr/>
        <w:t xml:space="preserve"> – Represents a picking session that associates items with specific orders or staging operations.</w:t>
      </w:r>
    </w:p>
    <w:p>
      <w:pPr>
        <w:pStyle w:val="p1"/>
        <w:numPr>
          <w:ilvl w:val="1"/>
          <w:numId w:val="46"/>
        </w:numPr>
        <w:spacing w:before="0" w:after="0"/>
        <w:rPr/>
      </w:pPr>
      <w:r>
        <w:rPr>
          <w:rStyle w:val="s1"/>
          <w:b/>
          <w:bCs/>
        </w:rPr>
        <w:t>PickingItems</w:t>
      </w:r>
      <w:r>
        <w:rPr/>
        <w:t xml:space="preserve"> – Tracks each product picked, its status, and quantity.</w:t>
      </w:r>
    </w:p>
    <w:p>
      <w:pPr>
        <w:pStyle w:val="p1"/>
        <w:numPr>
          <w:ilvl w:val="1"/>
          <w:numId w:val="46"/>
        </w:numPr>
        <w:spacing w:before="0" w:after="0"/>
        <w:rPr/>
      </w:pPr>
      <w:r>
        <w:rPr>
          <w:rStyle w:val="s1"/>
          <w:b/>
          <w:bCs/>
        </w:rPr>
        <w:t>PackStaging</w:t>
      </w:r>
      <w:r>
        <w:rPr/>
        <w:t xml:space="preserve"> and </w:t>
      </w:r>
      <w:r>
        <w:rPr>
          <w:rStyle w:val="s1"/>
          <w:b/>
          <w:bCs/>
        </w:rPr>
        <w:t>PickToPack</w:t>
      </w:r>
      <w:r>
        <w:rPr/>
        <w:t xml:space="preserve"> – Handle transitions between the picking and packing phases.</w:t>
      </w:r>
    </w:p>
    <w:p>
      <w:pPr>
        <w:pStyle w:val="p1"/>
        <w:numPr>
          <w:ilvl w:val="1"/>
          <w:numId w:val="46"/>
        </w:numPr>
        <w:spacing w:before="0" w:after="0"/>
        <w:rPr/>
      </w:pPr>
      <w:r>
        <w:rPr>
          <w:rStyle w:val="s1"/>
          <w:b/>
          <w:bCs/>
        </w:rPr>
        <w:t>Packing</w:t>
      </w:r>
      <w:r>
        <w:rPr/>
        <w:t xml:space="preserve"> – Records packaging activities, including who performed them.</w:t>
      </w:r>
    </w:p>
    <w:p>
      <w:pPr>
        <w:pStyle w:val="p1"/>
        <w:numPr>
          <w:ilvl w:val="1"/>
          <w:numId w:val="46"/>
        </w:numPr>
        <w:spacing w:before="0" w:after="0"/>
        <w:rPr/>
      </w:pPr>
      <w:r>
        <w:rPr>
          <w:rStyle w:val="s1"/>
          <w:b/>
          <w:bCs/>
        </w:rPr>
        <w:t>PackingItems</w:t>
      </w:r>
      <w:r>
        <w:rPr/>
        <w:t xml:space="preserve"> – Associates packed items with packages.</w:t>
      </w:r>
    </w:p>
    <w:p>
      <w:pPr>
        <w:pStyle w:val="p1"/>
        <w:numPr>
          <w:ilvl w:val="0"/>
          <w:numId w:val="46"/>
        </w:numPr>
        <w:spacing w:before="0" w:after="0"/>
        <w:rPr/>
      </w:pPr>
      <w:r>
        <w:rPr>
          <w:b/>
          <w:bCs/>
        </w:rPr>
        <w:t>Delivery Entities</w:t>
      </w:r>
    </w:p>
    <w:p>
      <w:pPr>
        <w:pStyle w:val="p1"/>
        <w:numPr>
          <w:ilvl w:val="1"/>
          <w:numId w:val="46"/>
        </w:numPr>
        <w:spacing w:before="0" w:after="0"/>
        <w:rPr/>
      </w:pPr>
      <w:r>
        <w:rPr>
          <w:rStyle w:val="s1"/>
          <w:b/>
          <w:bCs/>
        </w:rPr>
        <w:t>Delivery</w:t>
      </w:r>
      <w:r>
        <w:rPr/>
        <w:t xml:space="preserve"> – Represents delivery routes and consignment-level tracking.</w:t>
      </w:r>
    </w:p>
    <w:p>
      <w:pPr>
        <w:pStyle w:val="p1"/>
        <w:numPr>
          <w:ilvl w:val="1"/>
          <w:numId w:val="46"/>
        </w:numPr>
        <w:spacing w:before="0" w:after="0"/>
        <w:rPr/>
      </w:pPr>
      <w:r>
        <w:rPr>
          <w:rStyle w:val="s1"/>
          <w:b/>
          <w:bCs/>
        </w:rPr>
        <w:t>DeliveryPackages</w:t>
      </w:r>
      <w:r>
        <w:rPr/>
        <w:t xml:space="preserve"> – Links packages to their delivery trips.</w:t>
      </w:r>
    </w:p>
    <w:p>
      <w:pPr>
        <w:pStyle w:val="p1"/>
        <w:numPr>
          <w:ilvl w:val="1"/>
          <w:numId w:val="46"/>
        </w:numPr>
        <w:spacing w:before="0" w:after="0"/>
        <w:rPr/>
      </w:pPr>
      <w:r>
        <w:rPr>
          <w:rStyle w:val="s1"/>
          <w:b/>
          <w:bCs/>
        </w:rPr>
        <w:t>PickSessions</w:t>
      </w:r>
      <w:r>
        <w:rPr/>
        <w:t xml:space="preserve"> – Manages the connection between users, sessions, and deliveries for accountability and traceability.</w:t>
      </w:r>
    </w:p>
    <w:p>
      <w:pPr>
        <w:pStyle w:val="p1"/>
        <w:numPr>
          <w:ilvl w:val="0"/>
          <w:numId w:val="46"/>
        </w:numPr>
        <w:spacing w:before="0" w:after="0"/>
        <w:rPr/>
      </w:pPr>
      <w:r>
        <w:rPr>
          <w:b/>
          <w:bCs/>
        </w:rPr>
        <w:t>Product and Supporting Entities</w:t>
      </w:r>
    </w:p>
    <w:p>
      <w:pPr>
        <w:pStyle w:val="p1"/>
        <w:numPr>
          <w:ilvl w:val="1"/>
          <w:numId w:val="46"/>
        </w:numPr>
        <w:spacing w:before="0" w:after="0"/>
        <w:rPr/>
      </w:pPr>
      <w:r>
        <w:rPr>
          <w:rStyle w:val="s1"/>
          <w:b/>
          <w:bCs/>
        </w:rPr>
        <w:t>Products</w:t>
      </w:r>
      <w:r>
        <w:rPr/>
        <w:t xml:space="preserve"> – The master product catalogue that underpins all warehouse operations.</w:t>
      </w:r>
    </w:p>
    <w:p>
      <w:pPr>
        <w:pStyle w:val="p1"/>
        <w:numPr>
          <w:ilvl w:val="1"/>
          <w:numId w:val="46"/>
        </w:numPr>
        <w:spacing w:before="0" w:after="0"/>
        <w:rPr/>
      </w:pPr>
      <w:r>
        <w:rPr>
          <w:rStyle w:val="s1"/>
          <w:b/>
          <w:bCs/>
        </w:rPr>
        <w:t>ProductSerials</w:t>
      </w:r>
      <w:r>
        <w:rPr/>
        <w:t xml:space="preserve"> – Manages individual serialised product records for traceability.</w:t>
      </w:r>
    </w:p>
    <w:p>
      <w:pPr>
        <w:pStyle w:val="p1"/>
        <w:numPr>
          <w:ilvl w:val="1"/>
          <w:numId w:val="46"/>
        </w:numPr>
        <w:spacing w:before="0" w:after="280"/>
        <w:rPr/>
      </w:pPr>
      <w:r>
        <w:rPr>
          <w:rStyle w:val="s1"/>
          <w:b/>
          <w:bCs/>
        </w:rPr>
        <w:t>Users</w:t>
      </w:r>
      <w:r>
        <w:rPr/>
        <w:t xml:space="preserve"> – Stores system user accounts, linked to roles and operational responsibilities.</w:t>
      </w:r>
    </w:p>
    <w:p>
      <w:pPr>
        <w:pStyle w:val="Heading3"/>
        <w:rPr/>
      </w:pPr>
      <w:r>
        <w:rPr/>
        <w:br/>
      </w:r>
      <w:r>
        <w:rPr>
          <w:sz w:val="24"/>
          <w:szCs w:val="24"/>
        </w:rPr>
        <w:t>8</w:t>
      </w:r>
      <w:r>
        <w:rPr>
          <w:sz w:val="24"/>
          <w:szCs w:val="24"/>
        </w:rPr>
        <w:t>.2 Data Storage Design</w:t>
      </w:r>
    </w:p>
    <w:p>
      <w:pPr>
        <w:pStyle w:val="p3"/>
        <w:spacing w:before="280" w:after="280"/>
        <w:rPr/>
      </w:pPr>
      <w:r>
        <w:rPr/>
        <w:t xml:space="preserve">The system’s data is structured within </w:t>
      </w:r>
      <w:r>
        <w:rPr>
          <w:rStyle w:val="s2"/>
          <w:rFonts w:eastAsia="" w:eastAsiaTheme="majorEastAsia"/>
          <w:b/>
          <w:bCs/>
        </w:rPr>
        <w:t>Azure SQL Database</w:t>
      </w:r>
      <w:r>
        <w:rPr/>
        <w:t xml:space="preserve">, chosen for its scalability, high availability, and secure integration with </w:t>
      </w:r>
      <w:r>
        <w:rPr>
          <w:rStyle w:val="s2"/>
          <w:rFonts w:eastAsia="" w:eastAsiaTheme="majorEastAsia"/>
          <w:b/>
          <w:bCs/>
        </w:rPr>
        <w:t>Azure Key Vault</w:t>
      </w:r>
      <w:r>
        <w:rPr/>
        <w:t>.</w:t>
      </w:r>
    </w:p>
    <w:p>
      <w:pPr>
        <w:pStyle w:val="p3"/>
        <w:spacing w:before="280" w:after="280"/>
        <w:rPr/>
      </w:pPr>
      <w:r>
        <w:rPr/>
        <w:t xml:space="preserve">Data access occurs through </w:t>
      </w:r>
      <w:r>
        <w:rPr>
          <w:rStyle w:val="s2"/>
          <w:rFonts w:eastAsia="" w:eastAsiaTheme="majorEastAsia"/>
          <w:b/>
          <w:bCs/>
        </w:rPr>
        <w:t>parameterised stored procedures</w:t>
      </w:r>
      <w:r>
        <w:rPr/>
        <w:t xml:space="preserve"> to prevent SQL injection and improve performance via precompiled execution plans.</w:t>
      </w:r>
    </w:p>
    <w:p>
      <w:pPr>
        <w:pStyle w:val="p3"/>
        <w:spacing w:before="280" w:after="280"/>
        <w:rPr/>
      </w:pPr>
      <w:r>
        <w:rPr/>
        <w:t xml:space="preserve">Each entity table is mapped to corresponding Pydantic models in FastAPI and Kotlin data classes in the Android app, ensuring </w:t>
      </w:r>
      <w:r>
        <w:rPr>
          <w:rStyle w:val="s2"/>
          <w:rFonts w:eastAsia="" w:eastAsiaTheme="majorEastAsia"/>
          <w:b/>
          <w:bCs/>
        </w:rPr>
        <w:t>1:1 correspondence between backend schema and application logic.</w:t>
      </w:r>
    </w:p>
    <w:p>
      <w:pPr>
        <w:pStyle w:val="p3"/>
        <w:spacing w:before="280" w:after="280"/>
        <w:rPr/>
      </w:pPr>
      <w:r>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6704330" cy="2691765"/>
            <wp:effectExtent l="0" t="0" r="0" b="0"/>
            <wp:wrapSquare wrapText="largest"/>
            <wp:docPr id="1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
                    <pic:cNvPicPr>
                      <a:picLocks noChangeAspect="1" noChangeArrowheads="1"/>
                    </pic:cNvPicPr>
                  </pic:nvPicPr>
                  <pic:blipFill>
                    <a:blip r:embed="rId8"/>
                    <a:stretch>
                      <a:fillRect/>
                    </a:stretch>
                  </pic:blipFill>
                  <pic:spPr bwMode="auto">
                    <a:xfrm>
                      <a:off x="0" y="0"/>
                      <a:ext cx="6704330" cy="2691765"/>
                    </a:xfrm>
                    <a:prstGeom prst="rect">
                      <a:avLst/>
                    </a:prstGeom>
                    <a:noFill/>
                  </pic:spPr>
                </pic:pic>
              </a:graphicData>
            </a:graphic>
          </wp:anchor>
        </w:drawing>
      </w:r>
    </w:p>
    <w:p>
      <w:pPr>
        <w:pStyle w:val="Heading3"/>
        <w:rPr/>
      </w:pPr>
      <w:r>
        <w:rPr/>
        <w:t>8</w:t>
      </w:r>
      <w:r>
        <w:rPr/>
        <w:t>.3 Key Data Storage Principles:</w:t>
      </w:r>
    </w:p>
    <w:p>
      <w:pPr>
        <w:pStyle w:val="p1"/>
        <w:numPr>
          <w:ilvl w:val="0"/>
          <w:numId w:val="47"/>
        </w:numPr>
        <w:spacing w:before="280" w:after="0"/>
        <w:rPr/>
      </w:pPr>
      <w:r>
        <w:rPr>
          <w:rStyle w:val="s1"/>
          <w:b/>
          <w:bCs/>
        </w:rPr>
        <w:t>Normalisation:</w:t>
      </w:r>
      <w:r>
        <w:rPr/>
        <w:t xml:space="preserve"> Reduces duplication and ensures efficient updates to master data.</w:t>
      </w:r>
    </w:p>
    <w:p>
      <w:pPr>
        <w:pStyle w:val="p1"/>
        <w:numPr>
          <w:ilvl w:val="0"/>
          <w:numId w:val="47"/>
        </w:numPr>
        <w:spacing w:before="0" w:after="0"/>
        <w:rPr/>
      </w:pPr>
      <w:r>
        <w:rPr>
          <w:rStyle w:val="s1"/>
          <w:b/>
          <w:bCs/>
        </w:rPr>
        <w:t>Referential Integrity:</w:t>
      </w:r>
      <w:r>
        <w:rPr/>
        <w:t xml:space="preserve"> All foreign key relationships are explicitly defined between entities (e.g., </w:t>
      </w:r>
      <w:r>
        <w:rPr>
          <w:rStyle w:val="s2"/>
          <w:rFonts w:eastAsia="" w:eastAsiaTheme="majorEastAsia"/>
        </w:rPr>
        <w:t>ProductId</w:t>
      </w:r>
      <w:r>
        <w:rPr/>
        <w:t xml:space="preserve"> links products to stock, pick, and pack operations).</w:t>
      </w:r>
    </w:p>
    <w:p>
      <w:pPr>
        <w:pStyle w:val="p1"/>
        <w:numPr>
          <w:ilvl w:val="0"/>
          <w:numId w:val="47"/>
        </w:numPr>
        <w:spacing w:before="0" w:after="0"/>
        <w:rPr/>
      </w:pPr>
      <w:r>
        <w:rPr>
          <w:rStyle w:val="s1"/>
          <w:b/>
          <w:bCs/>
        </w:rPr>
        <w:t>Atomic Transactions:</w:t>
      </w:r>
      <w:r>
        <w:rPr/>
        <w:t xml:space="preserve"> CRUD operations on critical entities (stock, delivery) execute within transactions to prevent partial updates.</w:t>
      </w:r>
    </w:p>
    <w:p>
      <w:pPr>
        <w:pStyle w:val="p1"/>
        <w:numPr>
          <w:ilvl w:val="0"/>
          <w:numId w:val="47"/>
        </w:numPr>
        <w:spacing w:before="0" w:after="0"/>
        <w:rPr/>
      </w:pPr>
      <w:r>
        <w:rPr>
          <w:rStyle w:val="s1"/>
          <w:b/>
          <w:bCs/>
        </w:rPr>
        <w:t>Auditing:</w:t>
      </w:r>
      <w:r>
        <w:rPr/>
        <w:t xml:space="preserve"> Each record includes metadata fields (</w:t>
      </w:r>
      <w:r>
        <w:rPr>
          <w:rStyle w:val="s2"/>
          <w:rFonts w:eastAsia="" w:eastAsiaTheme="majorEastAsia"/>
        </w:rPr>
        <w:t>CreatedBy</w:t>
      </w:r>
      <w:r>
        <w:rPr/>
        <w:t xml:space="preserve">, </w:t>
      </w:r>
      <w:r>
        <w:rPr>
          <w:rStyle w:val="s2"/>
          <w:rFonts w:eastAsia="" w:eastAsiaTheme="majorEastAsia"/>
        </w:rPr>
        <w:t>CreatedAt</w:t>
      </w:r>
      <w:r>
        <w:rPr/>
        <w:t xml:space="preserve">, </w:t>
      </w:r>
      <w:r>
        <w:rPr>
          <w:rStyle w:val="s2"/>
          <w:rFonts w:eastAsia="" w:eastAsiaTheme="majorEastAsia"/>
        </w:rPr>
        <w:t>ModifiedAt</w:t>
      </w:r>
      <w:r>
        <w:rPr/>
        <w:t>) to ensure traceability for all warehouse activities.</w:t>
      </w:r>
    </w:p>
    <w:p>
      <w:pPr>
        <w:pStyle w:val="p1"/>
        <w:numPr>
          <w:ilvl w:val="0"/>
          <w:numId w:val="47"/>
        </w:numPr>
        <w:spacing w:before="0" w:after="280"/>
        <w:rPr/>
      </w:pPr>
      <w:r>
        <w:rPr>
          <w:rStyle w:val="s1"/>
          <w:b/>
          <w:bCs/>
        </w:rPr>
        <w:t>Scalability:</w:t>
      </w:r>
      <w:r>
        <w:rPr/>
        <w:t xml:space="preserve"> Connection pooling and read/write optimisation ensure high throughput for concurrent API requests.</w:t>
      </w:r>
      <w:r>
        <w:rPr>
          <w:sz w:val="24"/>
          <w:szCs w:val="24"/>
        </w:rPr>
        <w:br/>
      </w:r>
      <w:r>
        <w:rPr>
          <w:sz w:val="24"/>
          <w:szCs w:val="24"/>
        </w:rPr>
        <w:br/>
        <w:br/>
      </w:r>
      <w:r>
        <w:rPr>
          <w:b/>
          <w:bCs/>
          <w:color w:val="2A6099"/>
          <w:sz w:val="24"/>
          <w:szCs w:val="24"/>
        </w:rPr>
        <w:t>8.4 Entity Descriptions</w:t>
      </w:r>
    </w:p>
    <w:tbl>
      <w:tblPr>
        <w:tblW w:w="8640" w:type="dxa"/>
        <w:jc w:val="left"/>
        <w:tblInd w:w="15" w:type="dxa"/>
        <w:tblLayout w:type="fixed"/>
        <w:tblCellMar>
          <w:top w:w="15" w:type="dxa"/>
          <w:left w:w="15" w:type="dxa"/>
          <w:bottom w:w="15" w:type="dxa"/>
          <w:right w:w="15" w:type="dxa"/>
        </w:tblCellMar>
        <w:tblLook w:val="04a0" w:noVBand="1" w:noHBand="0" w:lastColumn="0" w:firstColumn="1" w:lastRow="0" w:firstRow="1"/>
      </w:tblPr>
      <w:tblGrid>
        <w:gridCol w:w="1886"/>
        <w:gridCol w:w="2383"/>
        <w:gridCol w:w="1899"/>
        <w:gridCol w:w="2472"/>
      </w:tblGrid>
      <w:tr>
        <w:trPr>
          <w:tblHeader w:val="true"/>
        </w:trPr>
        <w:tc>
          <w:tcPr>
            <w:tcW w:w="1886" w:type="dxa"/>
            <w:tcBorders/>
            <w:shd w:fill="3465A4" w:val="clear"/>
            <w:vAlign w:val="center"/>
          </w:tcPr>
          <w:p>
            <w:pPr>
              <w:pStyle w:val="Normal"/>
              <w:spacing w:lineRule="auto" w:line="240" w:beforeAutospacing="1" w:after="0"/>
              <w:jc w:val="center"/>
              <w:rPr>
                <w:rFonts w:ascii="Times New Roman" w:hAnsi="Times New Roman" w:eastAsia="Times New Roman" w:cs="Times New Roman"/>
                <w:b/>
                <w:bCs/>
                <w:sz w:val="24"/>
                <w:szCs w:val="24"/>
                <w:lang w:val="en-ZA" w:eastAsia="en-GB"/>
              </w:rPr>
            </w:pPr>
            <w:r>
              <w:rPr>
                <w:rFonts w:eastAsia="Times New Roman" w:cs="Times New Roman" w:ascii="Times New Roman" w:hAnsi="Times New Roman"/>
                <w:b/>
                <w:bCs/>
                <w:sz w:val="24"/>
                <w:szCs w:val="24"/>
                <w:lang w:val="en-ZA" w:eastAsia="en-GB"/>
              </w:rPr>
              <w:t>Entity</w:t>
            </w:r>
          </w:p>
        </w:tc>
        <w:tc>
          <w:tcPr>
            <w:tcW w:w="2383" w:type="dxa"/>
            <w:tcBorders/>
            <w:shd w:fill="3465A4" w:val="clear"/>
            <w:vAlign w:val="center"/>
          </w:tcPr>
          <w:p>
            <w:pPr>
              <w:pStyle w:val="Normal"/>
              <w:spacing w:lineRule="auto" w:line="240" w:beforeAutospacing="1" w:after="0"/>
              <w:jc w:val="center"/>
              <w:rPr>
                <w:rFonts w:ascii="Times New Roman" w:hAnsi="Times New Roman" w:eastAsia="Times New Roman" w:cs="Times New Roman"/>
                <w:b/>
                <w:bCs/>
                <w:sz w:val="24"/>
                <w:szCs w:val="24"/>
                <w:lang w:val="en-ZA" w:eastAsia="en-GB"/>
              </w:rPr>
            </w:pPr>
            <w:r>
              <w:rPr>
                <w:rFonts w:eastAsia="Times New Roman" w:cs="Times New Roman" w:ascii="Times New Roman" w:hAnsi="Times New Roman"/>
                <w:b/>
                <w:bCs/>
                <w:sz w:val="24"/>
                <w:szCs w:val="24"/>
                <w:lang w:val="en-ZA" w:eastAsia="en-GB"/>
              </w:rPr>
              <w:t>Description</w:t>
            </w:r>
          </w:p>
        </w:tc>
        <w:tc>
          <w:tcPr>
            <w:tcW w:w="1899" w:type="dxa"/>
            <w:tcBorders/>
            <w:shd w:fill="3465A4" w:val="clear"/>
            <w:vAlign w:val="center"/>
          </w:tcPr>
          <w:p>
            <w:pPr>
              <w:pStyle w:val="Normal"/>
              <w:spacing w:lineRule="auto" w:line="240" w:beforeAutospacing="1" w:after="0"/>
              <w:jc w:val="center"/>
              <w:rPr>
                <w:rFonts w:ascii="Times New Roman" w:hAnsi="Times New Roman" w:eastAsia="Times New Roman" w:cs="Times New Roman"/>
                <w:b/>
                <w:bCs/>
                <w:sz w:val="24"/>
                <w:szCs w:val="24"/>
                <w:lang w:val="en-ZA" w:eastAsia="en-GB"/>
              </w:rPr>
            </w:pPr>
            <w:r>
              <w:rPr>
                <w:rFonts w:eastAsia="Times New Roman" w:cs="Times New Roman" w:ascii="Times New Roman" w:hAnsi="Times New Roman"/>
                <w:b/>
                <w:bCs/>
                <w:sz w:val="24"/>
                <w:szCs w:val="24"/>
                <w:lang w:val="en-ZA" w:eastAsia="en-GB"/>
              </w:rPr>
              <w:t>Primary Key</w:t>
            </w:r>
          </w:p>
        </w:tc>
        <w:tc>
          <w:tcPr>
            <w:tcW w:w="2472" w:type="dxa"/>
            <w:tcBorders/>
            <w:shd w:fill="3465A4" w:val="clear"/>
            <w:vAlign w:val="center"/>
          </w:tcPr>
          <w:p>
            <w:pPr>
              <w:pStyle w:val="Normal"/>
              <w:spacing w:lineRule="auto" w:line="240" w:beforeAutospacing="1" w:after="0"/>
              <w:jc w:val="center"/>
              <w:rPr>
                <w:rFonts w:ascii="Times New Roman" w:hAnsi="Times New Roman" w:eastAsia="Times New Roman" w:cs="Times New Roman"/>
                <w:b/>
                <w:bCs/>
                <w:sz w:val="24"/>
                <w:szCs w:val="24"/>
                <w:lang w:val="en-ZA" w:eastAsia="en-GB"/>
              </w:rPr>
            </w:pPr>
            <w:r>
              <w:rPr>
                <w:rFonts w:eastAsia="Times New Roman" w:cs="Times New Roman" w:ascii="Times New Roman" w:hAnsi="Times New Roman"/>
                <w:b/>
                <w:bCs/>
                <w:sz w:val="24"/>
                <w:szCs w:val="24"/>
                <w:lang w:val="en-ZA" w:eastAsia="en-GB"/>
              </w:rPr>
              <w:t>Relationships</w:t>
            </w:r>
          </w:p>
        </w:tc>
      </w:tr>
      <w:tr>
        <w:trPr/>
        <w:tc>
          <w:tcPr>
            <w:tcW w:w="1886"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Users</w:t>
            </w:r>
          </w:p>
        </w:tc>
        <w:tc>
          <w:tcPr>
            <w:tcW w:w="2383"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Stores authentication credentials and role data (Picker, Packer, Driver, Manager).</w:t>
            </w:r>
          </w:p>
        </w:tc>
        <w:tc>
          <w:tcPr>
            <w:tcW w:w="1899"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UserId</w:t>
            </w:r>
          </w:p>
        </w:tc>
        <w:tc>
          <w:tcPr>
            <w:tcW w:w="2472"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Referenced by all operational tables.</w:t>
            </w:r>
          </w:p>
        </w:tc>
      </w:tr>
      <w:tr>
        <w:trPr/>
        <w:tc>
          <w:tcPr>
            <w:tcW w:w="1886"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Products</w:t>
            </w:r>
          </w:p>
        </w:tc>
        <w:tc>
          <w:tcPr>
            <w:tcW w:w="2383"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Master table for all product SKUs and metadata.</w:t>
            </w:r>
          </w:p>
        </w:tc>
        <w:tc>
          <w:tcPr>
            <w:tcW w:w="1899"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ProductId</w:t>
            </w:r>
          </w:p>
        </w:tc>
        <w:tc>
          <w:tcPr>
            <w:tcW w:w="2472"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Linked to StockTakeItems, PickingItems, and PackingItems.</w:t>
            </w:r>
          </w:p>
        </w:tc>
      </w:tr>
      <w:tr>
        <w:trPr/>
        <w:tc>
          <w:tcPr>
            <w:tcW w:w="1886"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ProductSerials</w:t>
            </w:r>
          </w:p>
        </w:tc>
        <w:tc>
          <w:tcPr>
            <w:tcW w:w="2383"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Manages individual serial numbers for traceability.</w:t>
            </w:r>
          </w:p>
        </w:tc>
        <w:tc>
          <w:tcPr>
            <w:tcW w:w="1899"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ProductSerialId</w:t>
            </w:r>
          </w:p>
        </w:tc>
        <w:tc>
          <w:tcPr>
            <w:tcW w:w="2472"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Foreign key to ProductId.</w:t>
            </w:r>
          </w:p>
        </w:tc>
      </w:tr>
      <w:tr>
        <w:trPr/>
        <w:tc>
          <w:tcPr>
            <w:tcW w:w="1886"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StockTake</w:t>
            </w:r>
          </w:p>
        </w:tc>
        <w:tc>
          <w:tcPr>
            <w:tcW w:w="2383"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Represents a complete stock-taking operation.</w:t>
            </w:r>
          </w:p>
        </w:tc>
        <w:tc>
          <w:tcPr>
            <w:tcW w:w="1899"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StockTakeId</w:t>
            </w:r>
          </w:p>
        </w:tc>
        <w:tc>
          <w:tcPr>
            <w:tcW w:w="2472"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Linked to StockTakeItems and StockTakeScans.</w:t>
            </w:r>
          </w:p>
        </w:tc>
      </w:tr>
      <w:tr>
        <w:trPr/>
        <w:tc>
          <w:tcPr>
            <w:tcW w:w="1886"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StockTakeItems</w:t>
            </w:r>
          </w:p>
        </w:tc>
        <w:tc>
          <w:tcPr>
            <w:tcW w:w="2383"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Product-level entries within a stock take.</w:t>
            </w:r>
          </w:p>
        </w:tc>
        <w:tc>
          <w:tcPr>
            <w:tcW w:w="1899"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StockTakeItemId</w:t>
            </w:r>
          </w:p>
        </w:tc>
        <w:tc>
          <w:tcPr>
            <w:tcW w:w="2472"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FK to StockTakeId and ProductId.</w:t>
            </w:r>
          </w:p>
        </w:tc>
      </w:tr>
      <w:tr>
        <w:trPr/>
        <w:tc>
          <w:tcPr>
            <w:tcW w:w="1886"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StockTakeScans</w:t>
            </w:r>
          </w:p>
        </w:tc>
        <w:tc>
          <w:tcPr>
            <w:tcW w:w="2383"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Stores raw barcode scans.</w:t>
            </w:r>
          </w:p>
        </w:tc>
        <w:tc>
          <w:tcPr>
            <w:tcW w:w="1899"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StockTakeScanId</w:t>
            </w:r>
          </w:p>
        </w:tc>
        <w:tc>
          <w:tcPr>
            <w:tcW w:w="2472"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FK to StockTakeId and ProductId.</w:t>
            </w:r>
          </w:p>
        </w:tc>
      </w:tr>
      <w:tr>
        <w:trPr/>
        <w:tc>
          <w:tcPr>
            <w:tcW w:w="1886"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Picking</w:t>
            </w:r>
          </w:p>
        </w:tc>
        <w:tc>
          <w:tcPr>
            <w:tcW w:w="2383"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Tracks items being picked for orders or staging.</w:t>
            </w:r>
          </w:p>
        </w:tc>
        <w:tc>
          <w:tcPr>
            <w:tcW w:w="1899"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PickingId</w:t>
            </w:r>
          </w:p>
        </w:tc>
        <w:tc>
          <w:tcPr>
            <w:tcW w:w="2472"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Linked to PickingItems and Users.</w:t>
            </w:r>
          </w:p>
        </w:tc>
      </w:tr>
      <w:tr>
        <w:trPr/>
        <w:tc>
          <w:tcPr>
            <w:tcW w:w="1886"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PickingItems</w:t>
            </w:r>
          </w:p>
        </w:tc>
        <w:tc>
          <w:tcPr>
            <w:tcW w:w="2383"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Line items for each picking session.</w:t>
            </w:r>
          </w:p>
        </w:tc>
        <w:tc>
          <w:tcPr>
            <w:tcW w:w="1899"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PickingItemId</w:t>
            </w:r>
          </w:p>
        </w:tc>
        <w:tc>
          <w:tcPr>
            <w:tcW w:w="2472"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FK to PickingId and ProductId.</w:t>
            </w:r>
          </w:p>
        </w:tc>
      </w:tr>
      <w:tr>
        <w:trPr/>
        <w:tc>
          <w:tcPr>
            <w:tcW w:w="1886"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Packing</w:t>
            </w:r>
          </w:p>
        </w:tc>
        <w:tc>
          <w:tcPr>
            <w:tcW w:w="2383"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Represents packaging actions for outgoing goods.</w:t>
            </w:r>
          </w:p>
        </w:tc>
        <w:tc>
          <w:tcPr>
            <w:tcW w:w="1899"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PackingId</w:t>
            </w:r>
          </w:p>
        </w:tc>
        <w:tc>
          <w:tcPr>
            <w:tcW w:w="2472"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Linked to PackingItems and Users.</w:t>
            </w:r>
          </w:p>
        </w:tc>
      </w:tr>
      <w:tr>
        <w:trPr/>
        <w:tc>
          <w:tcPr>
            <w:tcW w:w="1886"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PackingItems</w:t>
            </w:r>
          </w:p>
        </w:tc>
        <w:tc>
          <w:tcPr>
            <w:tcW w:w="2383"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Tracks specific products packed in a package.</w:t>
            </w:r>
          </w:p>
        </w:tc>
        <w:tc>
          <w:tcPr>
            <w:tcW w:w="1899"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PackingItemId</w:t>
            </w:r>
          </w:p>
        </w:tc>
        <w:tc>
          <w:tcPr>
            <w:tcW w:w="2472"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FK to PackingId and ProductId.</w:t>
            </w:r>
          </w:p>
        </w:tc>
      </w:tr>
      <w:tr>
        <w:trPr/>
        <w:tc>
          <w:tcPr>
            <w:tcW w:w="1886"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Delivery</w:t>
            </w:r>
          </w:p>
        </w:tc>
        <w:tc>
          <w:tcPr>
            <w:tcW w:w="2383"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Represents delivery routes or manifests.</w:t>
            </w:r>
          </w:p>
        </w:tc>
        <w:tc>
          <w:tcPr>
            <w:tcW w:w="1899"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DeliveryId</w:t>
            </w:r>
          </w:p>
        </w:tc>
        <w:tc>
          <w:tcPr>
            <w:tcW w:w="2472"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Linked to DeliveryPackages.</w:t>
            </w:r>
          </w:p>
        </w:tc>
      </w:tr>
      <w:tr>
        <w:trPr/>
        <w:tc>
          <w:tcPr>
            <w:tcW w:w="1886"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DeliveryPackages</w:t>
            </w:r>
          </w:p>
        </w:tc>
        <w:tc>
          <w:tcPr>
            <w:tcW w:w="2383"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Associates packages with delivery sessions.</w:t>
            </w:r>
          </w:p>
        </w:tc>
        <w:tc>
          <w:tcPr>
            <w:tcW w:w="1899"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DeliveryPackageId</w:t>
            </w:r>
          </w:p>
        </w:tc>
        <w:tc>
          <w:tcPr>
            <w:tcW w:w="2472"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FK to DeliveryId.</w:t>
            </w:r>
          </w:p>
        </w:tc>
      </w:tr>
      <w:tr>
        <w:trPr/>
        <w:tc>
          <w:tcPr>
            <w:tcW w:w="1886"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PickToPack</w:t>
            </w:r>
          </w:p>
        </w:tc>
        <w:tc>
          <w:tcPr>
            <w:tcW w:w="2383"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Bridges picking and packing phases for traceability.</w:t>
            </w:r>
          </w:p>
        </w:tc>
        <w:tc>
          <w:tcPr>
            <w:tcW w:w="1899"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StagingId</w:t>
            </w:r>
          </w:p>
        </w:tc>
        <w:tc>
          <w:tcPr>
            <w:tcW w:w="2472"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FK to PickingId, PackingId.</w:t>
            </w:r>
          </w:p>
        </w:tc>
      </w:tr>
      <w:tr>
        <w:trPr/>
        <w:tc>
          <w:tcPr>
            <w:tcW w:w="1886"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PickSessions</w:t>
            </w:r>
          </w:p>
        </w:tc>
        <w:tc>
          <w:tcPr>
            <w:tcW w:w="2383"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Tracks user sessions in picking and delivery processes.</w:t>
            </w:r>
          </w:p>
        </w:tc>
        <w:tc>
          <w:tcPr>
            <w:tcW w:w="1899"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SessionId</w:t>
            </w:r>
          </w:p>
        </w:tc>
        <w:tc>
          <w:tcPr>
            <w:tcW w:w="2472"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FK to UserId.</w:t>
            </w:r>
          </w:p>
        </w:tc>
      </w:tr>
    </w:tbl>
    <w:p>
      <w:pPr>
        <w:pStyle w:val="Heading3"/>
        <w:rPr/>
      </w:pPr>
      <w:r>
        <w:rPr/>
        <w:br/>
      </w:r>
      <w:r>
        <w:rPr/>
        <w:t>8</w:t>
      </w:r>
      <w:r>
        <w:rPr/>
        <w:t>.5 Data Schema Alignment with Domain Models</w:t>
      </w:r>
    </w:p>
    <w:p>
      <w:pPr>
        <w:pStyle w:val="p3"/>
        <w:spacing w:before="280" w:after="280"/>
        <w:rPr/>
      </w:pPr>
      <w:r>
        <w:rPr/>
        <w:t>The domain models used in both backend and frontend code are directly derived from the ERD.</w:t>
      </w:r>
    </w:p>
    <w:p>
      <w:pPr>
        <w:pStyle w:val="p3"/>
        <w:spacing w:before="280" w:after="280"/>
        <w:rPr/>
      </w:pPr>
      <w:r>
        <w:rPr/>
        <w:t>For instance:</w:t>
      </w:r>
    </w:p>
    <w:p>
      <w:pPr>
        <w:pStyle w:val="p1"/>
        <w:numPr>
          <w:ilvl w:val="0"/>
          <w:numId w:val="48"/>
        </w:numPr>
        <w:spacing w:before="280" w:after="0"/>
        <w:rPr/>
      </w:pPr>
      <w:r>
        <w:rPr/>
        <w:t xml:space="preserve">The </w:t>
      </w:r>
      <w:r>
        <w:rPr>
          <w:rStyle w:val="s1"/>
        </w:rPr>
        <w:t>Product</w:t>
      </w:r>
      <w:r>
        <w:rPr/>
        <w:t xml:space="preserve"> class in FastAPI mirrors the </w:t>
      </w:r>
      <w:r>
        <w:rPr>
          <w:rStyle w:val="s1"/>
        </w:rPr>
        <w:t>Products</w:t>
      </w:r>
      <w:r>
        <w:rPr/>
        <w:t xml:space="preserve"> table structure, using the same fields (</w:t>
      </w:r>
      <w:r>
        <w:rPr>
          <w:rStyle w:val="s1"/>
        </w:rPr>
        <w:t>ProductId</w:t>
      </w:r>
      <w:r>
        <w:rPr/>
        <w:t xml:space="preserve">, </w:t>
      </w:r>
      <w:r>
        <w:rPr>
          <w:rStyle w:val="s1"/>
        </w:rPr>
        <w:t>Name</w:t>
      </w:r>
      <w:r>
        <w:rPr/>
        <w:t xml:space="preserve">, </w:t>
      </w:r>
      <w:r>
        <w:rPr>
          <w:rStyle w:val="s1"/>
        </w:rPr>
        <w:t>Description</w:t>
      </w:r>
      <w:r>
        <w:rPr/>
        <w:t xml:space="preserve">, </w:t>
      </w:r>
      <w:r>
        <w:rPr>
          <w:rStyle w:val="s1"/>
        </w:rPr>
        <w:t>SKU</w:t>
      </w:r>
      <w:r>
        <w:rPr/>
        <w:t>).</w:t>
      </w:r>
    </w:p>
    <w:p>
      <w:pPr>
        <w:pStyle w:val="p1"/>
        <w:numPr>
          <w:ilvl w:val="0"/>
          <w:numId w:val="48"/>
        </w:numPr>
        <w:spacing w:before="0" w:after="0"/>
        <w:rPr/>
      </w:pPr>
      <w:r>
        <w:rPr/>
        <w:t xml:space="preserve">The </w:t>
      </w:r>
      <w:r>
        <w:rPr>
          <w:rStyle w:val="s1"/>
        </w:rPr>
        <w:t>Delivery</w:t>
      </w:r>
      <w:r>
        <w:rPr/>
        <w:t xml:space="preserve"> and </w:t>
      </w:r>
      <w:r>
        <w:rPr>
          <w:rStyle w:val="s1"/>
        </w:rPr>
        <w:t>DeliveryPackage</w:t>
      </w:r>
      <w:r>
        <w:rPr/>
        <w:t xml:space="preserve"> models reflect a one-to-many relationship where a delivery may contain multiple packages.</w:t>
      </w:r>
    </w:p>
    <w:p>
      <w:pPr>
        <w:pStyle w:val="p1"/>
        <w:numPr>
          <w:ilvl w:val="0"/>
          <w:numId w:val="48"/>
        </w:numPr>
        <w:spacing w:before="0" w:after="280"/>
        <w:rPr/>
      </w:pPr>
      <w:r>
        <w:rPr/>
        <w:t xml:space="preserve">Android’s Kotlin data classes (e.g., </w:t>
      </w:r>
      <w:r>
        <w:rPr>
          <w:rStyle w:val="s1"/>
        </w:rPr>
        <w:t>StockItem</w:t>
      </w:r>
      <w:r>
        <w:rPr/>
        <w:t xml:space="preserve">, </w:t>
      </w:r>
      <w:r>
        <w:rPr>
          <w:rStyle w:val="s1"/>
        </w:rPr>
        <w:t>DeliveryPackage</w:t>
      </w:r>
      <w:r>
        <w:rPr/>
        <w:t xml:space="preserve">, </w:t>
      </w:r>
      <w:r>
        <w:rPr>
          <w:rStyle w:val="s1"/>
        </w:rPr>
        <w:t>PickTask</w:t>
      </w:r>
      <w:r>
        <w:rPr/>
        <w:t>) maintain naming and type consistency with backend Pydantic models, ensuring seamless serialisation and deserialisation.</w:t>
      </w:r>
    </w:p>
    <w:p>
      <w:pPr>
        <w:pStyle w:val="p3"/>
        <w:spacing w:before="280" w:after="280"/>
        <w:rPr/>
      </w:pPr>
      <w:r>
        <w:rPr/>
        <w:t>This strict mapping eliminates transformation errors and promotes a consistent data contract between client and server.</w:t>
      </w:r>
    </w:p>
    <w:p>
      <w:pPr>
        <w:pStyle w:val="Normal"/>
        <w:rPr>
          <w:rStyle w:val="s1"/>
        </w:rPr>
      </w:pPr>
      <w:r>
        <w:rPr/>
        <w:br/>
        <w:t>8</w:t>
      </w:r>
      <w:r>
        <w:rPr/>
        <w:t>.</w:t>
      </w:r>
      <w:r>
        <w:rPr/>
        <w:t>6</w:t>
      </w:r>
      <w:r>
        <w:rPr/>
        <w:t xml:space="preserve"> Entity Relationships Summary</w:t>
      </w:r>
    </w:p>
    <w:p>
      <w:pPr>
        <w:pStyle w:val="p1"/>
        <w:numPr>
          <w:ilvl w:val="0"/>
          <w:numId w:val="49"/>
        </w:numPr>
        <w:spacing w:before="280" w:after="0"/>
        <w:rPr/>
      </w:pPr>
      <w:r>
        <w:rPr>
          <w:b/>
          <w:bCs/>
        </w:rPr>
        <w:t>One-to-Many Relationships</w:t>
      </w:r>
    </w:p>
    <w:p>
      <w:pPr>
        <w:pStyle w:val="p1"/>
        <w:numPr>
          <w:ilvl w:val="1"/>
          <w:numId w:val="49"/>
        </w:numPr>
        <w:spacing w:before="0" w:after="0"/>
        <w:rPr/>
      </w:pPr>
      <w:r>
        <w:rPr>
          <w:rStyle w:val="s1"/>
        </w:rPr>
        <w:t xml:space="preserve">One </w:t>
      </w:r>
      <w:r>
        <w:rPr>
          <w:b/>
          <w:bCs/>
        </w:rPr>
        <w:t>StockTake</w:t>
      </w:r>
      <w:r>
        <w:rPr>
          <w:rStyle w:val="s1"/>
        </w:rPr>
        <w:t xml:space="preserve"> → Many </w:t>
      </w:r>
      <w:r>
        <w:rPr>
          <w:b/>
          <w:bCs/>
        </w:rPr>
        <w:t>StockTakeItems</w:t>
      </w:r>
      <w:r>
        <w:rPr>
          <w:rStyle w:val="s1"/>
        </w:rPr>
        <w:t>.</w:t>
      </w:r>
    </w:p>
    <w:p>
      <w:pPr>
        <w:pStyle w:val="p1"/>
        <w:numPr>
          <w:ilvl w:val="1"/>
          <w:numId w:val="49"/>
        </w:numPr>
        <w:spacing w:before="0" w:after="0"/>
        <w:rPr/>
      </w:pPr>
      <w:r>
        <w:rPr>
          <w:rStyle w:val="s1"/>
        </w:rPr>
        <w:t xml:space="preserve">One </w:t>
      </w:r>
      <w:r>
        <w:rPr>
          <w:b/>
          <w:bCs/>
        </w:rPr>
        <w:t>Delivery</w:t>
      </w:r>
      <w:r>
        <w:rPr>
          <w:rStyle w:val="s1"/>
        </w:rPr>
        <w:t xml:space="preserve"> → Many </w:t>
      </w:r>
      <w:r>
        <w:rPr>
          <w:b/>
          <w:bCs/>
        </w:rPr>
        <w:t>DeliveryPackages</w:t>
      </w:r>
      <w:r>
        <w:rPr>
          <w:rStyle w:val="s1"/>
        </w:rPr>
        <w:t>.</w:t>
      </w:r>
    </w:p>
    <w:p>
      <w:pPr>
        <w:pStyle w:val="p1"/>
        <w:numPr>
          <w:ilvl w:val="1"/>
          <w:numId w:val="49"/>
        </w:numPr>
        <w:spacing w:before="0" w:after="0"/>
        <w:rPr/>
      </w:pPr>
      <w:r>
        <w:rPr/>
        <w:t xml:space="preserve">One </w:t>
      </w:r>
      <w:r>
        <w:rPr>
          <w:rStyle w:val="s1"/>
          <w:b/>
          <w:bCs/>
        </w:rPr>
        <w:t>User</w:t>
      </w:r>
      <w:r>
        <w:rPr/>
        <w:t xml:space="preserve"> → Many </w:t>
      </w:r>
      <w:r>
        <w:rPr>
          <w:rStyle w:val="s1"/>
          <w:b/>
          <w:bCs/>
        </w:rPr>
        <w:t>Sessions</w:t>
      </w:r>
      <w:r>
        <w:rPr/>
        <w:t xml:space="preserve"> or operational actions.</w:t>
      </w:r>
    </w:p>
    <w:p>
      <w:pPr>
        <w:pStyle w:val="p1"/>
        <w:numPr>
          <w:ilvl w:val="0"/>
          <w:numId w:val="49"/>
        </w:numPr>
        <w:spacing w:before="0" w:after="0"/>
        <w:rPr/>
      </w:pPr>
      <w:r>
        <w:rPr>
          <w:b/>
          <w:bCs/>
        </w:rPr>
        <w:t>Many-to-Many Relationships (Resolved via Junction Tables)</w:t>
      </w:r>
    </w:p>
    <w:p>
      <w:pPr>
        <w:pStyle w:val="p1"/>
        <w:numPr>
          <w:ilvl w:val="1"/>
          <w:numId w:val="49"/>
        </w:numPr>
        <w:spacing w:before="0" w:after="0"/>
        <w:rPr/>
      </w:pPr>
      <w:r>
        <w:rPr>
          <w:b/>
          <w:bCs/>
        </w:rPr>
        <w:t>Products ↔ Picking</w:t>
      </w:r>
      <w:r>
        <w:rPr>
          <w:rStyle w:val="s1"/>
        </w:rPr>
        <w:t xml:space="preserve"> via </w:t>
      </w:r>
      <w:r>
        <w:rPr>
          <w:b/>
          <w:bCs/>
        </w:rPr>
        <w:t>PickingItems</w:t>
      </w:r>
      <w:r>
        <w:rPr>
          <w:rStyle w:val="s1"/>
        </w:rPr>
        <w:t>.</w:t>
      </w:r>
    </w:p>
    <w:p>
      <w:pPr>
        <w:pStyle w:val="p1"/>
        <w:numPr>
          <w:ilvl w:val="1"/>
          <w:numId w:val="49"/>
        </w:numPr>
        <w:spacing w:before="0" w:after="0"/>
        <w:rPr/>
      </w:pPr>
      <w:r>
        <w:rPr>
          <w:b/>
          <w:bCs/>
        </w:rPr>
        <w:t>Products ↔ Packing</w:t>
      </w:r>
      <w:r>
        <w:rPr>
          <w:rStyle w:val="s1"/>
        </w:rPr>
        <w:t xml:space="preserve"> via </w:t>
      </w:r>
      <w:r>
        <w:rPr>
          <w:b/>
          <w:bCs/>
        </w:rPr>
        <w:t>PackingItems</w:t>
      </w:r>
      <w:r>
        <w:rPr>
          <w:rStyle w:val="s1"/>
        </w:rPr>
        <w:t>.</w:t>
      </w:r>
    </w:p>
    <w:p>
      <w:pPr>
        <w:pStyle w:val="p1"/>
        <w:numPr>
          <w:ilvl w:val="0"/>
          <w:numId w:val="49"/>
        </w:numPr>
        <w:spacing w:before="0" w:after="0"/>
        <w:rPr/>
      </w:pPr>
      <w:r>
        <w:rPr>
          <w:b/>
          <w:bCs/>
        </w:rPr>
        <w:t>One-to-One Relationships</w:t>
      </w:r>
    </w:p>
    <w:p>
      <w:pPr>
        <w:pStyle w:val="p1"/>
        <w:numPr>
          <w:ilvl w:val="1"/>
          <w:numId w:val="49"/>
        </w:numPr>
        <w:spacing w:before="0" w:after="0"/>
        <w:rPr/>
      </w:pPr>
      <w:r>
        <w:rPr/>
        <w:t xml:space="preserve">Each </w:t>
      </w:r>
      <w:r>
        <w:rPr>
          <w:rStyle w:val="s1"/>
          <w:b/>
          <w:bCs/>
        </w:rPr>
        <w:t>Packing</w:t>
      </w:r>
      <w:r>
        <w:rPr/>
        <w:t xml:space="preserve"> action links to exactly one </w:t>
      </w:r>
      <w:r>
        <w:rPr>
          <w:rStyle w:val="s1"/>
          <w:b/>
          <w:bCs/>
        </w:rPr>
        <w:t>DeliveryPackage</w:t>
      </w:r>
      <w:r>
        <w:rPr/>
        <w:t>.</w:t>
      </w:r>
    </w:p>
    <w:p>
      <w:pPr>
        <w:pStyle w:val="p1"/>
        <w:numPr>
          <w:ilvl w:val="1"/>
          <w:numId w:val="49"/>
        </w:numPr>
        <w:spacing w:before="0" w:after="280"/>
        <w:rPr/>
      </w:pPr>
      <w:r>
        <w:rPr/>
        <w:t xml:space="preserve">Each </w:t>
      </w:r>
      <w:r>
        <w:rPr>
          <w:rStyle w:val="s1"/>
          <w:b/>
          <w:bCs/>
        </w:rPr>
        <w:t>PickToPack</w:t>
      </w:r>
      <w:r>
        <w:rPr/>
        <w:t xml:space="preserve"> entry uniquely identifies a handoff between picking and packing.</w:t>
      </w:r>
    </w:p>
    <w:p>
      <w:pPr>
        <w:pStyle w:val="Heading3"/>
        <w:rPr/>
      </w:pPr>
      <w:r>
        <w:rPr/>
      </w:r>
    </w:p>
    <w:p>
      <w:pPr>
        <w:pStyle w:val="Heading3"/>
        <w:rPr/>
      </w:pPr>
      <w:r>
        <w:rPr/>
      </w:r>
    </w:p>
    <w:p>
      <w:pPr>
        <w:pStyle w:val="Heading3"/>
        <w:rPr/>
      </w:pPr>
      <w:r>
        <w:rPr/>
      </w:r>
    </w:p>
    <w:p>
      <w:pPr>
        <w:pStyle w:val="Heading3"/>
        <w:rPr/>
      </w:pPr>
      <w:r>
        <w:rPr/>
        <w:br/>
        <w:t>8</w:t>
      </w:r>
      <w:r>
        <w:rPr/>
        <w:t>.</w:t>
      </w:r>
      <w:r>
        <w:rPr/>
        <w:t>6</w:t>
      </w:r>
      <w:r>
        <w:rPr/>
        <w:t xml:space="preserve"> Storage Technologies</w:t>
      </w:r>
    </w:p>
    <w:tbl>
      <w:tblPr>
        <w:tblW w:w="8640" w:type="dxa"/>
        <w:jc w:val="left"/>
        <w:tblInd w:w="15" w:type="dxa"/>
        <w:tblLayout w:type="fixed"/>
        <w:tblCellMar>
          <w:top w:w="15" w:type="dxa"/>
          <w:left w:w="15" w:type="dxa"/>
          <w:bottom w:w="15" w:type="dxa"/>
          <w:right w:w="15" w:type="dxa"/>
        </w:tblCellMar>
        <w:tblLook w:val="04a0" w:noVBand="1" w:noHBand="0" w:lastColumn="0" w:firstColumn="1" w:lastRow="0" w:firstRow="1"/>
      </w:tblPr>
      <w:tblGrid>
        <w:gridCol w:w="2971"/>
        <w:gridCol w:w="1977"/>
        <w:gridCol w:w="3692"/>
      </w:tblGrid>
      <w:tr>
        <w:trPr/>
        <w:tc>
          <w:tcPr>
            <w:tcW w:w="2971" w:type="dxa"/>
            <w:tcBorders/>
            <w:shd w:fill="3465A4" w:val="clear"/>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Database</w:t>
            </w:r>
          </w:p>
        </w:tc>
        <w:tc>
          <w:tcPr>
            <w:tcW w:w="1977" w:type="dxa"/>
            <w:tcBorders/>
            <w:shd w:fill="3465A4" w:val="clear"/>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Azure SQL Database</w:t>
            </w:r>
          </w:p>
        </w:tc>
        <w:tc>
          <w:tcPr>
            <w:tcW w:w="3692" w:type="dxa"/>
            <w:tcBorders/>
            <w:shd w:fill="3465A4" w:val="clear"/>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Primary relational storage.</w:t>
            </w:r>
          </w:p>
        </w:tc>
      </w:tr>
      <w:tr>
        <w:trPr/>
        <w:tc>
          <w:tcPr>
            <w:tcW w:w="2971"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Backend ORM / Access Layer</w:t>
            </w:r>
          </w:p>
        </w:tc>
        <w:tc>
          <w:tcPr>
            <w:tcW w:w="1977"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asyncpg + Pydantic</w:t>
            </w:r>
          </w:p>
        </w:tc>
        <w:tc>
          <w:tcPr>
            <w:tcW w:w="3692"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Query execution and schema validation.</w:t>
            </w:r>
          </w:p>
        </w:tc>
      </w:tr>
      <w:tr>
        <w:trPr/>
        <w:tc>
          <w:tcPr>
            <w:tcW w:w="2971"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Frontend Data Layer</w:t>
            </w:r>
          </w:p>
        </w:tc>
        <w:tc>
          <w:tcPr>
            <w:tcW w:w="1977"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Kotlin Data Classes</w:t>
            </w:r>
          </w:p>
        </w:tc>
        <w:tc>
          <w:tcPr>
            <w:tcW w:w="3692"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Local caching and synchronisation.</w:t>
            </w:r>
          </w:p>
        </w:tc>
      </w:tr>
      <w:tr>
        <w:trPr/>
        <w:tc>
          <w:tcPr>
            <w:tcW w:w="2971"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Media Storage</w:t>
            </w:r>
          </w:p>
        </w:tc>
        <w:tc>
          <w:tcPr>
            <w:tcW w:w="1977"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Azure Blob Storage</w:t>
            </w:r>
          </w:p>
        </w:tc>
        <w:tc>
          <w:tcPr>
            <w:tcW w:w="3692"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Image and document persistence.</w:t>
            </w:r>
          </w:p>
        </w:tc>
      </w:tr>
      <w:tr>
        <w:trPr/>
        <w:tc>
          <w:tcPr>
            <w:tcW w:w="2971"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Secrets Management</w:t>
            </w:r>
          </w:p>
        </w:tc>
        <w:tc>
          <w:tcPr>
            <w:tcW w:w="1977"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Azure Key Vault</w:t>
            </w:r>
          </w:p>
        </w:tc>
        <w:tc>
          <w:tcPr>
            <w:tcW w:w="3692"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Credential and token management.</w:t>
            </w:r>
          </w:p>
        </w:tc>
      </w:tr>
    </w:tbl>
    <w:p>
      <w:pPr>
        <w:pStyle w:val="Heading3"/>
        <w:rPr/>
      </w:pPr>
      <w:r>
        <w:rPr/>
        <w:t>Summary</w:t>
      </w:r>
    </w:p>
    <w:p>
      <w:pPr>
        <w:pStyle w:val="p3"/>
        <w:spacing w:before="280" w:after="280"/>
        <w:rPr/>
      </w:pPr>
      <w:r>
        <w:rPr/>
        <w:t>The data schema of TWS-Scan demonstrates a clear, logical, and normalised design that accurately reflects both business processes and software implementation.</w:t>
      </w:r>
    </w:p>
    <w:p>
      <w:pPr>
        <w:pStyle w:val="p3"/>
        <w:spacing w:before="280" w:after="280"/>
        <w:rPr/>
      </w:pPr>
      <w:r>
        <w:rPr/>
        <w:t xml:space="preserve">By maintaining direct alignment between the </w:t>
      </w:r>
      <w:r>
        <w:rPr>
          <w:rStyle w:val="s2"/>
          <w:rFonts w:eastAsia="" w:eastAsiaTheme="majorEastAsia"/>
          <w:b/>
          <w:bCs/>
        </w:rPr>
        <w:t>ERD</w:t>
      </w:r>
      <w:r>
        <w:rPr/>
        <w:t xml:space="preserve">, </w:t>
      </w:r>
      <w:r>
        <w:rPr>
          <w:rStyle w:val="s2"/>
          <w:rFonts w:eastAsia="" w:eastAsiaTheme="majorEastAsia"/>
          <w:b/>
          <w:bCs/>
        </w:rPr>
        <w:t>domain models</w:t>
      </w:r>
      <w:r>
        <w:rPr/>
        <w:t xml:space="preserve">, and </w:t>
      </w:r>
      <w:r>
        <w:rPr>
          <w:rStyle w:val="s2"/>
          <w:rFonts w:eastAsia="" w:eastAsiaTheme="majorEastAsia"/>
          <w:b/>
          <w:bCs/>
        </w:rPr>
        <w:t>API payloads</w:t>
      </w:r>
      <w:r>
        <w:rPr/>
        <w:t>, the system ensures data consistency, integrity, and scalability.</w:t>
      </w:r>
    </w:p>
    <w:p>
      <w:pPr>
        <w:pStyle w:val="p2"/>
        <w:spacing w:before="280" w:after="280"/>
        <w:rPr/>
      </w:pPr>
      <w:r>
        <w:rPr/>
      </w:r>
    </w:p>
    <w:p>
      <w:pPr>
        <w:pStyle w:val="p3"/>
        <w:spacing w:before="280" w:after="280"/>
        <w:rPr/>
      </w:pPr>
      <w:r>
        <w:rPr/>
      </w:r>
    </w:p>
    <w:p>
      <w:pPr>
        <w:pStyle w:val="Heading3"/>
        <w:rPr/>
      </w:pPr>
      <w:r>
        <w:rPr/>
      </w:r>
    </w:p>
    <w:p>
      <w:pPr>
        <w:pStyle w:val="p1"/>
        <w:rPr>
          <w:b/>
          <w:sz w:val="36"/>
          <w:szCs w:val="36"/>
        </w:rPr>
      </w:pPr>
      <w:r>
        <w:rPr>
          <w:b/>
          <w:sz w:val="36"/>
          <w:szCs w:val="36"/>
        </w:rPr>
      </w:r>
    </w:p>
    <w:p>
      <w:pPr>
        <w:pStyle w:val="p1"/>
        <w:rPr>
          <w:b/>
          <w:sz w:val="36"/>
          <w:szCs w:val="36"/>
        </w:rPr>
      </w:pPr>
      <w:r>
        <w:rPr>
          <w:b/>
          <w:sz w:val="36"/>
          <w:szCs w:val="36"/>
        </w:rPr>
      </w:r>
    </w:p>
    <w:p>
      <w:pPr>
        <w:pStyle w:val="p1"/>
        <w:rPr>
          <w:b/>
          <w:sz w:val="36"/>
          <w:szCs w:val="36"/>
        </w:rPr>
      </w:pPr>
      <w:r>
        <w:rPr>
          <w:b/>
          <w:sz w:val="36"/>
          <w:szCs w:val="36"/>
        </w:rPr>
      </w:r>
    </w:p>
    <w:p>
      <w:pPr>
        <w:pStyle w:val="p1"/>
        <w:rPr>
          <w:b/>
          <w:sz w:val="36"/>
          <w:szCs w:val="36"/>
        </w:rPr>
      </w:pPr>
      <w:r>
        <w:rPr>
          <w:b/>
          <w:sz w:val="36"/>
          <w:szCs w:val="36"/>
        </w:rPr>
      </w:r>
    </w:p>
    <w:p>
      <w:pPr>
        <w:pStyle w:val="p1"/>
        <w:rPr>
          <w:b/>
          <w:sz w:val="36"/>
          <w:szCs w:val="36"/>
        </w:rPr>
      </w:pPr>
      <w:r>
        <w:rPr>
          <w:b/>
          <w:sz w:val="36"/>
          <w:szCs w:val="36"/>
        </w:rPr>
      </w:r>
    </w:p>
    <w:p>
      <w:pPr>
        <w:pStyle w:val="p1"/>
        <w:rPr>
          <w:b/>
          <w:sz w:val="36"/>
          <w:szCs w:val="36"/>
        </w:rPr>
      </w:pPr>
      <w:r>
        <w:rPr>
          <w:b/>
          <w:sz w:val="36"/>
          <w:szCs w:val="36"/>
        </w:rPr>
      </w:r>
    </w:p>
    <w:p>
      <w:pPr>
        <w:pStyle w:val="p1"/>
        <w:rPr>
          <w:b/>
          <w:sz w:val="36"/>
          <w:szCs w:val="36"/>
        </w:rPr>
      </w:pPr>
      <w:r>
        <w:rPr>
          <w:b/>
          <w:sz w:val="36"/>
          <w:szCs w:val="36"/>
        </w:rPr>
      </w:r>
    </w:p>
    <w:p>
      <w:pPr>
        <w:pStyle w:val="p1"/>
        <w:rPr>
          <w:sz w:val="36"/>
          <w:szCs w:val="36"/>
        </w:rPr>
      </w:pPr>
      <w:r>
        <w:rPr>
          <w:b/>
          <w:sz w:val="36"/>
          <w:szCs w:val="36"/>
        </w:rPr>
        <w:t>9</w:t>
      </w:r>
      <w:r>
        <w:rPr>
          <w:b/>
          <w:sz w:val="36"/>
          <w:szCs w:val="36"/>
        </w:rPr>
        <w:t>. Application Security</w:t>
      </w:r>
    </w:p>
    <w:p>
      <w:pPr>
        <w:pStyle w:val="Heading3"/>
        <w:rPr/>
      </w:pPr>
      <w:r>
        <w:rPr/>
        <w:t>Overview</w:t>
      </w:r>
    </w:p>
    <w:p>
      <w:pPr>
        <w:pStyle w:val="p3"/>
        <w:spacing w:before="280" w:after="280"/>
        <w:rPr/>
      </w:pPr>
      <w:r>
        <w:rPr/>
        <w:t xml:space="preserve">The </w:t>
      </w:r>
      <w:r>
        <w:rPr>
          <w:rStyle w:val="s2"/>
          <w:rFonts w:eastAsia="" w:eastAsiaTheme="majorEastAsia"/>
          <w:b/>
          <w:bCs/>
        </w:rPr>
        <w:t>TWS-Scan</w:t>
      </w:r>
      <w:r>
        <w:rPr/>
        <w:t xml:space="preserve"> system was designed with a </w:t>
      </w:r>
      <w:r>
        <w:rPr>
          <w:rStyle w:val="s2"/>
          <w:rFonts w:eastAsia="" w:eastAsiaTheme="majorEastAsia"/>
          <w:b/>
          <w:bCs/>
        </w:rPr>
        <w:t>security-first mindset</w:t>
      </w:r>
      <w:r>
        <w:rPr/>
        <w:t>, incorporating multiple layers of protection across the mobile, backend, and cloud infrastructure.</w:t>
      </w:r>
    </w:p>
    <w:p>
      <w:pPr>
        <w:pStyle w:val="p3"/>
        <w:spacing w:before="280" w:after="280"/>
        <w:rPr/>
      </w:pPr>
      <w:r>
        <w:rPr/>
        <w:t xml:space="preserve">Security measures were implemented according to the principles of </w:t>
      </w:r>
      <w:r>
        <w:rPr>
          <w:rStyle w:val="s2"/>
          <w:rFonts w:eastAsia="" w:eastAsiaTheme="majorEastAsia"/>
          <w:b/>
          <w:bCs/>
        </w:rPr>
        <w:t>economy of mechanism, least privilege, and complete mediation</w:t>
      </w:r>
      <w:r>
        <w:rPr/>
        <w:t>, ensuring that all data objects and operations undergo authentication and validation before processing.</w:t>
      </w:r>
    </w:p>
    <w:p>
      <w:pPr>
        <w:pStyle w:val="p3"/>
        <w:spacing w:before="280" w:after="280"/>
        <w:rPr/>
      </w:pPr>
      <w:r>
        <w:rPr/>
        <w:t>The architecture balances strong security practices with user efficiency — ensuring the system remains robust without interrupting operational workflows in the warehouse environment.</w:t>
      </w:r>
    </w:p>
    <w:p>
      <w:pPr>
        <w:pStyle w:val="Heading3"/>
        <w:rPr/>
      </w:pPr>
      <w:r>
        <w:rPr/>
        <w:br/>
        <w:t>9.</w:t>
      </w:r>
      <w:r>
        <w:rPr/>
        <w:t>1. Identified Threat Actors</w:t>
      </w:r>
    </w:p>
    <w:p>
      <w:pPr>
        <w:pStyle w:val="p3"/>
        <w:spacing w:before="280" w:after="280"/>
        <w:rPr/>
      </w:pPr>
      <w:r>
        <w:rPr/>
        <w:t>The following potential threat actors were identified during system design:</w:t>
        <w:br/>
      </w:r>
    </w:p>
    <w:tbl>
      <w:tblPr>
        <w:tblW w:w="8640" w:type="dxa"/>
        <w:jc w:val="left"/>
        <w:tblInd w:w="15" w:type="dxa"/>
        <w:tblLayout w:type="fixed"/>
        <w:tblCellMar>
          <w:top w:w="15" w:type="dxa"/>
          <w:left w:w="15" w:type="dxa"/>
          <w:bottom w:w="15" w:type="dxa"/>
          <w:right w:w="15" w:type="dxa"/>
        </w:tblCellMar>
        <w:tblLook w:val="04a0" w:noVBand="1" w:noHBand="0" w:lastColumn="0" w:firstColumn="1" w:lastRow="0" w:firstRow="1"/>
      </w:tblPr>
      <w:tblGrid>
        <w:gridCol w:w="2019"/>
        <w:gridCol w:w="3488"/>
        <w:gridCol w:w="3133"/>
      </w:tblGrid>
      <w:tr>
        <w:trPr>
          <w:tblHeader w:val="true"/>
        </w:trPr>
        <w:tc>
          <w:tcPr>
            <w:tcW w:w="2019" w:type="dxa"/>
            <w:tcBorders/>
            <w:shd w:fill="3465A4" w:val="clear"/>
            <w:vAlign w:val="center"/>
          </w:tcPr>
          <w:p>
            <w:pPr>
              <w:pStyle w:val="Normal"/>
              <w:spacing w:lineRule="auto" w:line="240" w:beforeAutospacing="1" w:after="0"/>
              <w:rPr>
                <w:rFonts w:ascii="Times New Roman" w:hAnsi="Times New Roman" w:eastAsia="Times New Roman" w:cs="Times New Roman"/>
                <w:b/>
                <w:bCs/>
                <w:sz w:val="24"/>
                <w:szCs w:val="24"/>
                <w:lang w:val="en-ZA" w:eastAsia="en-GB"/>
              </w:rPr>
            </w:pPr>
            <w:r>
              <w:rPr>
                <w:rFonts w:eastAsia="Times New Roman" w:cs="Times New Roman" w:ascii="Times New Roman" w:hAnsi="Times New Roman"/>
                <w:b/>
                <w:bCs/>
                <w:sz w:val="24"/>
                <w:szCs w:val="24"/>
                <w:lang w:val="en-ZA" w:eastAsia="en-GB"/>
              </w:rPr>
              <w:t>Threat Actor</w:t>
            </w:r>
          </w:p>
        </w:tc>
        <w:tc>
          <w:tcPr>
            <w:tcW w:w="3488" w:type="dxa"/>
            <w:tcBorders/>
            <w:shd w:fill="3465A4" w:val="clear"/>
            <w:vAlign w:val="center"/>
          </w:tcPr>
          <w:p>
            <w:pPr>
              <w:pStyle w:val="Normal"/>
              <w:spacing w:lineRule="auto" w:line="240" w:beforeAutospacing="1" w:after="0"/>
              <w:jc w:val="center"/>
              <w:rPr>
                <w:rFonts w:ascii="Times New Roman" w:hAnsi="Times New Roman" w:eastAsia="Times New Roman" w:cs="Times New Roman"/>
                <w:b/>
                <w:bCs/>
                <w:sz w:val="24"/>
                <w:szCs w:val="24"/>
                <w:lang w:val="en-ZA" w:eastAsia="en-GB"/>
              </w:rPr>
            </w:pPr>
            <w:r>
              <w:rPr>
                <w:rFonts w:eastAsia="Times New Roman" w:cs="Times New Roman" w:ascii="Times New Roman" w:hAnsi="Times New Roman"/>
                <w:b/>
                <w:bCs/>
                <w:sz w:val="24"/>
                <w:szCs w:val="24"/>
                <w:lang w:val="en-ZA" w:eastAsia="en-GB"/>
              </w:rPr>
              <w:t>Description</w:t>
            </w:r>
          </w:p>
        </w:tc>
        <w:tc>
          <w:tcPr>
            <w:tcW w:w="3133" w:type="dxa"/>
            <w:tcBorders/>
            <w:shd w:fill="3465A4" w:val="clear"/>
            <w:vAlign w:val="center"/>
          </w:tcPr>
          <w:p>
            <w:pPr>
              <w:pStyle w:val="Normal"/>
              <w:spacing w:lineRule="auto" w:line="240" w:beforeAutospacing="1" w:after="0"/>
              <w:jc w:val="center"/>
              <w:rPr>
                <w:rFonts w:ascii="Times New Roman" w:hAnsi="Times New Roman" w:eastAsia="Times New Roman" w:cs="Times New Roman"/>
                <w:b/>
                <w:bCs/>
                <w:sz w:val="24"/>
                <w:szCs w:val="24"/>
                <w:lang w:val="en-ZA" w:eastAsia="en-GB"/>
              </w:rPr>
            </w:pPr>
            <w:r>
              <w:rPr>
                <w:rFonts w:eastAsia="Times New Roman" w:cs="Times New Roman" w:ascii="Times New Roman" w:hAnsi="Times New Roman"/>
                <w:b/>
                <w:bCs/>
                <w:sz w:val="24"/>
                <w:szCs w:val="24"/>
                <w:lang w:val="en-ZA" w:eastAsia="en-GB"/>
              </w:rPr>
              <w:t>Motivation / Impact</w:t>
            </w:r>
          </w:p>
        </w:tc>
      </w:tr>
      <w:tr>
        <w:trPr/>
        <w:tc>
          <w:tcPr>
            <w:tcW w:w="2019"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Unauthorised Users</w:t>
            </w:r>
          </w:p>
        </w:tc>
        <w:tc>
          <w:tcPr>
            <w:tcW w:w="3488"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Individuals attempting to access backend APIs or sensitive data without valid credentials.</w:t>
            </w:r>
          </w:p>
        </w:tc>
        <w:tc>
          <w:tcPr>
            <w:tcW w:w="3133"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Data theft, stock manipulation, or system misuse.</w:t>
            </w:r>
          </w:p>
        </w:tc>
      </w:tr>
      <w:tr>
        <w:trPr/>
        <w:tc>
          <w:tcPr>
            <w:tcW w:w="2019"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Internal Staff Misuse</w:t>
            </w:r>
          </w:p>
        </w:tc>
        <w:tc>
          <w:tcPr>
            <w:tcW w:w="3488"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Legitimate users (e.g., warehouse staff) exceeding their assigned permissions.</w:t>
            </w:r>
          </w:p>
        </w:tc>
        <w:tc>
          <w:tcPr>
            <w:tcW w:w="3133"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Accidental or deliberate data tampering.</w:t>
            </w:r>
          </w:p>
        </w:tc>
      </w:tr>
      <w:tr>
        <w:trPr/>
        <w:tc>
          <w:tcPr>
            <w:tcW w:w="2019"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Intercepted Network Requests</w:t>
            </w:r>
          </w:p>
        </w:tc>
        <w:tc>
          <w:tcPr>
            <w:tcW w:w="3488"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Attackers performing man-in-the-middle (MITM) attacks during data transmission.</w:t>
            </w:r>
          </w:p>
        </w:tc>
        <w:tc>
          <w:tcPr>
            <w:tcW w:w="3133"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Exposure of delivery information, proof-of-delivery images, or credentials.</w:t>
            </w:r>
          </w:p>
        </w:tc>
      </w:tr>
      <w:tr>
        <w:trPr/>
        <w:tc>
          <w:tcPr>
            <w:tcW w:w="2019"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Compromised Devices</w:t>
            </w:r>
          </w:p>
        </w:tc>
        <w:tc>
          <w:tcPr>
            <w:tcW w:w="3488"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Lost or stolen mobile devices with active sessions.</w:t>
            </w:r>
          </w:p>
        </w:tc>
        <w:tc>
          <w:tcPr>
            <w:tcW w:w="3133"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Unauthorised access to warehouse operations or stored tokens.</w:t>
            </w:r>
          </w:p>
        </w:tc>
      </w:tr>
      <w:tr>
        <w:trPr/>
        <w:tc>
          <w:tcPr>
            <w:tcW w:w="2019"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External API Exploitation</w:t>
            </w:r>
          </w:p>
        </w:tc>
        <w:tc>
          <w:tcPr>
            <w:tcW w:w="3488"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Attempts to exploit REST endpoints via injection or brute force.</w:t>
            </w:r>
          </w:p>
        </w:tc>
        <w:tc>
          <w:tcPr>
            <w:tcW w:w="3133"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Data corruption, denial of service, or unauthorised database access.</w:t>
            </w:r>
          </w:p>
        </w:tc>
      </w:tr>
    </w:tbl>
    <w:p>
      <w:pPr>
        <w:pStyle w:val="p1"/>
        <w:rPr/>
      </w:pPr>
      <w:r>
        <w:rPr/>
        <w:br/>
        <w:br/>
        <w:br/>
        <w:br/>
        <w:br/>
        <w:br/>
        <w:br/>
      </w:r>
      <w:r>
        <w:rPr>
          <w:b/>
          <w:bCs/>
          <w:color w:val="2A6099"/>
        </w:rPr>
        <w:t>9</w:t>
      </w:r>
      <w:r>
        <w:rPr>
          <w:b/>
          <w:bCs/>
          <w:color w:val="2A6099"/>
        </w:rPr>
        <w:t>.2. Threat Vectors and Mitigation Strategies</w:t>
      </w:r>
    </w:p>
    <w:tbl>
      <w:tblPr>
        <w:tblW w:w="8640" w:type="dxa"/>
        <w:jc w:val="left"/>
        <w:tblInd w:w="15" w:type="dxa"/>
        <w:tblLayout w:type="fixed"/>
        <w:tblCellMar>
          <w:top w:w="15" w:type="dxa"/>
          <w:left w:w="15" w:type="dxa"/>
          <w:bottom w:w="15" w:type="dxa"/>
          <w:right w:w="15" w:type="dxa"/>
        </w:tblCellMar>
        <w:tblLook w:val="04a0" w:noVBand="1" w:noHBand="0" w:lastColumn="0" w:firstColumn="1" w:lastRow="0" w:firstRow="1"/>
      </w:tblPr>
      <w:tblGrid>
        <w:gridCol w:w="1968"/>
        <w:gridCol w:w="4897"/>
        <w:gridCol w:w="1775"/>
      </w:tblGrid>
      <w:tr>
        <w:trPr>
          <w:tblHeader w:val="true"/>
        </w:trPr>
        <w:tc>
          <w:tcPr>
            <w:tcW w:w="1968" w:type="dxa"/>
            <w:tcBorders/>
            <w:shd w:fill="3465A4" w:val="clear"/>
            <w:vAlign w:val="center"/>
          </w:tcPr>
          <w:p>
            <w:pPr>
              <w:pStyle w:val="Normal"/>
              <w:spacing w:lineRule="auto" w:line="240" w:beforeAutospacing="1" w:after="0"/>
              <w:jc w:val="center"/>
              <w:rPr>
                <w:rFonts w:ascii="Times New Roman" w:hAnsi="Times New Roman" w:eastAsia="Times New Roman" w:cs="Times New Roman"/>
                <w:b/>
                <w:bCs/>
                <w:sz w:val="24"/>
                <w:szCs w:val="24"/>
                <w:lang w:val="en-ZA" w:eastAsia="en-GB"/>
              </w:rPr>
            </w:pPr>
            <w:r>
              <w:rPr>
                <w:rFonts w:eastAsia="Times New Roman" w:cs="Times New Roman" w:ascii="Times New Roman" w:hAnsi="Times New Roman"/>
                <w:b/>
                <w:bCs/>
                <w:sz w:val="24"/>
                <w:szCs w:val="24"/>
                <w:lang w:val="en-ZA" w:eastAsia="en-GB"/>
              </w:rPr>
              <w:t>Threat Vector</w:t>
            </w:r>
          </w:p>
        </w:tc>
        <w:tc>
          <w:tcPr>
            <w:tcW w:w="4897" w:type="dxa"/>
            <w:tcBorders/>
            <w:shd w:fill="3465A4" w:val="clear"/>
            <w:vAlign w:val="center"/>
          </w:tcPr>
          <w:p>
            <w:pPr>
              <w:pStyle w:val="Normal"/>
              <w:spacing w:lineRule="auto" w:line="240" w:beforeAutospacing="1" w:after="0"/>
              <w:jc w:val="center"/>
              <w:rPr>
                <w:rFonts w:ascii="Times New Roman" w:hAnsi="Times New Roman" w:eastAsia="Times New Roman" w:cs="Times New Roman"/>
                <w:b/>
                <w:bCs/>
                <w:sz w:val="24"/>
                <w:szCs w:val="24"/>
                <w:lang w:val="en-ZA" w:eastAsia="en-GB"/>
              </w:rPr>
            </w:pPr>
            <w:r>
              <w:rPr>
                <w:rFonts w:eastAsia="Times New Roman" w:cs="Times New Roman" w:ascii="Times New Roman" w:hAnsi="Times New Roman"/>
                <w:b/>
                <w:bCs/>
                <w:sz w:val="24"/>
                <w:szCs w:val="24"/>
                <w:lang w:val="en-ZA" w:eastAsia="en-GB"/>
              </w:rPr>
              <w:t>Mitigation Strategy</w:t>
            </w:r>
          </w:p>
        </w:tc>
        <w:tc>
          <w:tcPr>
            <w:tcW w:w="1775" w:type="dxa"/>
            <w:tcBorders/>
            <w:shd w:fill="3465A4" w:val="clear"/>
            <w:vAlign w:val="center"/>
          </w:tcPr>
          <w:p>
            <w:pPr>
              <w:pStyle w:val="Normal"/>
              <w:spacing w:lineRule="auto" w:line="240" w:beforeAutospacing="1" w:after="0"/>
              <w:jc w:val="center"/>
              <w:rPr>
                <w:rFonts w:ascii="Times New Roman" w:hAnsi="Times New Roman" w:eastAsia="Times New Roman" w:cs="Times New Roman"/>
                <w:b/>
                <w:bCs/>
                <w:sz w:val="24"/>
                <w:szCs w:val="24"/>
                <w:lang w:val="en-ZA" w:eastAsia="en-GB"/>
              </w:rPr>
            </w:pPr>
            <w:r>
              <w:rPr>
                <w:rFonts w:eastAsia="Times New Roman" w:cs="Times New Roman" w:ascii="Times New Roman" w:hAnsi="Times New Roman"/>
                <w:b/>
                <w:bCs/>
                <w:sz w:val="24"/>
                <w:szCs w:val="24"/>
                <w:lang w:val="en-ZA" w:eastAsia="en-GB"/>
              </w:rPr>
              <w:t>Principle Applied</w:t>
            </w:r>
          </w:p>
        </w:tc>
      </w:tr>
      <w:tr>
        <w:trPr/>
        <w:tc>
          <w:tcPr>
            <w:tcW w:w="1968"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Unauthorised access to APIs</w:t>
            </w:r>
          </w:p>
        </w:tc>
        <w:tc>
          <w:tcPr>
            <w:tcW w:w="4897"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All routes require JWT-based authentication. Tokens validated on each request.</w:t>
            </w:r>
          </w:p>
        </w:tc>
        <w:tc>
          <w:tcPr>
            <w:tcW w:w="1775"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i/>
                <w:iCs/>
                <w:sz w:val="24"/>
                <w:szCs w:val="24"/>
                <w:lang w:val="en-ZA" w:eastAsia="en-GB"/>
              </w:rPr>
              <w:t>Complete Mediation</w:t>
            </w:r>
          </w:p>
        </w:tc>
      </w:tr>
      <w:tr>
        <w:trPr/>
        <w:tc>
          <w:tcPr>
            <w:tcW w:w="1968"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Privilege escalation</w:t>
            </w:r>
          </w:p>
        </w:tc>
        <w:tc>
          <w:tcPr>
            <w:tcW w:w="4897"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Role-Based Access Control (RBAC) enforced per endpoint; roles validated through JWT claims (Picker, Packer, Driver, Manager).</w:t>
            </w:r>
          </w:p>
        </w:tc>
        <w:tc>
          <w:tcPr>
            <w:tcW w:w="1775"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i/>
                <w:iCs/>
                <w:sz w:val="24"/>
                <w:szCs w:val="24"/>
                <w:lang w:val="en-ZA" w:eastAsia="en-GB"/>
              </w:rPr>
              <w:t>Least Privilege</w:t>
            </w:r>
          </w:p>
        </w:tc>
      </w:tr>
      <w:tr>
        <w:trPr/>
        <w:tc>
          <w:tcPr>
            <w:tcW w:w="1968"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Data interception</w:t>
            </w:r>
          </w:p>
        </w:tc>
        <w:tc>
          <w:tcPr>
            <w:tcW w:w="4897"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All communication encrypted via HTTPS (TLS 1.2+). No unsecured endpoints allowed.</w:t>
            </w:r>
          </w:p>
        </w:tc>
        <w:tc>
          <w:tcPr>
            <w:tcW w:w="1775"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i/>
                <w:iCs/>
                <w:sz w:val="24"/>
                <w:szCs w:val="24"/>
                <w:lang w:val="en-ZA" w:eastAsia="en-GB"/>
              </w:rPr>
              <w:t>Confidentiality</w:t>
            </w:r>
          </w:p>
        </w:tc>
      </w:tr>
      <w:tr>
        <w:trPr/>
        <w:tc>
          <w:tcPr>
            <w:tcW w:w="1968"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Token replay or theft</w:t>
            </w:r>
          </w:p>
        </w:tc>
        <w:tc>
          <w:tcPr>
            <w:tcW w:w="4897"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Short-lived JWTs (60 min expiry) and refresh flow implemented; tokens bound to device identifiers.</w:t>
            </w:r>
          </w:p>
        </w:tc>
        <w:tc>
          <w:tcPr>
            <w:tcW w:w="1775"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i/>
                <w:iCs/>
                <w:sz w:val="24"/>
                <w:szCs w:val="24"/>
                <w:lang w:val="en-ZA" w:eastAsia="en-GB"/>
              </w:rPr>
              <w:t>Economy of Mechanism</w:t>
            </w:r>
          </w:p>
        </w:tc>
      </w:tr>
      <w:tr>
        <w:trPr/>
        <w:tc>
          <w:tcPr>
            <w:tcW w:w="1968"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SQL injection</w:t>
            </w:r>
          </w:p>
        </w:tc>
        <w:tc>
          <w:tcPr>
            <w:tcW w:w="4897"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Parameterised stored procedures used for all database operations; ORM queries sanitised.</w:t>
            </w:r>
          </w:p>
        </w:tc>
        <w:tc>
          <w:tcPr>
            <w:tcW w:w="1775"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i/>
                <w:iCs/>
                <w:sz w:val="24"/>
                <w:szCs w:val="24"/>
                <w:lang w:val="en-ZA" w:eastAsia="en-GB"/>
              </w:rPr>
              <w:t>Fail-Safe Defaults</w:t>
            </w:r>
          </w:p>
        </w:tc>
      </w:tr>
      <w:tr>
        <w:trPr/>
        <w:tc>
          <w:tcPr>
            <w:tcW w:w="1968"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Data leakage through logs</w:t>
            </w:r>
          </w:p>
        </w:tc>
        <w:tc>
          <w:tcPr>
            <w:tcW w:w="4897"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Sensitive fields (e.g., passwords, connection strings) redacted from logs; monitored through Azure Application Insights.</w:t>
            </w:r>
          </w:p>
        </w:tc>
        <w:tc>
          <w:tcPr>
            <w:tcW w:w="1775"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i/>
                <w:iCs/>
                <w:sz w:val="24"/>
                <w:szCs w:val="24"/>
                <w:lang w:val="en-ZA" w:eastAsia="en-GB"/>
              </w:rPr>
              <w:t>Separation of Duties</w:t>
            </w:r>
          </w:p>
        </w:tc>
      </w:tr>
      <w:tr>
        <w:trPr/>
        <w:tc>
          <w:tcPr>
            <w:tcW w:w="1968"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Compromised devices</w:t>
            </w:r>
          </w:p>
        </w:tc>
        <w:tc>
          <w:tcPr>
            <w:tcW w:w="4897"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Device binding during authentication; tokens invalidated on logout or device deregistration.</w:t>
            </w:r>
          </w:p>
        </w:tc>
        <w:tc>
          <w:tcPr>
            <w:tcW w:w="1775"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i/>
                <w:iCs/>
                <w:sz w:val="24"/>
                <w:szCs w:val="24"/>
                <w:lang w:val="en-ZA" w:eastAsia="en-GB"/>
              </w:rPr>
              <w:t>Complete Mediation</w:t>
            </w:r>
          </w:p>
        </w:tc>
      </w:tr>
      <w:tr>
        <w:trPr/>
        <w:tc>
          <w:tcPr>
            <w:tcW w:w="1968"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Credential exposure in code</w:t>
            </w:r>
          </w:p>
        </w:tc>
        <w:tc>
          <w:tcPr>
            <w:tcW w:w="4897"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Secrets stored only in Azure Key Vault; environment variables accessed through Managed Identity.</w:t>
            </w:r>
          </w:p>
        </w:tc>
        <w:tc>
          <w:tcPr>
            <w:tcW w:w="1775"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i/>
                <w:iCs/>
                <w:sz w:val="24"/>
                <w:szCs w:val="24"/>
                <w:lang w:val="en-ZA" w:eastAsia="en-GB"/>
              </w:rPr>
              <w:t>Least Privilege</w:t>
            </w:r>
          </w:p>
        </w:tc>
      </w:tr>
    </w:tbl>
    <w:p>
      <w:pPr>
        <w:pStyle w:val="Heading3"/>
        <w:rPr/>
      </w:pPr>
      <w:r>
        <w:rPr/>
        <w:t>9</w:t>
      </w:r>
      <w:r>
        <w:rPr/>
        <w:t>.3. Authentication and Authorisation Controls</w:t>
      </w:r>
    </w:p>
    <w:p>
      <w:pPr>
        <w:pStyle w:val="p1"/>
        <w:numPr>
          <w:ilvl w:val="0"/>
          <w:numId w:val="50"/>
        </w:numPr>
        <w:spacing w:before="280" w:after="280"/>
        <w:rPr/>
      </w:pPr>
      <w:r>
        <w:rPr>
          <w:b/>
          <w:bCs/>
        </w:rPr>
        <w:t>Authentication:</w:t>
      </w:r>
    </w:p>
    <w:p>
      <w:pPr>
        <w:pStyle w:val="p2"/>
        <w:spacing w:before="280" w:after="280"/>
        <w:ind w:left="720"/>
        <w:rPr/>
      </w:pPr>
      <w:r>
        <w:rPr/>
        <w:t xml:space="preserve">Implemented using </w:t>
      </w:r>
      <w:r>
        <w:rPr>
          <w:rStyle w:val="s1"/>
          <w:b/>
          <w:bCs/>
        </w:rPr>
        <w:t>JWT (JSON Web Token)</w:t>
      </w:r>
      <w:r>
        <w:rPr/>
        <w:t>, issued after successful login and validated on every API call.</w:t>
      </w:r>
    </w:p>
    <w:p>
      <w:pPr>
        <w:pStyle w:val="p2"/>
        <w:spacing w:before="280" w:after="280"/>
        <w:ind w:left="720"/>
        <w:rPr/>
      </w:pPr>
      <w:r>
        <w:rPr/>
        <w:t>Each token includes:</w:t>
      </w:r>
    </w:p>
    <w:p>
      <w:pPr>
        <w:pStyle w:val="p1"/>
        <w:numPr>
          <w:ilvl w:val="1"/>
          <w:numId w:val="50"/>
        </w:numPr>
        <w:spacing w:before="280" w:after="0"/>
        <w:rPr/>
      </w:pPr>
      <w:r>
        <w:rPr>
          <w:rStyle w:val="s1"/>
        </w:rPr>
        <w:t>sub</w:t>
      </w:r>
      <w:r>
        <w:rPr/>
        <w:t xml:space="preserve"> (subject): User ID.</w:t>
      </w:r>
    </w:p>
    <w:p>
      <w:pPr>
        <w:pStyle w:val="p1"/>
        <w:numPr>
          <w:ilvl w:val="1"/>
          <w:numId w:val="50"/>
        </w:numPr>
        <w:spacing w:before="0" w:after="0"/>
        <w:rPr/>
      </w:pPr>
      <w:r>
        <w:rPr>
          <w:rStyle w:val="s1"/>
        </w:rPr>
        <w:t>role</w:t>
      </w:r>
      <w:r>
        <w:rPr/>
        <w:t>: Authorisation claim (Picker, Packer, Driver, Manager).</w:t>
      </w:r>
    </w:p>
    <w:p>
      <w:pPr>
        <w:pStyle w:val="p1"/>
        <w:numPr>
          <w:ilvl w:val="1"/>
          <w:numId w:val="50"/>
        </w:numPr>
        <w:spacing w:before="0" w:after="0"/>
        <w:rPr/>
      </w:pPr>
      <w:r>
        <w:rPr>
          <w:rStyle w:val="s1"/>
        </w:rPr>
        <w:t>device_id</w:t>
      </w:r>
      <w:r>
        <w:rPr/>
        <w:t>: Unique mobile device identifier.</w:t>
      </w:r>
    </w:p>
    <w:p>
      <w:pPr>
        <w:pStyle w:val="p1"/>
        <w:numPr>
          <w:ilvl w:val="1"/>
          <w:numId w:val="50"/>
        </w:numPr>
        <w:spacing w:before="0" w:after="0"/>
        <w:rPr/>
      </w:pPr>
      <w:r>
        <w:rPr>
          <w:rStyle w:val="s1"/>
        </w:rPr>
        <w:t>exp</w:t>
      </w:r>
      <w:r>
        <w:rPr/>
        <w:t>: Expiry timestamp for session validity.</w:t>
      </w:r>
    </w:p>
    <w:p>
      <w:pPr>
        <w:pStyle w:val="p1"/>
        <w:numPr>
          <w:ilvl w:val="0"/>
          <w:numId w:val="50"/>
        </w:numPr>
        <w:spacing w:before="0" w:after="280"/>
        <w:rPr/>
      </w:pPr>
      <w:r>
        <w:rPr>
          <w:b/>
          <w:bCs/>
        </w:rPr>
        <w:t>Authorisation:</w:t>
      </w:r>
    </w:p>
    <w:p>
      <w:pPr>
        <w:pStyle w:val="p2"/>
        <w:spacing w:before="280" w:after="280"/>
        <w:ind w:left="720"/>
        <w:rPr/>
      </w:pPr>
      <w:r>
        <w:rPr/>
        <w:t>Role-based access is enforced within FastAPI route dependencies, ensuring users only perform permitted actions:</w:t>
      </w:r>
    </w:p>
    <w:p>
      <w:pPr>
        <w:pStyle w:val="p1"/>
        <w:numPr>
          <w:ilvl w:val="1"/>
          <w:numId w:val="50"/>
        </w:numPr>
        <w:spacing w:before="280" w:after="0"/>
        <w:rPr/>
      </w:pPr>
      <w:r>
        <w:rPr/>
        <w:t>Pickers → Can scan and pick products.</w:t>
      </w:r>
    </w:p>
    <w:p>
      <w:pPr>
        <w:pStyle w:val="p1"/>
        <w:numPr>
          <w:ilvl w:val="1"/>
          <w:numId w:val="50"/>
        </w:numPr>
        <w:spacing w:before="0" w:after="0"/>
        <w:rPr/>
      </w:pPr>
      <w:r>
        <w:rPr/>
        <w:t>Packers → Can create and seal packages.</w:t>
      </w:r>
    </w:p>
    <w:p>
      <w:pPr>
        <w:pStyle w:val="p1"/>
        <w:numPr>
          <w:ilvl w:val="1"/>
          <w:numId w:val="50"/>
        </w:numPr>
        <w:spacing w:before="0" w:after="0"/>
        <w:rPr/>
      </w:pPr>
      <w:r>
        <w:rPr/>
        <w:t>Drivers → Can mark deliveries and upload proof-of-delivery media.</w:t>
      </w:r>
    </w:p>
    <w:p>
      <w:pPr>
        <w:pStyle w:val="p1"/>
        <w:numPr>
          <w:ilvl w:val="1"/>
          <w:numId w:val="50"/>
        </w:numPr>
        <w:spacing w:before="0" w:after="280"/>
        <w:rPr/>
      </w:pPr>
      <w:r>
        <w:rPr/>
        <w:t>Managers → Can view reports and perform adjustments.</w:t>
      </w:r>
    </w:p>
    <w:p>
      <w:pPr>
        <w:pStyle w:val="p2"/>
        <w:spacing w:before="280" w:after="280"/>
        <w:rPr/>
      </w:pPr>
      <w:r>
        <w:rPr/>
      </w:r>
    </w:p>
    <w:p>
      <w:pPr>
        <w:pStyle w:val="p3"/>
        <w:spacing w:before="280" w:after="280"/>
        <w:rPr/>
      </w:pPr>
      <w:r>
        <w:rPr/>
        <w:t>This strict role separation prevents privilege escalation and ensures accountability across all workflows.</w:t>
      </w:r>
    </w:p>
    <w:p>
      <w:pPr>
        <w:pStyle w:val="Heading3"/>
        <w:rPr/>
      </w:pPr>
      <w:r>
        <w:rPr/>
        <w:br/>
        <w:t>9</w:t>
      </w:r>
      <w:r>
        <w:rPr/>
        <w:t>.4. Secure Data Transmission</w:t>
      </w:r>
    </w:p>
    <w:p>
      <w:pPr>
        <w:pStyle w:val="p3"/>
        <w:spacing w:before="280" w:after="280"/>
        <w:rPr/>
      </w:pPr>
      <w:r>
        <w:rPr/>
        <w:t xml:space="preserve">All data communication between the Android app and the backend occurs over </w:t>
      </w:r>
      <w:r>
        <w:rPr>
          <w:rStyle w:val="s2"/>
          <w:rFonts w:eastAsia="" w:eastAsiaTheme="majorEastAsia"/>
          <w:b/>
          <w:bCs/>
        </w:rPr>
        <w:t>HTTPS with TLS 1.2 encryption</w:t>
      </w:r>
      <w:r>
        <w:rPr/>
        <w:t>.</w:t>
      </w:r>
    </w:p>
    <w:p>
      <w:pPr>
        <w:pStyle w:val="p1"/>
        <w:numPr>
          <w:ilvl w:val="0"/>
          <w:numId w:val="51"/>
        </w:numPr>
        <w:spacing w:before="280" w:after="0"/>
        <w:rPr/>
      </w:pPr>
      <w:r>
        <w:rPr>
          <w:rStyle w:val="s1"/>
          <w:b/>
          <w:bCs/>
        </w:rPr>
        <w:t>Android Side:</w:t>
      </w:r>
      <w:r>
        <w:rPr/>
        <w:t xml:space="preserve"> Retrofit is configured with </w:t>
      </w:r>
      <w:r>
        <w:rPr>
          <w:rStyle w:val="s2"/>
          <w:rFonts w:eastAsia="" w:eastAsiaTheme="majorEastAsia"/>
        </w:rPr>
        <w:t>OkHttpClient</w:t>
      </w:r>
      <w:r>
        <w:rPr/>
        <w:t xml:space="preserve"> enforcing certificate validation.</w:t>
      </w:r>
    </w:p>
    <w:p>
      <w:pPr>
        <w:pStyle w:val="p1"/>
        <w:numPr>
          <w:ilvl w:val="0"/>
          <w:numId w:val="51"/>
        </w:numPr>
        <w:spacing w:before="0" w:after="0"/>
        <w:rPr/>
      </w:pPr>
      <w:r>
        <w:rPr>
          <w:rStyle w:val="s1"/>
          <w:b/>
          <w:bCs/>
        </w:rPr>
        <w:t>Backend Side:</w:t>
      </w:r>
      <w:r>
        <w:rPr/>
        <w:t xml:space="preserve"> Azure App Service automatically provisions SSL certificates, enforcing secure-only endpoints.</w:t>
      </w:r>
    </w:p>
    <w:p>
      <w:pPr>
        <w:pStyle w:val="p1"/>
        <w:numPr>
          <w:ilvl w:val="0"/>
          <w:numId w:val="51"/>
        </w:numPr>
        <w:spacing w:before="0" w:after="280"/>
        <w:rPr/>
      </w:pPr>
      <w:r>
        <w:rPr>
          <w:rStyle w:val="s1"/>
          <w:b/>
          <w:bCs/>
        </w:rPr>
        <w:t>REST Protocol:</w:t>
      </w:r>
      <w:r>
        <w:rPr/>
        <w:t xml:space="preserve"> JSON payloads with consistent schema definitions prevent injection or malformed input vulnerabilities.</w:t>
      </w:r>
    </w:p>
    <w:p>
      <w:pPr>
        <w:pStyle w:val="p2"/>
        <w:spacing w:before="280" w:after="280"/>
        <w:rPr/>
      </w:pPr>
      <w:r>
        <w:rPr/>
      </w:r>
    </w:p>
    <w:p>
      <w:pPr>
        <w:pStyle w:val="p3"/>
        <w:spacing w:before="280" w:after="280"/>
        <w:rPr/>
      </w:pPr>
      <w:r>
        <w:rPr/>
        <w:t xml:space="preserve">Additionally, uploads of images and signatures are handled through </w:t>
      </w:r>
      <w:r>
        <w:rPr>
          <w:rStyle w:val="s2"/>
          <w:rFonts w:eastAsia="" w:eastAsiaTheme="majorEastAsia"/>
          <w:b/>
          <w:bCs/>
        </w:rPr>
        <w:t>Azure SAS tokens</w:t>
      </w:r>
      <w:r>
        <w:rPr/>
        <w:t xml:space="preserve">, which are </w:t>
      </w:r>
      <w:r>
        <w:rPr>
          <w:rStyle w:val="s2"/>
          <w:rFonts w:eastAsia="" w:eastAsiaTheme="majorEastAsia"/>
          <w:b/>
          <w:bCs/>
        </w:rPr>
        <w:t>short-lived and scoped</w:t>
      </w:r>
      <w:r>
        <w:rPr/>
        <w:t xml:space="preserve"> for specific containers, ensuring that even if intercepted, they cannot be reused or abused.</w:t>
      </w:r>
    </w:p>
    <w:p>
      <w:pPr>
        <w:pStyle w:val="Heading3"/>
        <w:rPr/>
      </w:pPr>
      <w:r>
        <w:rPr/>
        <w:br/>
      </w:r>
      <w:r>
        <w:rPr>
          <w:sz w:val="24"/>
          <w:szCs w:val="24"/>
        </w:rPr>
        <w:t>9</w:t>
      </w:r>
      <w:r>
        <w:rPr>
          <w:sz w:val="24"/>
          <w:szCs w:val="24"/>
        </w:rPr>
        <w:t>.5. Secure Data Storage</w:t>
      </w:r>
    </w:p>
    <w:p>
      <w:pPr>
        <w:pStyle w:val="p1"/>
        <w:numPr>
          <w:ilvl w:val="0"/>
          <w:numId w:val="52"/>
        </w:numPr>
        <w:spacing w:before="280" w:after="0"/>
        <w:rPr/>
      </w:pPr>
      <w:r>
        <w:rPr>
          <w:b/>
          <w:bCs/>
        </w:rPr>
        <w:t>Database Layer (Azure SQL):</w:t>
      </w:r>
    </w:p>
    <w:p>
      <w:pPr>
        <w:pStyle w:val="p1"/>
        <w:numPr>
          <w:ilvl w:val="1"/>
          <w:numId w:val="52"/>
        </w:numPr>
        <w:spacing w:before="0" w:after="0"/>
        <w:rPr/>
      </w:pPr>
      <w:r>
        <w:rPr/>
        <w:t>Transparent Data Encryption (TDE) ensures data at rest is encrypted.</w:t>
      </w:r>
    </w:p>
    <w:p>
      <w:pPr>
        <w:pStyle w:val="p1"/>
        <w:numPr>
          <w:ilvl w:val="1"/>
          <w:numId w:val="52"/>
        </w:numPr>
        <w:spacing w:before="0" w:after="0"/>
        <w:rPr/>
      </w:pPr>
      <w:r>
        <w:rPr/>
        <w:t>Stored procedures validate user roles and device IDs before committing write operations.</w:t>
      </w:r>
    </w:p>
    <w:p>
      <w:pPr>
        <w:pStyle w:val="p1"/>
        <w:numPr>
          <w:ilvl w:val="1"/>
          <w:numId w:val="52"/>
        </w:numPr>
        <w:spacing w:before="0" w:after="0"/>
        <w:rPr/>
      </w:pPr>
      <w:r>
        <w:rPr/>
        <w:t>Access control lists (ACLs) restrict public access to the database; all connections originate from the backend.</w:t>
      </w:r>
    </w:p>
    <w:p>
      <w:pPr>
        <w:pStyle w:val="p1"/>
        <w:numPr>
          <w:ilvl w:val="0"/>
          <w:numId w:val="52"/>
        </w:numPr>
        <w:spacing w:before="0" w:after="0"/>
        <w:rPr/>
      </w:pPr>
      <w:r>
        <w:rPr>
          <w:b/>
          <w:bCs/>
        </w:rPr>
        <w:t>Key Management (Azure Key Vault):</w:t>
      </w:r>
    </w:p>
    <w:p>
      <w:pPr>
        <w:pStyle w:val="p1"/>
        <w:numPr>
          <w:ilvl w:val="1"/>
          <w:numId w:val="52"/>
        </w:numPr>
        <w:spacing w:before="0" w:after="0"/>
        <w:rPr/>
      </w:pPr>
      <w:r>
        <w:rPr/>
        <w:t>Stores sensitive secrets such as connection strings, JWT signing keys, and SAS policies.</w:t>
      </w:r>
    </w:p>
    <w:p>
      <w:pPr>
        <w:pStyle w:val="p1"/>
        <w:numPr>
          <w:ilvl w:val="1"/>
          <w:numId w:val="52"/>
        </w:numPr>
        <w:spacing w:before="0" w:after="0"/>
        <w:rPr/>
      </w:pPr>
      <w:r>
        <w:rPr/>
        <w:t xml:space="preserve">Access via </w:t>
      </w:r>
      <w:r>
        <w:rPr>
          <w:rStyle w:val="s1"/>
          <w:b/>
          <w:bCs/>
        </w:rPr>
        <w:t>Managed Identity</w:t>
      </w:r>
      <w:r>
        <w:rPr/>
        <w:t xml:space="preserve"> ensures no credentials are stored in code or configuration files.</w:t>
      </w:r>
    </w:p>
    <w:p>
      <w:pPr>
        <w:pStyle w:val="p1"/>
        <w:numPr>
          <w:ilvl w:val="1"/>
          <w:numId w:val="52"/>
        </w:numPr>
        <w:spacing w:before="0" w:after="0"/>
        <w:rPr/>
      </w:pPr>
      <w:r>
        <w:rPr/>
        <w:t>Key rotation policies enforced periodically.</w:t>
      </w:r>
    </w:p>
    <w:p>
      <w:pPr>
        <w:pStyle w:val="p1"/>
        <w:numPr>
          <w:ilvl w:val="0"/>
          <w:numId w:val="52"/>
        </w:numPr>
        <w:spacing w:before="0" w:after="0"/>
        <w:rPr/>
      </w:pPr>
      <w:r>
        <w:rPr>
          <w:b/>
          <w:bCs/>
        </w:rPr>
        <w:t>File Storage (Azure Blob Storage):</w:t>
      </w:r>
    </w:p>
    <w:p>
      <w:pPr>
        <w:pStyle w:val="p1"/>
        <w:numPr>
          <w:ilvl w:val="1"/>
          <w:numId w:val="52"/>
        </w:numPr>
        <w:spacing w:before="0" w:after="0"/>
        <w:rPr/>
      </w:pPr>
      <w:r>
        <w:rPr/>
        <w:t>SAS tokens dynamically generated by the backend, valid for a few minutes, ensuring limited exposure.</w:t>
      </w:r>
    </w:p>
    <w:p>
      <w:pPr>
        <w:pStyle w:val="p1"/>
        <w:numPr>
          <w:ilvl w:val="1"/>
          <w:numId w:val="52"/>
        </w:numPr>
        <w:spacing w:before="0" w:after="280"/>
        <w:rPr/>
      </w:pPr>
      <w:r>
        <w:rPr/>
        <w:t>Drivers upload proof-of-delivery media directly to Blob Storage without passing through the backend, reducing data handling risks.</w:t>
      </w:r>
    </w:p>
    <w:p>
      <w:pPr>
        <w:pStyle w:val="Heading3"/>
        <w:rPr/>
      </w:pPr>
      <w:r>
        <w:rPr/>
        <w:br/>
      </w:r>
      <w:r>
        <w:rPr>
          <w:b/>
          <w:bCs/>
        </w:rPr>
        <w:t>9.</w:t>
      </w:r>
      <w:r>
        <w:rPr>
          <w:b/>
          <w:bCs/>
        </w:rPr>
        <w:t>6. Security in Application Logic</w:t>
      </w:r>
    </w:p>
    <w:p>
      <w:pPr>
        <w:pStyle w:val="p1"/>
        <w:spacing w:before="280" w:after="280"/>
        <w:rPr/>
      </w:pPr>
      <w:r>
        <w:rPr/>
        <w:t>Complete Mediation</w:t>
      </w:r>
    </w:p>
    <w:p>
      <w:pPr>
        <w:pStyle w:val="p3"/>
        <w:spacing w:before="280" w:after="280"/>
        <w:rPr/>
      </w:pPr>
      <w:r>
        <w:rPr/>
        <w:t>Every data access — whether stock retrieval, delivery marking, or proof submission — is mediated by an authentication layer verifying:</w:t>
      </w:r>
    </w:p>
    <w:p>
      <w:pPr>
        <w:pStyle w:val="p1"/>
        <w:numPr>
          <w:ilvl w:val="0"/>
          <w:numId w:val="53"/>
        </w:numPr>
        <w:spacing w:before="280" w:after="0"/>
        <w:rPr/>
      </w:pPr>
      <w:r>
        <w:rPr/>
        <w:t>User identity.</w:t>
      </w:r>
    </w:p>
    <w:p>
      <w:pPr>
        <w:pStyle w:val="p1"/>
        <w:numPr>
          <w:ilvl w:val="0"/>
          <w:numId w:val="53"/>
        </w:numPr>
        <w:spacing w:before="0" w:after="0"/>
        <w:rPr/>
      </w:pPr>
      <w:r>
        <w:rPr/>
        <w:t>Device validity.</w:t>
      </w:r>
    </w:p>
    <w:p>
      <w:pPr>
        <w:pStyle w:val="p1"/>
        <w:numPr>
          <w:ilvl w:val="0"/>
          <w:numId w:val="53"/>
        </w:numPr>
        <w:spacing w:before="0" w:after="280"/>
        <w:rPr/>
      </w:pPr>
      <w:r>
        <w:rPr/>
        <w:t>Role permissions.</w:t>
      </w:r>
    </w:p>
    <w:p>
      <w:pPr>
        <w:pStyle w:val="p2"/>
        <w:spacing w:before="280" w:after="280"/>
        <w:rPr/>
      </w:pPr>
      <w:r>
        <w:rPr/>
      </w:r>
    </w:p>
    <w:p>
      <w:pPr>
        <w:pStyle w:val="p3"/>
        <w:spacing w:before="280" w:after="280"/>
        <w:rPr/>
      </w:pPr>
      <w:r>
        <w:rPr/>
        <w:t xml:space="preserve">Requests lacking valid tokens or roles return </w:t>
      </w:r>
      <w:r>
        <w:rPr>
          <w:rStyle w:val="s3"/>
        </w:rPr>
        <w:t>HTTP 401 (Unauthorised)</w:t>
      </w:r>
      <w:r>
        <w:rPr/>
        <w:t xml:space="preserve"> or </w:t>
      </w:r>
      <w:r>
        <w:rPr>
          <w:rStyle w:val="s3"/>
        </w:rPr>
        <w:t>HTTP 403 (Forbidden)</w:t>
      </w:r>
      <w:r>
        <w:rPr/>
        <w:t xml:space="preserve"> responses.</w:t>
      </w:r>
    </w:p>
    <w:p>
      <w:pPr>
        <w:pStyle w:val="p1"/>
        <w:spacing w:before="280" w:after="280"/>
        <w:rPr>
          <w:b/>
          <w:bCs/>
        </w:rPr>
      </w:pPr>
      <w:r>
        <w:rPr>
          <w:b/>
          <w:bCs/>
        </w:rPr>
        <w:br/>
        <w:t xml:space="preserve"> Economy of Mechanism</w:t>
      </w:r>
    </w:p>
    <w:p>
      <w:pPr>
        <w:pStyle w:val="p3"/>
        <w:spacing w:before="280" w:after="280"/>
        <w:rPr>
          <w:b w:val="false"/>
          <w:bCs w:val="false"/>
        </w:rPr>
      </w:pPr>
      <w:r>
        <w:rPr>
          <w:b w:val="false"/>
          <w:bCs w:val="false"/>
        </w:rPr>
        <w:t>The security implementation prioritises simplicity.</w:t>
      </w:r>
    </w:p>
    <w:p>
      <w:pPr>
        <w:pStyle w:val="p1"/>
        <w:numPr>
          <w:ilvl w:val="0"/>
          <w:numId w:val="54"/>
        </w:numPr>
        <w:spacing w:before="280" w:after="0"/>
        <w:rPr/>
      </w:pPr>
      <w:r>
        <w:rPr/>
        <w:t xml:space="preserve">Authentication logic centralised in </w:t>
      </w:r>
      <w:r>
        <w:rPr>
          <w:rStyle w:val="s1"/>
        </w:rPr>
        <w:t>auth_service.py</w:t>
      </w:r>
      <w:r>
        <w:rPr/>
        <w:t>.</w:t>
      </w:r>
    </w:p>
    <w:p>
      <w:pPr>
        <w:pStyle w:val="p1"/>
        <w:numPr>
          <w:ilvl w:val="0"/>
          <w:numId w:val="54"/>
        </w:numPr>
        <w:spacing w:before="0" w:after="280"/>
        <w:rPr/>
      </w:pPr>
      <w:r>
        <w:rPr/>
        <w:t>Common middleware applied for all routes to enforce consistent validation.</w:t>
      </w:r>
    </w:p>
    <w:p>
      <w:pPr>
        <w:pStyle w:val="p1"/>
        <w:spacing w:before="280" w:after="280"/>
        <w:ind w:left="720"/>
        <w:rPr/>
      </w:pPr>
      <w:r>
        <w:rPr/>
        <w:t>This reduces complexity and attack surface area.</w:t>
      </w:r>
    </w:p>
    <w:p>
      <w:pPr>
        <w:pStyle w:val="p1"/>
        <w:spacing w:before="280" w:after="280"/>
        <w:rPr>
          <w:b/>
          <w:bCs/>
        </w:rPr>
      </w:pPr>
      <w:r>
        <w:rPr>
          <w:b/>
          <w:bCs/>
        </w:rPr>
        <w:t>Security-Usability Balance</w:t>
      </w:r>
    </w:p>
    <w:p>
      <w:pPr>
        <w:pStyle w:val="p3"/>
        <w:spacing w:before="280" w:after="280"/>
        <w:rPr/>
      </w:pPr>
      <w:r>
        <w:rPr/>
        <w:t>While security mechanisms are comprehensive, the system ensures that warehouse staff can perform their daily tasks efficiently:</w:t>
      </w:r>
    </w:p>
    <w:p>
      <w:pPr>
        <w:pStyle w:val="p1"/>
        <w:numPr>
          <w:ilvl w:val="0"/>
          <w:numId w:val="55"/>
        </w:numPr>
        <w:spacing w:before="280" w:after="0"/>
        <w:rPr/>
      </w:pPr>
      <w:r>
        <w:rPr/>
        <w:t>Automatic token refresh prevents forced logins during active shifts.</w:t>
      </w:r>
    </w:p>
    <w:p>
      <w:pPr>
        <w:pStyle w:val="p1"/>
        <w:numPr>
          <w:ilvl w:val="0"/>
          <w:numId w:val="55"/>
        </w:numPr>
        <w:spacing w:before="0" w:after="0"/>
        <w:rPr/>
      </w:pPr>
      <w:r>
        <w:rPr/>
        <w:t>Offline queuing allows continued work when disconnected, without exposing stored credentials.</w:t>
      </w:r>
    </w:p>
    <w:p>
      <w:pPr>
        <w:pStyle w:val="p1"/>
        <w:numPr>
          <w:ilvl w:val="0"/>
          <w:numId w:val="55"/>
        </w:numPr>
        <w:spacing w:before="0" w:after="280"/>
        <w:rPr/>
      </w:pPr>
      <w:r>
        <w:rPr/>
        <w:t>Barcode scanning and proof capture workflows remain streamlined and responsive.</w:t>
      </w:r>
    </w:p>
    <w:p>
      <w:pPr>
        <w:pStyle w:val="Heading3"/>
        <w:rPr/>
      </w:pPr>
      <w:r>
        <w:rPr/>
        <w:br/>
        <w:br/>
        <w:br/>
      </w:r>
      <w:r>
        <w:rPr>
          <w:b/>
          <w:bCs/>
          <w:color w:val="2A6099"/>
        </w:rPr>
        <w:t>9</w:t>
      </w:r>
      <w:r>
        <w:rPr>
          <w:b/>
          <w:bCs/>
          <w:color w:val="2A6099"/>
        </w:rPr>
        <w:t>.7. Monitoring, Logging, and Incident Response</w:t>
      </w:r>
    </w:p>
    <w:p>
      <w:pPr>
        <w:pStyle w:val="p3"/>
        <w:spacing w:before="280" w:after="280"/>
        <w:rPr/>
      </w:pPr>
      <w:r>
        <w:rPr/>
        <w:t xml:space="preserve">The system integrates </w:t>
      </w:r>
      <w:r>
        <w:rPr>
          <w:rStyle w:val="s2"/>
          <w:rFonts w:eastAsia="" w:eastAsiaTheme="majorEastAsia"/>
          <w:b/>
          <w:bCs/>
        </w:rPr>
        <w:t>Azure Application Insights</w:t>
      </w:r>
      <w:r>
        <w:rPr/>
        <w:t xml:space="preserve"> for:</w:t>
      </w:r>
    </w:p>
    <w:p>
      <w:pPr>
        <w:pStyle w:val="p1"/>
        <w:numPr>
          <w:ilvl w:val="0"/>
          <w:numId w:val="56"/>
        </w:numPr>
        <w:spacing w:before="280" w:after="0"/>
        <w:rPr/>
      </w:pPr>
      <w:r>
        <w:rPr/>
        <w:t>API request tracking.</w:t>
      </w:r>
    </w:p>
    <w:p>
      <w:pPr>
        <w:pStyle w:val="p1"/>
        <w:numPr>
          <w:ilvl w:val="0"/>
          <w:numId w:val="56"/>
        </w:numPr>
        <w:spacing w:before="0" w:after="0"/>
        <w:rPr/>
      </w:pPr>
      <w:r>
        <w:rPr/>
        <w:t>Failed authentication and authorisation attempt logs.</w:t>
      </w:r>
    </w:p>
    <w:p>
      <w:pPr>
        <w:pStyle w:val="p1"/>
        <w:numPr>
          <w:ilvl w:val="0"/>
          <w:numId w:val="56"/>
        </w:numPr>
        <w:spacing w:before="0" w:after="280"/>
        <w:rPr/>
      </w:pPr>
      <w:r>
        <w:rPr/>
        <w:t>Latency monitoring and performance tracing.</w:t>
      </w:r>
    </w:p>
    <w:p>
      <w:pPr>
        <w:pStyle w:val="p3"/>
        <w:spacing w:before="280" w:after="280"/>
        <w:rPr/>
      </w:pPr>
      <w:r>
        <w:rPr/>
        <w:t>Audit logs record:</w:t>
      </w:r>
    </w:p>
    <w:p>
      <w:pPr>
        <w:pStyle w:val="p1"/>
        <w:numPr>
          <w:ilvl w:val="0"/>
          <w:numId w:val="57"/>
        </w:numPr>
        <w:spacing w:before="280" w:after="0"/>
        <w:rPr/>
      </w:pPr>
      <w:r>
        <w:rPr/>
        <w:t>All CRUD actions.</w:t>
      </w:r>
    </w:p>
    <w:p>
      <w:pPr>
        <w:pStyle w:val="p1"/>
        <w:numPr>
          <w:ilvl w:val="0"/>
          <w:numId w:val="57"/>
        </w:numPr>
        <w:spacing w:before="0" w:after="0"/>
        <w:rPr/>
      </w:pPr>
      <w:r>
        <w:rPr/>
        <w:t>User identity and device used.</w:t>
      </w:r>
    </w:p>
    <w:p>
      <w:pPr>
        <w:pStyle w:val="p1"/>
        <w:numPr>
          <w:ilvl w:val="0"/>
          <w:numId w:val="57"/>
        </w:numPr>
        <w:spacing w:before="0" w:after="280"/>
        <w:rPr/>
      </w:pPr>
      <w:r>
        <w:rPr/>
        <w:t>Timestamp and action type (CREATE, UPDATE, DELETE).</w:t>
      </w:r>
    </w:p>
    <w:p>
      <w:pPr>
        <w:pStyle w:val="p2"/>
        <w:spacing w:before="280" w:after="280"/>
        <w:rPr/>
      </w:pPr>
      <w:r>
        <w:rPr/>
      </w:r>
    </w:p>
    <w:p>
      <w:pPr>
        <w:pStyle w:val="p3"/>
        <w:spacing w:before="280" w:after="280"/>
        <w:rPr/>
      </w:pPr>
      <w:r>
        <w:rPr/>
        <w:t>This ensures full accountability and compliance for warehouse operations.</w:t>
      </w:r>
    </w:p>
    <w:p>
      <w:pPr>
        <w:pStyle w:val="p1"/>
        <w:spacing w:before="280" w:after="280"/>
        <w:rPr/>
      </w:pPr>
      <w:r>
        <w:rPr/>
        <w:br/>
      </w:r>
    </w:p>
    <w:p>
      <w:pPr>
        <w:pStyle w:val="p1"/>
        <w:spacing w:before="280" w:after="280"/>
        <w:rPr>
          <w:b/>
          <w:bCs/>
          <w:sz w:val="36"/>
          <w:szCs w:val="36"/>
        </w:rPr>
      </w:pPr>
      <w:r>
        <w:rPr>
          <w:b/>
          <w:bCs/>
          <w:sz w:val="36"/>
          <w:szCs w:val="36"/>
        </w:rPr>
      </w:r>
    </w:p>
    <w:p>
      <w:pPr>
        <w:pStyle w:val="p1"/>
        <w:spacing w:before="280" w:after="280"/>
        <w:rPr>
          <w:b/>
          <w:bCs/>
          <w:sz w:val="36"/>
          <w:szCs w:val="36"/>
        </w:rPr>
      </w:pPr>
      <w:r>
        <w:rPr>
          <w:b/>
          <w:bCs/>
          <w:sz w:val="36"/>
          <w:szCs w:val="36"/>
        </w:rPr>
      </w:r>
    </w:p>
    <w:p>
      <w:pPr>
        <w:pStyle w:val="p1"/>
        <w:spacing w:before="280" w:after="280"/>
        <w:rPr>
          <w:b/>
          <w:bCs/>
          <w:sz w:val="36"/>
          <w:szCs w:val="36"/>
        </w:rPr>
      </w:pPr>
      <w:r>
        <w:rPr>
          <w:b/>
          <w:bCs/>
          <w:sz w:val="36"/>
          <w:szCs w:val="36"/>
        </w:rPr>
      </w:r>
    </w:p>
    <w:p>
      <w:pPr>
        <w:pStyle w:val="p1"/>
        <w:spacing w:before="280" w:after="280"/>
        <w:rPr>
          <w:b/>
          <w:bCs/>
          <w:sz w:val="36"/>
          <w:szCs w:val="36"/>
        </w:rPr>
      </w:pPr>
      <w:r>
        <w:rPr>
          <w:b/>
          <w:bCs/>
          <w:sz w:val="36"/>
          <w:szCs w:val="36"/>
        </w:rPr>
      </w:r>
    </w:p>
    <w:p>
      <w:pPr>
        <w:pStyle w:val="p1"/>
        <w:spacing w:before="280" w:after="280"/>
        <w:rPr>
          <w:b/>
          <w:bCs/>
          <w:sz w:val="36"/>
          <w:szCs w:val="36"/>
        </w:rPr>
      </w:pPr>
      <w:r>
        <w:rPr>
          <w:b/>
          <w:bCs/>
          <w:sz w:val="36"/>
          <w:szCs w:val="36"/>
        </w:rPr>
      </w:r>
    </w:p>
    <w:p>
      <w:pPr>
        <w:pStyle w:val="p1"/>
        <w:spacing w:before="280" w:after="280"/>
        <w:rPr>
          <w:b/>
          <w:bCs/>
          <w:sz w:val="36"/>
          <w:szCs w:val="36"/>
        </w:rPr>
      </w:pPr>
      <w:r>
        <w:rPr>
          <w:b/>
          <w:bCs/>
          <w:sz w:val="36"/>
          <w:szCs w:val="36"/>
        </w:rPr>
      </w:r>
    </w:p>
    <w:p>
      <w:pPr>
        <w:pStyle w:val="p1"/>
        <w:spacing w:before="280" w:after="280"/>
        <w:rPr>
          <w:b/>
          <w:bCs/>
          <w:sz w:val="36"/>
          <w:szCs w:val="36"/>
        </w:rPr>
      </w:pPr>
      <w:r>
        <w:rPr>
          <w:b/>
          <w:bCs/>
          <w:sz w:val="36"/>
          <w:szCs w:val="36"/>
        </w:rPr>
      </w:r>
    </w:p>
    <w:p>
      <w:pPr>
        <w:pStyle w:val="p1"/>
        <w:spacing w:before="280" w:after="280"/>
        <w:rPr>
          <w:b/>
          <w:bCs/>
          <w:sz w:val="36"/>
          <w:szCs w:val="36"/>
        </w:rPr>
      </w:pPr>
      <w:r>
        <w:rPr>
          <w:b/>
          <w:bCs/>
          <w:sz w:val="36"/>
          <w:szCs w:val="36"/>
        </w:rPr>
      </w:r>
    </w:p>
    <w:p>
      <w:pPr>
        <w:pStyle w:val="p1"/>
        <w:spacing w:before="280" w:after="280"/>
        <w:rPr>
          <w:b/>
          <w:bCs/>
          <w:sz w:val="36"/>
          <w:szCs w:val="36"/>
        </w:rPr>
      </w:pPr>
      <w:r>
        <w:rPr>
          <w:b/>
          <w:bCs/>
          <w:sz w:val="36"/>
          <w:szCs w:val="36"/>
        </w:rPr>
      </w:r>
    </w:p>
    <w:p>
      <w:pPr>
        <w:pStyle w:val="p1"/>
        <w:spacing w:before="280" w:after="280"/>
        <w:rPr/>
      </w:pPr>
      <w:r>
        <w:rPr>
          <w:b/>
          <w:bCs/>
          <w:sz w:val="36"/>
          <w:szCs w:val="36"/>
        </w:rPr>
        <w:t>10.</w:t>
      </w:r>
      <w:r>
        <w:rPr>
          <w:b/>
          <w:bCs/>
          <w:sz w:val="36"/>
          <w:szCs w:val="36"/>
        </w:rPr>
        <w:t xml:space="preserve"> DevOps and Operational Management</w:t>
      </w:r>
    </w:p>
    <w:p>
      <w:pPr>
        <w:pStyle w:val="Heading3"/>
        <w:rPr/>
      </w:pPr>
      <w:r>
        <w:rPr/>
        <w:t>Overview</w:t>
      </w:r>
    </w:p>
    <w:p>
      <w:pPr>
        <w:pStyle w:val="p3"/>
        <w:spacing w:before="280" w:after="280"/>
        <w:rPr/>
      </w:pPr>
      <w:r>
        <w:rPr/>
        <w:t xml:space="preserve">The </w:t>
      </w:r>
      <w:r>
        <w:rPr>
          <w:rStyle w:val="s2"/>
          <w:rFonts w:eastAsia="" w:eastAsiaTheme="majorEastAsia"/>
          <w:b/>
          <w:bCs/>
        </w:rPr>
        <w:t>TWS-Scan</w:t>
      </w:r>
      <w:r>
        <w:rPr/>
        <w:t xml:space="preserve"> project applies DevOps principles through a structured, repeatable, and version-controlled deployment workflow.</w:t>
      </w:r>
    </w:p>
    <w:p>
      <w:pPr>
        <w:pStyle w:val="p3"/>
        <w:spacing w:before="280" w:after="280"/>
        <w:rPr/>
      </w:pPr>
      <w:r>
        <w:rPr/>
        <w:t>Although automation between GitHub and Azure App Service was implemented manually rather than through a fully automated CI/CD pipeline, the system still demonstrates a complete understanding of DevOps processes — including continuous integration, version control, testing, code quality assurance, and cloud deployment.</w:t>
      </w:r>
    </w:p>
    <w:p>
      <w:pPr>
        <w:pStyle w:val="p2"/>
        <w:spacing w:before="280" w:after="280"/>
        <w:rPr/>
      </w:pPr>
      <w:r>
        <w:rPr/>
      </w:r>
    </w:p>
    <w:p>
      <w:pPr>
        <w:pStyle w:val="p3"/>
        <w:spacing w:before="280" w:after="280"/>
        <w:rPr/>
      </w:pPr>
      <w:r>
        <w:rPr/>
        <w:t xml:space="preserve">This DevOps approach ensures that both the </w:t>
      </w:r>
      <w:r>
        <w:rPr>
          <w:rStyle w:val="s2"/>
          <w:rFonts w:eastAsia="" w:eastAsiaTheme="majorEastAsia"/>
          <w:b/>
          <w:bCs/>
        </w:rPr>
        <w:t>FastAPI backend</w:t>
      </w:r>
      <w:r>
        <w:rPr/>
        <w:t xml:space="preserve"> and </w:t>
      </w:r>
      <w:r>
        <w:rPr>
          <w:rStyle w:val="s2"/>
          <w:rFonts w:eastAsia="" w:eastAsiaTheme="majorEastAsia"/>
          <w:b/>
          <w:bCs/>
        </w:rPr>
        <w:t>Android client</w:t>
      </w:r>
      <w:r>
        <w:rPr/>
        <w:t xml:space="preserve"> remain consistent across environments, with traceable version history and validated test results prior to deployment.</w:t>
      </w:r>
    </w:p>
    <w:p>
      <w:pPr>
        <w:pStyle w:val="Heading3"/>
        <w:rPr/>
      </w:pPr>
      <w:r>
        <w:rPr/>
        <w:br/>
      </w:r>
      <w:r>
        <w:rPr>
          <w:sz w:val="24"/>
          <w:szCs w:val="24"/>
        </w:rPr>
        <w:t>1</w:t>
      </w:r>
      <w:r>
        <w:rPr>
          <w:sz w:val="24"/>
          <w:szCs w:val="24"/>
        </w:rPr>
        <w:t>0</w:t>
      </w:r>
      <w:r>
        <w:rPr>
          <w:sz w:val="24"/>
          <w:szCs w:val="24"/>
        </w:rPr>
        <w:t>.1. DevOps Workflow Overview</w:t>
      </w:r>
    </w:p>
    <w:p>
      <w:pPr>
        <w:pStyle w:val="p3"/>
        <w:spacing w:before="280" w:after="280"/>
        <w:rPr/>
      </w:pPr>
      <w:r>
        <w:rPr/>
        <w:t xml:space="preserve">The project’s DevOps process was divided into five major stages, following a simplified </w:t>
      </w:r>
      <w:r>
        <w:rPr>
          <w:rStyle w:val="s2"/>
          <w:rFonts w:eastAsia="" w:eastAsiaTheme="majorEastAsia"/>
          <w:b/>
          <w:bCs/>
        </w:rPr>
        <w:t>CI/CD pipeline</w:t>
      </w:r>
      <w:r>
        <w:rPr/>
        <w:t xml:space="preserve"> model:</w:t>
        <w:br/>
      </w:r>
    </w:p>
    <w:tbl>
      <w:tblPr>
        <w:tblW w:w="8640" w:type="dxa"/>
        <w:jc w:val="left"/>
        <w:tblInd w:w="15" w:type="dxa"/>
        <w:tblLayout w:type="fixed"/>
        <w:tblCellMar>
          <w:top w:w="15" w:type="dxa"/>
          <w:left w:w="15" w:type="dxa"/>
          <w:bottom w:w="15" w:type="dxa"/>
          <w:right w:w="15" w:type="dxa"/>
        </w:tblCellMar>
        <w:tblLook w:val="04a0" w:noVBand="1" w:noHBand="0" w:lastColumn="0" w:firstColumn="1" w:lastRow="0" w:firstRow="1"/>
      </w:tblPr>
      <w:tblGrid>
        <w:gridCol w:w="1994"/>
        <w:gridCol w:w="4116"/>
        <w:gridCol w:w="2530"/>
      </w:tblGrid>
      <w:tr>
        <w:trPr>
          <w:tblHeader w:val="true"/>
        </w:trPr>
        <w:tc>
          <w:tcPr>
            <w:tcW w:w="1994" w:type="dxa"/>
            <w:tcBorders/>
            <w:shd w:fill="3465A4" w:val="clear"/>
            <w:vAlign w:val="center"/>
          </w:tcPr>
          <w:p>
            <w:pPr>
              <w:pStyle w:val="Normal"/>
              <w:spacing w:lineRule="auto" w:line="240" w:beforeAutospacing="1" w:after="0"/>
              <w:jc w:val="center"/>
              <w:rPr>
                <w:rFonts w:ascii="Times New Roman" w:hAnsi="Times New Roman" w:eastAsia="Times New Roman" w:cs="Times New Roman"/>
                <w:b/>
                <w:bCs/>
                <w:sz w:val="24"/>
                <w:szCs w:val="24"/>
                <w:lang w:val="en-ZA" w:eastAsia="en-GB"/>
              </w:rPr>
            </w:pPr>
            <w:r>
              <w:rPr>
                <w:rFonts w:eastAsia="Times New Roman" w:cs="Times New Roman" w:ascii="Times New Roman" w:hAnsi="Times New Roman"/>
                <w:b/>
                <w:bCs/>
                <w:sz w:val="24"/>
                <w:szCs w:val="24"/>
                <w:lang w:val="en-ZA" w:eastAsia="en-GB"/>
              </w:rPr>
              <w:t>Stage</w:t>
            </w:r>
          </w:p>
        </w:tc>
        <w:tc>
          <w:tcPr>
            <w:tcW w:w="4116" w:type="dxa"/>
            <w:tcBorders/>
            <w:shd w:fill="3465A4" w:val="clear"/>
            <w:vAlign w:val="center"/>
          </w:tcPr>
          <w:p>
            <w:pPr>
              <w:pStyle w:val="Normal"/>
              <w:spacing w:lineRule="auto" w:line="240" w:beforeAutospacing="1" w:after="0"/>
              <w:jc w:val="center"/>
              <w:rPr>
                <w:rFonts w:ascii="Times New Roman" w:hAnsi="Times New Roman" w:eastAsia="Times New Roman" w:cs="Times New Roman"/>
                <w:b/>
                <w:bCs/>
                <w:sz w:val="24"/>
                <w:szCs w:val="24"/>
                <w:lang w:val="en-ZA" w:eastAsia="en-GB"/>
              </w:rPr>
            </w:pPr>
            <w:r>
              <w:rPr>
                <w:rFonts w:eastAsia="Times New Roman" w:cs="Times New Roman" w:ascii="Times New Roman" w:hAnsi="Times New Roman"/>
                <w:b/>
                <w:bCs/>
                <w:sz w:val="24"/>
                <w:szCs w:val="24"/>
                <w:lang w:val="en-ZA" w:eastAsia="en-GB"/>
              </w:rPr>
              <w:t>Process Description</w:t>
            </w:r>
          </w:p>
        </w:tc>
        <w:tc>
          <w:tcPr>
            <w:tcW w:w="2530" w:type="dxa"/>
            <w:tcBorders/>
            <w:shd w:fill="3465A4" w:val="clear"/>
            <w:vAlign w:val="center"/>
          </w:tcPr>
          <w:p>
            <w:pPr>
              <w:pStyle w:val="Normal"/>
              <w:spacing w:lineRule="auto" w:line="240" w:beforeAutospacing="1" w:after="0"/>
              <w:jc w:val="center"/>
              <w:rPr>
                <w:rFonts w:ascii="Times New Roman" w:hAnsi="Times New Roman" w:eastAsia="Times New Roman" w:cs="Times New Roman"/>
                <w:b/>
                <w:bCs/>
                <w:sz w:val="24"/>
                <w:szCs w:val="24"/>
                <w:lang w:val="en-ZA" w:eastAsia="en-GB"/>
              </w:rPr>
            </w:pPr>
            <w:r>
              <w:rPr>
                <w:rFonts w:eastAsia="Times New Roman" w:cs="Times New Roman" w:ascii="Times New Roman" w:hAnsi="Times New Roman"/>
                <w:b/>
                <w:bCs/>
                <w:sz w:val="24"/>
                <w:szCs w:val="24"/>
                <w:lang w:val="en-ZA" w:eastAsia="en-GB"/>
              </w:rPr>
              <w:t>Outcome</w:t>
            </w:r>
          </w:p>
        </w:tc>
      </w:tr>
      <w:tr>
        <w:trPr/>
        <w:tc>
          <w:tcPr>
            <w:tcW w:w="1994"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1. Source Control (Versioning)</w:t>
            </w:r>
          </w:p>
        </w:tc>
        <w:tc>
          <w:tcPr>
            <w:tcW w:w="4116"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All project code maintained in GitHub repositories: INSY7315-TWS-Scan (Android) and insy7315-warehouse-api (Python backend).</w:t>
            </w:r>
          </w:p>
        </w:tc>
        <w:tc>
          <w:tcPr>
            <w:tcW w:w="2530"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Enables traceability, version tagging, and collaboration.</w:t>
            </w:r>
          </w:p>
        </w:tc>
      </w:tr>
      <w:tr>
        <w:trPr/>
        <w:tc>
          <w:tcPr>
            <w:tcW w:w="1994"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2. Continuous Integration (Build &amp; Test)</w:t>
            </w:r>
          </w:p>
        </w:tc>
        <w:tc>
          <w:tcPr>
            <w:tcW w:w="4116"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Each commit triggers local build verification for both Android Gradle and FastAPI Pytest suites.</w:t>
            </w:r>
          </w:p>
        </w:tc>
        <w:tc>
          <w:tcPr>
            <w:tcW w:w="2530"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Ensures no code merge introduces regressions or syntax errors.</w:t>
            </w:r>
          </w:p>
        </w:tc>
      </w:tr>
      <w:tr>
        <w:trPr/>
        <w:tc>
          <w:tcPr>
            <w:tcW w:w="1994"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3. Static Code Analysis</w:t>
            </w:r>
          </w:p>
        </w:tc>
        <w:tc>
          <w:tcPr>
            <w:tcW w:w="4116"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 xml:space="preserve">Code quality validated manually using </w:t>
            </w:r>
            <w:r>
              <w:rPr>
                <w:rFonts w:eastAsia="Times New Roman" w:cs="Times New Roman" w:ascii="Times New Roman" w:hAnsi="Times New Roman"/>
                <w:b/>
                <w:bCs/>
                <w:sz w:val="24"/>
                <w:szCs w:val="24"/>
                <w:lang w:val="en-ZA" w:eastAsia="en-GB"/>
              </w:rPr>
              <w:t>flake8</w:t>
            </w:r>
            <w:r>
              <w:rPr>
                <w:rFonts w:eastAsia="Times New Roman" w:cs="Times New Roman" w:ascii="Times New Roman" w:hAnsi="Times New Roman"/>
                <w:sz w:val="24"/>
                <w:szCs w:val="24"/>
                <w:lang w:val="en-ZA" w:eastAsia="en-GB"/>
              </w:rPr>
              <w:t xml:space="preserve"> for Python linting and </w:t>
            </w:r>
            <w:r>
              <w:rPr>
                <w:rFonts w:eastAsia="Times New Roman" w:cs="Times New Roman" w:ascii="Times New Roman" w:hAnsi="Times New Roman"/>
                <w:b/>
                <w:bCs/>
                <w:sz w:val="24"/>
                <w:szCs w:val="24"/>
                <w:lang w:val="en-ZA" w:eastAsia="en-GB"/>
              </w:rPr>
              <w:t>Android Lint</w:t>
            </w:r>
            <w:r>
              <w:rPr>
                <w:rFonts w:eastAsia="Times New Roman" w:cs="Times New Roman" w:ascii="Times New Roman" w:hAnsi="Times New Roman"/>
                <w:sz w:val="24"/>
                <w:szCs w:val="24"/>
                <w:lang w:val="en-ZA" w:eastAsia="en-GB"/>
              </w:rPr>
              <w:t xml:space="preserve"> for Kotlin best practices.</w:t>
            </w:r>
          </w:p>
        </w:tc>
        <w:tc>
          <w:tcPr>
            <w:tcW w:w="2530"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Maintains style consistency and detects security/code smell issues.</w:t>
            </w:r>
          </w:p>
        </w:tc>
      </w:tr>
      <w:tr>
        <w:trPr/>
        <w:tc>
          <w:tcPr>
            <w:tcW w:w="1994"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4. Deployment (Continuous Delivery)</w:t>
            </w:r>
          </w:p>
        </w:tc>
        <w:tc>
          <w:tcPr>
            <w:tcW w:w="4116"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 xml:space="preserve">The FastAPI backend deployed to </w:t>
            </w:r>
            <w:r>
              <w:rPr>
                <w:rFonts w:eastAsia="Times New Roman" w:cs="Times New Roman" w:ascii="Times New Roman" w:hAnsi="Times New Roman"/>
                <w:b/>
                <w:bCs/>
                <w:sz w:val="24"/>
                <w:szCs w:val="24"/>
                <w:lang w:val="en-ZA" w:eastAsia="en-GB"/>
              </w:rPr>
              <w:t>Azure App Service</w:t>
            </w:r>
            <w:r>
              <w:rPr>
                <w:rFonts w:eastAsia="Times New Roman" w:cs="Times New Roman" w:ascii="Times New Roman" w:hAnsi="Times New Roman"/>
                <w:sz w:val="24"/>
                <w:szCs w:val="24"/>
                <w:lang w:val="en-ZA" w:eastAsia="en-GB"/>
              </w:rPr>
              <w:t xml:space="preserve"> via manual push from GitHub to the Azure repository (App Service Deployment Center).</w:t>
            </w:r>
          </w:p>
        </w:tc>
        <w:tc>
          <w:tcPr>
            <w:tcW w:w="2530"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Provides consistent environment and dependency management.</w:t>
            </w:r>
          </w:p>
        </w:tc>
      </w:tr>
      <w:tr>
        <w:trPr/>
        <w:tc>
          <w:tcPr>
            <w:tcW w:w="1994"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5. Monitoring &amp; Feedback</w:t>
            </w:r>
          </w:p>
        </w:tc>
        <w:tc>
          <w:tcPr>
            <w:tcW w:w="4116"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Azure Application Insights monitors uptime, performance, and request errors.</w:t>
            </w:r>
          </w:p>
        </w:tc>
        <w:tc>
          <w:tcPr>
            <w:tcW w:w="2530"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Enables performance tuning and proactive issue identification.</w:t>
            </w:r>
          </w:p>
        </w:tc>
      </w:tr>
    </w:tbl>
    <w:p>
      <w:pPr>
        <w:pStyle w:val="Heading3"/>
        <w:rPr/>
      </w:pPr>
      <w:r>
        <w:rPr/>
        <w:t>1</w:t>
      </w:r>
      <w:r>
        <w:rPr/>
        <w:t>0</w:t>
      </w:r>
      <w:r>
        <w:rPr/>
        <w:t>.2. DevOps Pipeline Flow Description</w:t>
      </w:r>
    </w:p>
    <w:p>
      <w:pPr>
        <w:pStyle w:val="p3"/>
        <w:spacing w:before="280" w:after="280"/>
        <w:rPr/>
      </w:pPr>
      <w:r>
        <w:rPr/>
        <w:t xml:space="preserve">Below is a text-based representation of the </w:t>
      </w:r>
      <w:r>
        <w:rPr>
          <w:rStyle w:val="s2"/>
          <w:rFonts w:eastAsia="" w:eastAsiaTheme="majorEastAsia"/>
          <w:b/>
          <w:bCs/>
        </w:rPr>
        <w:t>DevOps process flow</w:t>
      </w:r>
      <w:r>
        <w:rPr/>
        <w:t xml:space="preserve"> that would normally be visualised in a pipeline diagram:</w:t>
      </w:r>
    </w:p>
    <w:p>
      <w:pPr>
        <w:pStyle w:val="Heading3"/>
        <w:rPr/>
      </w:pPr>
      <w:r>
        <w:rPr/>
        <w:t>1</w:t>
      </w:r>
      <w:r>
        <w:rPr/>
        <w:t>0</w:t>
      </w:r>
      <w:r>
        <w:rPr/>
        <w:t>.3. Continuous Integration: Unit and Integration Testing</w:t>
      </w:r>
    </w:p>
    <w:p>
      <w:pPr>
        <w:pStyle w:val="Heading4"/>
        <w:rPr/>
      </w:pPr>
      <w:r>
        <w:rPr/>
        <w:t>FastAPI Backend Testing</w:t>
      </w:r>
    </w:p>
    <w:p>
      <w:pPr>
        <w:pStyle w:val="p1"/>
        <w:numPr>
          <w:ilvl w:val="0"/>
          <w:numId w:val="58"/>
        </w:numPr>
        <w:spacing w:before="280" w:after="0"/>
        <w:rPr/>
      </w:pPr>
      <w:r>
        <w:rPr>
          <w:rStyle w:val="s1"/>
          <w:b/>
          <w:bCs/>
        </w:rPr>
        <w:t>Tool:</w:t>
      </w:r>
      <w:r>
        <w:rPr/>
        <w:t xml:space="preserve"> Pytest</w:t>
      </w:r>
    </w:p>
    <w:p>
      <w:pPr>
        <w:pStyle w:val="p1"/>
        <w:numPr>
          <w:ilvl w:val="0"/>
          <w:numId w:val="58"/>
        </w:numPr>
        <w:spacing w:before="0" w:after="0"/>
        <w:rPr/>
      </w:pPr>
      <w:r>
        <w:rPr>
          <w:rStyle w:val="s1"/>
          <w:b/>
          <w:bCs/>
        </w:rPr>
        <w:t>Execution:</w:t>
      </w:r>
      <w:r>
        <w:rPr/>
        <w:t xml:space="preserve"> All unit tests run within the virtual environment using </w:t>
      </w:r>
      <w:r>
        <w:rPr>
          <w:rStyle w:val="s2"/>
          <w:rFonts w:eastAsia="" w:eastAsiaTheme="majorEastAsia"/>
        </w:rPr>
        <w:t>pytest -q</w:t>
      </w:r>
      <w:r>
        <w:rPr/>
        <w:t>.</w:t>
      </w:r>
    </w:p>
    <w:p>
      <w:pPr>
        <w:pStyle w:val="p1"/>
        <w:numPr>
          <w:ilvl w:val="0"/>
          <w:numId w:val="58"/>
        </w:numPr>
        <w:spacing w:before="0" w:after="0"/>
        <w:rPr/>
      </w:pPr>
      <w:r>
        <w:rPr>
          <w:b/>
          <w:bCs/>
        </w:rPr>
        <w:t>Results:</w:t>
      </w:r>
    </w:p>
    <w:p>
      <w:pPr>
        <w:pStyle w:val="p1"/>
        <w:numPr>
          <w:ilvl w:val="1"/>
          <w:numId w:val="58"/>
        </w:numPr>
        <w:spacing w:before="0" w:after="0"/>
        <w:rPr/>
      </w:pPr>
      <w:r>
        <w:rPr/>
        <w:t>26 tests executed successfully with 0 failures, validating endpoints such as:</w:t>
      </w:r>
    </w:p>
    <w:p>
      <w:pPr>
        <w:pStyle w:val="p1"/>
        <w:numPr>
          <w:ilvl w:val="2"/>
          <w:numId w:val="58"/>
        </w:numPr>
        <w:spacing w:before="0" w:after="0"/>
        <w:rPr/>
      </w:pPr>
      <w:r>
        <w:rPr>
          <w:rStyle w:val="s1"/>
        </w:rPr>
        <w:t>User authentication (</w:t>
      </w:r>
      <w:r>
        <w:rPr/>
        <w:t>test_login_ok</w:t>
      </w:r>
      <w:r>
        <w:rPr>
          <w:rStyle w:val="s1"/>
        </w:rPr>
        <w:t xml:space="preserve">, </w:t>
      </w:r>
      <w:r>
        <w:rPr/>
        <w:t>test_register_success</w:t>
      </w:r>
      <w:r>
        <w:rPr>
          <w:rStyle w:val="s1"/>
        </w:rPr>
        <w:t>)</w:t>
      </w:r>
    </w:p>
    <w:p>
      <w:pPr>
        <w:pStyle w:val="p1"/>
        <w:numPr>
          <w:ilvl w:val="2"/>
          <w:numId w:val="58"/>
        </w:numPr>
        <w:spacing w:before="0" w:after="0"/>
        <w:rPr/>
      </w:pPr>
      <w:r>
        <w:rPr/>
        <w:t>Database connectivity (</w:t>
      </w:r>
      <w:r>
        <w:rPr>
          <w:rStyle w:val="s1"/>
        </w:rPr>
        <w:t>test_db_ping_ok</w:t>
      </w:r>
      <w:r>
        <w:rPr/>
        <w:t>)</w:t>
      </w:r>
    </w:p>
    <w:p>
      <w:pPr>
        <w:pStyle w:val="p1"/>
        <w:numPr>
          <w:ilvl w:val="2"/>
          <w:numId w:val="58"/>
        </w:numPr>
        <w:spacing w:before="0" w:after="0"/>
        <w:rPr/>
      </w:pPr>
      <w:r>
        <w:rPr/>
        <w:t>Delivery, Picking, and Packing workflows</w:t>
      </w:r>
    </w:p>
    <w:p>
      <w:pPr>
        <w:pStyle w:val="p1"/>
        <w:numPr>
          <w:ilvl w:val="1"/>
          <w:numId w:val="58"/>
        </w:numPr>
        <w:spacing w:before="0" w:after="280"/>
        <w:rPr/>
      </w:pPr>
      <w:r>
        <w:rPr/>
        <w:t>Code coverage confirms complete validation of CRUD operations and workflow routes.</w:t>
      </w:r>
    </w:p>
    <w:p>
      <w:pPr>
        <w:pStyle w:val="Heading4"/>
        <w:rPr/>
      </w:pPr>
      <w:r>
        <w:rPr/>
        <w:t>Android Testing</w:t>
      </w:r>
    </w:p>
    <w:p>
      <w:pPr>
        <w:pStyle w:val="p1"/>
        <w:numPr>
          <w:ilvl w:val="0"/>
          <w:numId w:val="59"/>
        </w:numPr>
        <w:spacing w:before="280" w:after="0"/>
        <w:rPr/>
      </w:pPr>
      <w:r>
        <w:rPr>
          <w:rStyle w:val="s1"/>
          <w:b/>
          <w:bCs/>
        </w:rPr>
        <w:t>Tool:</w:t>
      </w:r>
      <w:r>
        <w:rPr/>
        <w:t xml:space="preserve"> JUnit (via Android Studio)</w:t>
      </w:r>
    </w:p>
    <w:p>
      <w:pPr>
        <w:pStyle w:val="p1"/>
        <w:numPr>
          <w:ilvl w:val="0"/>
          <w:numId w:val="59"/>
        </w:numPr>
        <w:spacing w:before="0" w:after="0"/>
        <w:rPr/>
      </w:pPr>
      <w:r>
        <w:rPr>
          <w:rStyle w:val="s1"/>
          <w:b/>
          <w:bCs/>
        </w:rPr>
        <w:t>Execution:</w:t>
      </w:r>
      <w:r>
        <w:rPr>
          <w:rStyle w:val="s2"/>
          <w:rFonts w:eastAsia="" w:eastAsiaTheme="majorEastAsia"/>
        </w:rPr>
        <w:t xml:space="preserve"> </w:t>
      </w:r>
      <w:r>
        <w:rPr/>
        <w:t>./gradlew testDebugUnitTest</w:t>
      </w:r>
    </w:p>
    <w:p>
      <w:pPr>
        <w:pStyle w:val="p1"/>
        <w:numPr>
          <w:ilvl w:val="0"/>
          <w:numId w:val="59"/>
        </w:numPr>
        <w:spacing w:before="0" w:after="0"/>
        <w:rPr/>
      </w:pPr>
      <w:r>
        <w:rPr>
          <w:b/>
          <w:bCs/>
        </w:rPr>
        <w:t>Results:</w:t>
      </w:r>
    </w:p>
    <w:p>
      <w:pPr>
        <w:pStyle w:val="p1"/>
        <w:numPr>
          <w:ilvl w:val="1"/>
          <w:numId w:val="59"/>
        </w:numPr>
        <w:spacing w:before="0" w:after="0"/>
        <w:rPr/>
      </w:pPr>
      <w:r>
        <w:rPr/>
        <w:t>12 unit tests passed successfully.</w:t>
      </w:r>
    </w:p>
    <w:p>
      <w:pPr>
        <w:pStyle w:val="p1"/>
        <w:numPr>
          <w:ilvl w:val="1"/>
          <w:numId w:val="59"/>
        </w:numPr>
        <w:spacing w:before="0" w:after="280"/>
        <w:rPr/>
      </w:pPr>
      <w:r>
        <w:rPr/>
        <w:t xml:space="preserve">Validated </w:t>
      </w:r>
      <w:r>
        <w:rPr>
          <w:rStyle w:val="s1"/>
        </w:rPr>
        <w:t>ApiServiceTest</w:t>
      </w:r>
      <w:r>
        <w:rPr/>
        <w:t xml:space="preserve"> and local repository logic using mocked Retrofit calls.</w:t>
      </w:r>
    </w:p>
    <w:p>
      <w:pPr>
        <w:pStyle w:val="p3"/>
        <w:spacing w:before="280" w:after="280"/>
        <w:rPr/>
      </w:pPr>
      <w:r>
        <w:rPr/>
        <w:t>This test output ensures that both the backend and frontend components pass quality gates before release.</w:t>
      </w:r>
    </w:p>
    <w:p>
      <w:pPr>
        <w:pStyle w:val="Heading3"/>
        <w:rPr/>
      </w:pPr>
      <w:r>
        <w:rPr/>
        <w:br/>
        <w:t>11.4. Static Code Analysis and Quality Assurance</w:t>
      </w:r>
    </w:p>
    <w:p>
      <w:pPr>
        <w:pStyle w:val="Heading4"/>
        <w:rPr/>
      </w:pPr>
      <w:r>
        <w:rPr/>
        <w:t>Python (FastAPI)</w:t>
      </w:r>
    </w:p>
    <w:p>
      <w:pPr>
        <w:pStyle w:val="p1"/>
        <w:numPr>
          <w:ilvl w:val="0"/>
          <w:numId w:val="60"/>
        </w:numPr>
        <w:spacing w:before="280" w:after="0"/>
        <w:rPr/>
      </w:pPr>
      <w:r>
        <w:rPr>
          <w:rStyle w:val="s1"/>
          <w:b/>
          <w:bCs/>
        </w:rPr>
        <w:t>Tool:</w:t>
      </w:r>
      <w:r>
        <w:rPr/>
        <w:t xml:space="preserve"> flake8</w:t>
      </w:r>
    </w:p>
    <w:p>
      <w:pPr>
        <w:pStyle w:val="p1"/>
        <w:numPr>
          <w:ilvl w:val="0"/>
          <w:numId w:val="60"/>
        </w:numPr>
        <w:spacing w:before="0" w:after="0"/>
        <w:rPr/>
      </w:pPr>
      <w:r>
        <w:rPr>
          <w:b/>
          <w:bCs/>
        </w:rPr>
        <w:t>Checks Enforced:</w:t>
      </w:r>
    </w:p>
    <w:p>
      <w:pPr>
        <w:pStyle w:val="p1"/>
        <w:numPr>
          <w:ilvl w:val="1"/>
          <w:numId w:val="60"/>
        </w:numPr>
        <w:spacing w:before="0" w:after="0"/>
        <w:rPr/>
      </w:pPr>
      <w:r>
        <w:rPr/>
        <w:t>PEP8 compliance</w:t>
      </w:r>
    </w:p>
    <w:p>
      <w:pPr>
        <w:pStyle w:val="p1"/>
        <w:numPr>
          <w:ilvl w:val="1"/>
          <w:numId w:val="60"/>
        </w:numPr>
        <w:spacing w:before="0" w:after="0"/>
        <w:rPr/>
      </w:pPr>
      <w:r>
        <w:rPr/>
        <w:t>Function length and naming conventions</w:t>
      </w:r>
    </w:p>
    <w:p>
      <w:pPr>
        <w:pStyle w:val="p1"/>
        <w:numPr>
          <w:ilvl w:val="1"/>
          <w:numId w:val="60"/>
        </w:numPr>
        <w:spacing w:before="0" w:after="0"/>
        <w:rPr/>
      </w:pPr>
      <w:r>
        <w:rPr/>
        <w:t>Unused imports and undefined variables</w:t>
      </w:r>
    </w:p>
    <w:p>
      <w:pPr>
        <w:pStyle w:val="p1"/>
        <w:numPr>
          <w:ilvl w:val="0"/>
          <w:numId w:val="60"/>
        </w:numPr>
        <w:spacing w:before="0" w:after="280"/>
        <w:rPr/>
      </w:pPr>
      <w:r>
        <w:rPr>
          <w:rStyle w:val="s1"/>
          <w:b/>
          <w:bCs/>
        </w:rPr>
        <w:t>Purpose:</w:t>
      </w:r>
      <w:r>
        <w:rPr/>
        <w:t xml:space="preserve"> Ensures readable, maintainable, and secure code prior to deployment.</w:t>
      </w:r>
    </w:p>
    <w:p>
      <w:pPr>
        <w:pStyle w:val="p2"/>
        <w:spacing w:before="280" w:after="280"/>
        <w:rPr/>
      </w:pPr>
      <w:r>
        <w:rPr/>
      </w:r>
    </w:p>
    <w:p>
      <w:pPr>
        <w:pStyle w:val="Heading4"/>
        <w:rPr/>
      </w:pPr>
      <w:r>
        <w:rPr/>
        <w:t>Android (Kotlin)</w:t>
      </w:r>
    </w:p>
    <w:p>
      <w:pPr>
        <w:pStyle w:val="p1"/>
        <w:numPr>
          <w:ilvl w:val="0"/>
          <w:numId w:val="61"/>
        </w:numPr>
        <w:spacing w:before="280" w:after="0"/>
        <w:rPr/>
      </w:pPr>
      <w:r>
        <w:rPr>
          <w:rStyle w:val="s1"/>
          <w:b/>
          <w:bCs/>
        </w:rPr>
        <w:t>Tool:</w:t>
      </w:r>
      <w:r>
        <w:rPr/>
        <w:t xml:space="preserve"> Android Lint</w:t>
      </w:r>
    </w:p>
    <w:p>
      <w:pPr>
        <w:pStyle w:val="p1"/>
        <w:numPr>
          <w:ilvl w:val="0"/>
          <w:numId w:val="61"/>
        </w:numPr>
        <w:spacing w:before="0" w:after="0"/>
        <w:rPr/>
      </w:pPr>
      <w:r>
        <w:rPr>
          <w:b/>
          <w:bCs/>
        </w:rPr>
        <w:t>Checks Enforced:</w:t>
      </w:r>
    </w:p>
    <w:p>
      <w:pPr>
        <w:pStyle w:val="p1"/>
        <w:numPr>
          <w:ilvl w:val="1"/>
          <w:numId w:val="61"/>
        </w:numPr>
        <w:spacing w:before="0" w:after="0"/>
        <w:rPr/>
      </w:pPr>
      <w:r>
        <w:rPr/>
        <w:t>Null-safety violations</w:t>
      </w:r>
    </w:p>
    <w:p>
      <w:pPr>
        <w:pStyle w:val="p1"/>
        <w:numPr>
          <w:ilvl w:val="1"/>
          <w:numId w:val="61"/>
        </w:numPr>
        <w:spacing w:before="0" w:after="0"/>
        <w:rPr/>
      </w:pPr>
      <w:r>
        <w:rPr/>
        <w:t>Inefficient resource usage</w:t>
      </w:r>
    </w:p>
    <w:p>
      <w:pPr>
        <w:pStyle w:val="p1"/>
        <w:numPr>
          <w:ilvl w:val="1"/>
          <w:numId w:val="61"/>
        </w:numPr>
        <w:spacing w:before="0" w:after="0"/>
        <w:rPr/>
      </w:pPr>
      <w:r>
        <w:rPr/>
        <w:t>Deprecated API usage</w:t>
      </w:r>
    </w:p>
    <w:p>
      <w:pPr>
        <w:pStyle w:val="p1"/>
        <w:numPr>
          <w:ilvl w:val="1"/>
          <w:numId w:val="61"/>
        </w:numPr>
        <w:spacing w:before="0" w:after="280"/>
        <w:rPr/>
      </w:pPr>
      <w:r>
        <w:rPr/>
        <w:t>Potential memory leaks</w:t>
      </w:r>
    </w:p>
    <w:p>
      <w:pPr>
        <w:pStyle w:val="p2"/>
        <w:spacing w:before="280" w:after="280"/>
        <w:rPr/>
      </w:pPr>
      <w:r>
        <w:rPr/>
      </w:r>
    </w:p>
    <w:p>
      <w:pPr>
        <w:pStyle w:val="p3"/>
        <w:spacing w:before="280" w:after="280"/>
        <w:rPr/>
      </w:pPr>
      <w:r>
        <w:rPr/>
        <w:t>Together, these tools maintain consistency and enforce strong coding standards across both languages.</w:t>
      </w:r>
    </w:p>
    <w:p>
      <w:pPr>
        <w:pStyle w:val="Heading3"/>
        <w:rPr/>
      </w:pPr>
      <w:r>
        <w:rPr/>
        <w:br/>
        <w:t>11.5. Deployment to Azure App Service</w:t>
      </w:r>
    </w:p>
    <w:p>
      <w:pPr>
        <w:pStyle w:val="p2"/>
        <w:spacing w:before="280" w:after="280"/>
        <w:rPr/>
      </w:pPr>
      <w:r>
        <w:rPr/>
      </w:r>
    </w:p>
    <w:p>
      <w:pPr>
        <w:pStyle w:val="p3"/>
        <w:spacing w:before="280" w:after="280"/>
        <w:rPr/>
      </w:pPr>
      <w:r>
        <w:rPr/>
        <w:t xml:space="preserve">The FastAPI backend is deployed to </w:t>
      </w:r>
      <w:r>
        <w:rPr>
          <w:rStyle w:val="s2"/>
          <w:rFonts w:eastAsia="" w:eastAsiaTheme="majorEastAsia"/>
          <w:b/>
          <w:bCs/>
        </w:rPr>
        <w:t>Azure App Service</w:t>
      </w:r>
      <w:r>
        <w:rPr/>
        <w:t>, a managed platform that automatically handles server provisioning, scaling, and SSL configuration.</w:t>
      </w:r>
    </w:p>
    <w:p>
      <w:pPr>
        <w:pStyle w:val="p3"/>
        <w:spacing w:before="280" w:after="280"/>
        <w:rPr/>
      </w:pPr>
      <w:r>
        <w:rPr/>
        <w:t>Deployment steps:</w:t>
      </w:r>
    </w:p>
    <w:p>
      <w:pPr>
        <w:pStyle w:val="p1"/>
        <w:numPr>
          <w:ilvl w:val="0"/>
          <w:numId w:val="62"/>
        </w:numPr>
        <w:spacing w:before="280" w:after="0"/>
        <w:rPr/>
      </w:pPr>
      <w:r>
        <w:rPr/>
        <w:t>Commit latest stable branch to GitHub.</w:t>
      </w:r>
    </w:p>
    <w:p>
      <w:pPr>
        <w:pStyle w:val="p1"/>
        <w:numPr>
          <w:ilvl w:val="0"/>
          <w:numId w:val="62"/>
        </w:numPr>
        <w:spacing w:before="0" w:after="0"/>
        <w:rPr/>
      </w:pPr>
      <w:r>
        <w:rPr/>
        <w:t xml:space="preserve">Connect repository to </w:t>
      </w:r>
      <w:r>
        <w:rPr>
          <w:rStyle w:val="s1"/>
          <w:b/>
          <w:bCs/>
        </w:rPr>
        <w:t>Azure Deployment Center</w:t>
      </w:r>
      <w:r>
        <w:rPr/>
        <w:t xml:space="preserve"> via manual trigger.</w:t>
      </w:r>
    </w:p>
    <w:p>
      <w:pPr>
        <w:pStyle w:val="p1"/>
        <w:numPr>
          <w:ilvl w:val="0"/>
          <w:numId w:val="62"/>
        </w:numPr>
        <w:spacing w:before="0" w:after="0"/>
        <w:rPr/>
      </w:pPr>
      <w:r>
        <w:rPr/>
        <w:t>Build triggered by Azure’s internal runtime (Python 3.12).</w:t>
      </w:r>
    </w:p>
    <w:p>
      <w:pPr>
        <w:pStyle w:val="p1"/>
        <w:numPr>
          <w:ilvl w:val="0"/>
          <w:numId w:val="62"/>
        </w:numPr>
        <w:spacing w:before="0" w:after="280"/>
        <w:rPr/>
      </w:pPr>
      <w:r>
        <w:rPr/>
        <w:t xml:space="preserve">Service accessible through HTTPS endpoint (e.g., </w:t>
      </w:r>
      <w:r>
        <w:rPr>
          <w:rStyle w:val="s1"/>
        </w:rPr>
        <w:t>https://tws-scan.azurewebsites.net</w:t>
      </w:r>
      <w:r>
        <w:rPr/>
        <w:t>).</w:t>
      </w:r>
    </w:p>
    <w:p>
      <w:pPr>
        <w:pStyle w:val="p2"/>
        <w:spacing w:before="280" w:after="280"/>
        <w:rPr/>
      </w:pPr>
      <w:r>
        <w:rPr/>
      </w:r>
    </w:p>
    <w:p>
      <w:pPr>
        <w:pStyle w:val="p3"/>
        <w:spacing w:before="280" w:after="280"/>
        <w:rPr/>
      </w:pPr>
      <w:r>
        <w:rPr/>
        <w:t>This deployment model ensures repeatable and isolated environments without configuration drift.</w:t>
      </w:r>
    </w:p>
    <w:p>
      <w:pPr>
        <w:pStyle w:val="Heading3"/>
        <w:rPr/>
      </w:pPr>
      <w:r>
        <w:rPr/>
        <w:br/>
        <w:t>1</w:t>
      </w:r>
      <w:r>
        <w:rPr/>
        <w:t>0</w:t>
      </w:r>
      <w:r>
        <w:rPr/>
        <w:t>.6. Security and Environment Configuration</w:t>
      </w:r>
    </w:p>
    <w:p>
      <w:pPr>
        <w:pStyle w:val="p2"/>
        <w:spacing w:before="280" w:after="280"/>
        <w:rPr/>
      </w:pPr>
      <w:r>
        <w:rPr/>
      </w:r>
    </w:p>
    <w:p>
      <w:pPr>
        <w:pStyle w:val="p3"/>
        <w:spacing w:before="280" w:after="280"/>
        <w:rPr/>
      </w:pPr>
      <w:r>
        <w:rPr/>
        <w:t xml:space="preserve">Security within the deployment pipeline follows the </w:t>
      </w:r>
      <w:r>
        <w:rPr>
          <w:rStyle w:val="s2"/>
          <w:rFonts w:eastAsia="" w:eastAsiaTheme="majorEastAsia"/>
          <w:b/>
          <w:bCs/>
        </w:rPr>
        <w:t>principle of least privilege</w:t>
      </w:r>
      <w:r>
        <w:rPr/>
        <w:t>:</w:t>
      </w:r>
    </w:p>
    <w:p>
      <w:pPr>
        <w:pStyle w:val="p1"/>
        <w:numPr>
          <w:ilvl w:val="0"/>
          <w:numId w:val="63"/>
        </w:numPr>
        <w:spacing w:before="280" w:after="0"/>
        <w:rPr/>
      </w:pPr>
      <w:r>
        <w:rPr>
          <w:b/>
          <w:bCs/>
        </w:rPr>
        <w:t>Secrets and credentials</w:t>
      </w:r>
      <w:r>
        <w:rPr>
          <w:rStyle w:val="s1"/>
        </w:rPr>
        <w:t xml:space="preserve"> stored in </w:t>
      </w:r>
      <w:r>
        <w:rPr>
          <w:b/>
          <w:bCs/>
        </w:rPr>
        <w:t>Azure Key Vault</w:t>
      </w:r>
      <w:r>
        <w:rPr>
          <w:rStyle w:val="s1"/>
        </w:rPr>
        <w:t>.</w:t>
      </w:r>
    </w:p>
    <w:p>
      <w:pPr>
        <w:pStyle w:val="p1"/>
        <w:numPr>
          <w:ilvl w:val="0"/>
          <w:numId w:val="63"/>
        </w:numPr>
        <w:spacing w:before="0" w:after="0"/>
        <w:rPr/>
      </w:pPr>
      <w:r>
        <w:rPr>
          <w:rStyle w:val="s1"/>
          <w:b/>
          <w:bCs/>
        </w:rPr>
        <w:t>Environment variables</w:t>
      </w:r>
      <w:r>
        <w:rPr/>
        <w:t xml:space="preserve"> pulled dynamically by App Service at runtime.</w:t>
      </w:r>
    </w:p>
    <w:p>
      <w:pPr>
        <w:pStyle w:val="p1"/>
        <w:numPr>
          <w:ilvl w:val="0"/>
          <w:numId w:val="63"/>
        </w:numPr>
        <w:spacing w:before="0" w:after="0"/>
        <w:rPr/>
      </w:pPr>
      <w:r>
        <w:rPr>
          <w:rStyle w:val="s1"/>
          <w:b/>
          <w:bCs/>
        </w:rPr>
        <w:t>No credentials</w:t>
      </w:r>
      <w:r>
        <w:rPr/>
        <w:t xml:space="preserve"> stored in code or GitHub.</w:t>
      </w:r>
    </w:p>
    <w:p>
      <w:pPr>
        <w:pStyle w:val="p1"/>
        <w:numPr>
          <w:ilvl w:val="0"/>
          <w:numId w:val="63"/>
        </w:numPr>
        <w:spacing w:before="0" w:after="280"/>
        <w:rPr/>
      </w:pPr>
      <w:r>
        <w:rPr/>
        <w:t>Deployment logs redacted of sensitive data.</w:t>
      </w:r>
    </w:p>
    <w:p>
      <w:pPr>
        <w:pStyle w:val="p2"/>
        <w:spacing w:before="280" w:after="280"/>
        <w:rPr/>
      </w:pPr>
      <w:r>
        <w:rPr/>
      </w:r>
    </w:p>
    <w:p>
      <w:pPr>
        <w:pStyle w:val="p3"/>
        <w:spacing w:before="280" w:after="280"/>
        <w:rPr/>
      </w:pPr>
      <w:r>
        <w:rPr/>
        <w:t>Access to the deployment portal is restricted to the project owner (Ryan Adams) with enforced two-factor authentication on the Azure account.</w:t>
      </w:r>
    </w:p>
    <w:p>
      <w:pPr>
        <w:pStyle w:val="Heading3"/>
        <w:rPr/>
      </w:pPr>
      <w:r>
        <w:rPr/>
        <w:br/>
        <w:t>1</w:t>
      </w:r>
      <w:r>
        <w:rPr/>
        <w:t>0</w:t>
      </w:r>
      <w:r>
        <w:rPr/>
        <w:t>.7. Monitoring and Logging</w:t>
      </w:r>
    </w:p>
    <w:p>
      <w:pPr>
        <w:pStyle w:val="p1"/>
        <w:numPr>
          <w:ilvl w:val="0"/>
          <w:numId w:val="64"/>
        </w:numPr>
        <w:spacing w:before="280" w:after="0"/>
        <w:rPr/>
      </w:pPr>
      <w:r>
        <w:rPr>
          <w:rStyle w:val="s1"/>
          <w:b/>
          <w:bCs/>
        </w:rPr>
        <w:t>Tool:</w:t>
      </w:r>
      <w:r>
        <w:rPr/>
        <w:t xml:space="preserve"> Azure Application Insights</w:t>
      </w:r>
    </w:p>
    <w:p>
      <w:pPr>
        <w:pStyle w:val="p1"/>
        <w:numPr>
          <w:ilvl w:val="0"/>
          <w:numId w:val="64"/>
        </w:numPr>
        <w:spacing w:before="0" w:after="0"/>
        <w:rPr/>
      </w:pPr>
      <w:r>
        <w:rPr>
          <w:b/>
          <w:bCs/>
        </w:rPr>
        <w:t>Capabilities:</w:t>
      </w:r>
    </w:p>
    <w:p>
      <w:pPr>
        <w:pStyle w:val="p1"/>
        <w:numPr>
          <w:ilvl w:val="1"/>
          <w:numId w:val="64"/>
        </w:numPr>
        <w:spacing w:before="0" w:after="0"/>
        <w:rPr/>
      </w:pPr>
      <w:r>
        <w:rPr/>
        <w:t>Request/response metrics for API calls</w:t>
      </w:r>
    </w:p>
    <w:p>
      <w:pPr>
        <w:pStyle w:val="p1"/>
        <w:numPr>
          <w:ilvl w:val="1"/>
          <w:numId w:val="64"/>
        </w:numPr>
        <w:spacing w:before="0" w:after="0"/>
        <w:rPr/>
      </w:pPr>
      <w:r>
        <w:rPr/>
        <w:t>Error logging and exception tracing</w:t>
      </w:r>
    </w:p>
    <w:p>
      <w:pPr>
        <w:pStyle w:val="p1"/>
        <w:numPr>
          <w:ilvl w:val="1"/>
          <w:numId w:val="64"/>
        </w:numPr>
        <w:spacing w:before="0" w:after="0"/>
        <w:rPr/>
      </w:pPr>
      <w:r>
        <w:rPr/>
        <w:t>Live metrics view for CPU and memory usage</w:t>
      </w:r>
    </w:p>
    <w:p>
      <w:pPr>
        <w:pStyle w:val="p1"/>
        <w:numPr>
          <w:ilvl w:val="0"/>
          <w:numId w:val="64"/>
        </w:numPr>
        <w:spacing w:before="0" w:after="0"/>
        <w:rPr/>
      </w:pPr>
      <w:r>
        <w:rPr>
          <w:b/>
          <w:bCs/>
        </w:rPr>
        <w:t>Custom Logs:</w:t>
      </w:r>
    </w:p>
    <w:p>
      <w:pPr>
        <w:pStyle w:val="p1"/>
        <w:numPr>
          <w:ilvl w:val="1"/>
          <w:numId w:val="64"/>
        </w:numPr>
        <w:spacing w:before="0" w:after="280"/>
        <w:rPr/>
      </w:pPr>
      <w:r>
        <w:rPr>
          <w:rStyle w:val="s1"/>
        </w:rPr>
        <w:t>AuditLog</w:t>
      </w:r>
      <w:r>
        <w:rPr/>
        <w:t xml:space="preserve"> table in Azure SQL records every stock, delivery, and authentication transaction.</w:t>
      </w:r>
    </w:p>
    <w:p>
      <w:pPr>
        <w:pStyle w:val="p1"/>
        <w:spacing w:before="280" w:after="280"/>
        <w:rPr/>
      </w:pPr>
      <w:r>
        <w:rPr/>
        <w:t>Monitoring ensures operational awareness and post-deployment visibility for troubleshooting and performance optimisation.</w:t>
        <w:br/>
        <w:br/>
      </w:r>
    </w:p>
    <w:p>
      <w:pPr>
        <w:pStyle w:val="p1"/>
        <w:spacing w:before="280" w:after="280"/>
        <w:rPr/>
      </w:pPr>
      <w:r>
        <w:rPr/>
      </w:r>
    </w:p>
    <w:p>
      <w:pPr>
        <w:pStyle w:val="p1"/>
        <w:spacing w:before="280" w:after="280"/>
        <w:rPr/>
      </w:pPr>
      <w:r>
        <w:rPr/>
      </w:r>
    </w:p>
    <w:p>
      <w:pPr>
        <w:pStyle w:val="p1"/>
        <w:spacing w:before="280" w:after="280"/>
        <w:rPr/>
      </w:pPr>
      <w:r>
        <w:rPr/>
      </w:r>
    </w:p>
    <w:p>
      <w:pPr>
        <w:pStyle w:val="p1"/>
        <w:spacing w:before="280" w:after="280"/>
        <w:rPr/>
      </w:pPr>
      <w:r>
        <w:rPr/>
      </w:r>
    </w:p>
    <w:p>
      <w:pPr>
        <w:pStyle w:val="p1"/>
        <w:spacing w:before="280" w:after="280"/>
        <w:rPr/>
      </w:pPr>
      <w:r>
        <w:rPr/>
      </w:r>
    </w:p>
    <w:p>
      <w:pPr>
        <w:pStyle w:val="p1"/>
        <w:spacing w:before="280" w:after="280"/>
        <w:rPr/>
      </w:pPr>
      <w:r>
        <w:rPr/>
      </w:r>
    </w:p>
    <w:p>
      <w:pPr>
        <w:pStyle w:val="p1"/>
        <w:spacing w:before="280" w:after="280"/>
        <w:rPr/>
      </w:pPr>
      <w:r>
        <w:rPr/>
      </w:r>
    </w:p>
    <w:p>
      <w:pPr>
        <w:pStyle w:val="p1"/>
        <w:spacing w:before="280" w:after="280"/>
        <w:rPr/>
      </w:pPr>
      <w:r>
        <w:rPr/>
      </w:r>
    </w:p>
    <w:p>
      <w:pPr>
        <w:pStyle w:val="p1"/>
        <w:spacing w:before="280" w:after="280"/>
        <w:rPr/>
      </w:pPr>
      <w:r>
        <w:rPr/>
      </w:r>
    </w:p>
    <w:p>
      <w:pPr>
        <w:pStyle w:val="p1"/>
        <w:spacing w:before="280" w:after="280"/>
        <w:rPr/>
      </w:pPr>
      <w:r>
        <w:rPr/>
      </w:r>
    </w:p>
    <w:p>
      <w:pPr>
        <w:pStyle w:val="p1"/>
        <w:spacing w:before="280" w:after="280"/>
        <w:rPr/>
      </w:pPr>
      <w:r>
        <w:rPr/>
      </w:r>
    </w:p>
    <w:p>
      <w:pPr>
        <w:pStyle w:val="p1"/>
        <w:spacing w:before="280" w:after="280"/>
        <w:rPr/>
      </w:pPr>
      <w:r>
        <w:rPr/>
        <w:br/>
        <w:br/>
      </w:r>
      <w:r>
        <w:rPr>
          <w:b/>
          <w:bCs/>
          <w:sz w:val="36"/>
          <w:szCs w:val="36"/>
        </w:rPr>
        <w:t>1</w:t>
      </w:r>
      <w:r>
        <w:rPr>
          <w:b/>
          <w:bCs/>
          <w:sz w:val="36"/>
          <w:szCs w:val="36"/>
        </w:rPr>
        <w:t>1</w:t>
      </w:r>
      <w:r>
        <w:rPr>
          <w:b/>
          <w:bCs/>
          <w:sz w:val="36"/>
          <w:szCs w:val="36"/>
        </w:rPr>
        <w:t>. Running Costs and Scalability</w:t>
      </w:r>
    </w:p>
    <w:p>
      <w:pPr>
        <w:pStyle w:val="Heading3"/>
        <w:rPr/>
      </w:pPr>
      <w:r>
        <w:rPr/>
        <w:t>Overview</w:t>
      </w:r>
    </w:p>
    <w:p>
      <w:pPr>
        <w:pStyle w:val="p3"/>
        <w:spacing w:before="280" w:after="280"/>
        <w:rPr/>
      </w:pPr>
      <w:r>
        <w:rPr/>
        <w:t xml:space="preserve">The </w:t>
      </w:r>
      <w:r>
        <w:rPr>
          <w:rStyle w:val="s2"/>
          <w:rFonts w:eastAsia="" w:eastAsiaTheme="majorEastAsia"/>
          <w:b/>
          <w:bCs/>
        </w:rPr>
        <w:t>TWS-Scan</w:t>
      </w:r>
      <w:r>
        <w:rPr/>
        <w:t xml:space="preserve"> system’s running costs are primarily driven by its </w:t>
      </w:r>
      <w:r>
        <w:rPr>
          <w:rStyle w:val="s2"/>
          <w:rFonts w:eastAsia="" w:eastAsiaTheme="majorEastAsia"/>
          <w:b/>
          <w:bCs/>
        </w:rPr>
        <w:t>cloud infrastructure</w:t>
      </w:r>
      <w:r>
        <w:rPr/>
        <w:t xml:space="preserve"> (Azure App Service and Azure SQL Database) and </w:t>
      </w:r>
      <w:r>
        <w:rPr>
          <w:rStyle w:val="s2"/>
          <w:rFonts w:eastAsia="" w:eastAsiaTheme="majorEastAsia"/>
          <w:b/>
          <w:bCs/>
        </w:rPr>
        <w:t>hardware acquisition</w:t>
      </w:r>
      <w:r>
        <w:rPr/>
        <w:t xml:space="preserve"> (smart barcode scanners).</w:t>
      </w:r>
    </w:p>
    <w:p>
      <w:pPr>
        <w:pStyle w:val="p3"/>
        <w:spacing w:before="280" w:after="280"/>
        <w:rPr/>
      </w:pPr>
      <w:r>
        <w:rPr/>
        <w:t>Because the system is designed to be lightweight and modular, the operational expenses remain low and scalable with user adoption. The architecture can be scaled vertically (increasing resource tiers) or horizontally (adding more instances) based on warehouse activity and staff growth projections.</w:t>
      </w:r>
    </w:p>
    <w:p>
      <w:pPr>
        <w:pStyle w:val="Heading3"/>
        <w:rPr/>
      </w:pPr>
      <w:r>
        <w:rPr/>
        <w:t>1</w:t>
      </w:r>
      <w:r>
        <w:rPr/>
        <w:t>1.</w:t>
      </w:r>
      <w:r>
        <w:rPr/>
        <w:t>1. Cloud Infrastructure Cost Analysis</w:t>
      </w:r>
    </w:p>
    <w:p>
      <w:pPr>
        <w:pStyle w:val="p1"/>
        <w:rPr>
          <w:b/>
          <w:bCs/>
          <w:i w:val="false"/>
          <w:i w:val="false"/>
          <w:iCs w:val="false"/>
        </w:rPr>
      </w:pPr>
      <w:r>
        <w:rPr>
          <w:b/>
          <w:bCs/>
          <w:i w:val="false"/>
          <w:iCs w:val="false"/>
        </w:rPr>
        <w:t>Azure App Service (Backend Hosting)</w:t>
      </w:r>
    </w:p>
    <w:p>
      <w:pPr>
        <w:pStyle w:val="p3"/>
        <w:spacing w:before="280" w:after="280"/>
        <w:rPr/>
      </w:pPr>
      <w:r>
        <w:rPr/>
        <w:t xml:space="preserve">The FastAPI backend is hosted on </w:t>
      </w:r>
      <w:r>
        <w:rPr>
          <w:rStyle w:val="s2"/>
          <w:rFonts w:eastAsia="" w:eastAsiaTheme="majorEastAsia"/>
          <w:b/>
          <w:bCs/>
        </w:rPr>
        <w:t>Azure App Service (Basic B1 Plan)</w:t>
      </w:r>
      <w:r>
        <w:rPr/>
        <w:t>, which provides:</w:t>
      </w:r>
    </w:p>
    <w:p>
      <w:pPr>
        <w:pStyle w:val="p1"/>
        <w:numPr>
          <w:ilvl w:val="0"/>
          <w:numId w:val="65"/>
        </w:numPr>
        <w:spacing w:before="280" w:after="0"/>
        <w:rPr/>
      </w:pPr>
      <w:r>
        <w:rPr>
          <w:b/>
          <w:bCs/>
        </w:rPr>
        <w:t>1.75 GB RAM</w:t>
      </w:r>
      <w:r>
        <w:rPr>
          <w:rStyle w:val="s1"/>
        </w:rPr>
        <w:t xml:space="preserve">, </w:t>
      </w:r>
      <w:r>
        <w:rPr>
          <w:b/>
          <w:bCs/>
        </w:rPr>
        <w:t>1 CPU core</w:t>
      </w:r>
      <w:r>
        <w:rPr>
          <w:rStyle w:val="s1"/>
        </w:rPr>
        <w:t xml:space="preserve">, and </w:t>
      </w:r>
      <w:r>
        <w:rPr>
          <w:b/>
          <w:bCs/>
        </w:rPr>
        <w:t>up to 10 GB storage</w:t>
      </w:r>
      <w:r>
        <w:rPr>
          <w:rStyle w:val="s1"/>
        </w:rPr>
        <w:t>.</w:t>
      </w:r>
    </w:p>
    <w:p>
      <w:pPr>
        <w:pStyle w:val="p1"/>
        <w:numPr>
          <w:ilvl w:val="0"/>
          <w:numId w:val="65"/>
        </w:numPr>
        <w:spacing w:before="0" w:after="280"/>
        <w:rPr/>
      </w:pPr>
      <w:r>
        <w:rPr/>
        <w:t xml:space="preserve">Automatic scaling and integrated monitoring through </w:t>
      </w:r>
      <w:r>
        <w:rPr>
          <w:rStyle w:val="s1"/>
          <w:b/>
          <w:bCs/>
        </w:rPr>
        <w:t>Application Insights</w:t>
      </w:r>
      <w:r>
        <w:rPr/>
        <w:t>.</w:t>
      </w:r>
    </w:p>
    <w:tbl>
      <w:tblPr>
        <w:tblW w:w="8640" w:type="dxa"/>
        <w:jc w:val="left"/>
        <w:tblInd w:w="15" w:type="dxa"/>
        <w:tblLayout w:type="fixed"/>
        <w:tblCellMar>
          <w:top w:w="15" w:type="dxa"/>
          <w:left w:w="15" w:type="dxa"/>
          <w:bottom w:w="15" w:type="dxa"/>
          <w:right w:w="15" w:type="dxa"/>
        </w:tblCellMar>
        <w:tblLook w:val="04a0" w:noVBand="1" w:noHBand="0" w:lastColumn="0" w:firstColumn="1" w:lastRow="0" w:firstRow="1"/>
      </w:tblPr>
      <w:tblGrid>
        <w:gridCol w:w="1313"/>
        <w:gridCol w:w="1406"/>
        <w:gridCol w:w="2325"/>
        <w:gridCol w:w="3596"/>
      </w:tblGrid>
      <w:tr>
        <w:trPr>
          <w:tblHeader w:val="true"/>
        </w:trPr>
        <w:tc>
          <w:tcPr>
            <w:tcW w:w="1313" w:type="dxa"/>
            <w:tcBorders/>
            <w:shd w:fill="3465A4" w:val="clear"/>
            <w:vAlign w:val="center"/>
          </w:tcPr>
          <w:p>
            <w:pPr>
              <w:pStyle w:val="Normal"/>
              <w:spacing w:lineRule="auto" w:line="240" w:beforeAutospacing="1" w:after="0"/>
              <w:jc w:val="center"/>
              <w:rPr>
                <w:rFonts w:ascii="Times New Roman" w:hAnsi="Times New Roman" w:eastAsia="Times New Roman" w:cs="Times New Roman"/>
                <w:b/>
                <w:bCs/>
                <w:sz w:val="24"/>
                <w:szCs w:val="24"/>
                <w:lang w:val="en-ZA" w:eastAsia="en-GB"/>
              </w:rPr>
            </w:pPr>
            <w:r>
              <w:rPr>
                <w:rFonts w:eastAsia="Times New Roman" w:cs="Times New Roman" w:ascii="Times New Roman" w:hAnsi="Times New Roman"/>
                <w:b/>
                <w:bCs/>
                <w:sz w:val="24"/>
                <w:szCs w:val="24"/>
                <w:lang w:val="en-ZA" w:eastAsia="en-GB"/>
              </w:rPr>
              <w:t>Usage Tier</w:t>
            </w:r>
          </w:p>
        </w:tc>
        <w:tc>
          <w:tcPr>
            <w:tcW w:w="1406" w:type="dxa"/>
            <w:tcBorders/>
            <w:shd w:fill="3465A4" w:val="clear"/>
            <w:vAlign w:val="center"/>
          </w:tcPr>
          <w:p>
            <w:pPr>
              <w:pStyle w:val="Normal"/>
              <w:spacing w:lineRule="auto" w:line="240" w:beforeAutospacing="1" w:after="0"/>
              <w:jc w:val="center"/>
              <w:rPr>
                <w:rFonts w:ascii="Times New Roman" w:hAnsi="Times New Roman" w:eastAsia="Times New Roman" w:cs="Times New Roman"/>
                <w:b/>
                <w:bCs/>
                <w:sz w:val="24"/>
                <w:szCs w:val="24"/>
                <w:lang w:val="en-ZA" w:eastAsia="en-GB"/>
              </w:rPr>
            </w:pPr>
            <w:r>
              <w:rPr>
                <w:rFonts w:eastAsia="Times New Roman" w:cs="Times New Roman" w:ascii="Times New Roman" w:hAnsi="Times New Roman"/>
                <w:b/>
                <w:bCs/>
                <w:sz w:val="24"/>
                <w:szCs w:val="24"/>
                <w:lang w:val="en-ZA" w:eastAsia="en-GB"/>
              </w:rPr>
              <w:t>Expected Users</w:t>
            </w:r>
          </w:p>
        </w:tc>
        <w:tc>
          <w:tcPr>
            <w:tcW w:w="2325" w:type="dxa"/>
            <w:tcBorders/>
            <w:shd w:fill="3465A4" w:val="clear"/>
            <w:vAlign w:val="center"/>
          </w:tcPr>
          <w:p>
            <w:pPr>
              <w:pStyle w:val="Normal"/>
              <w:spacing w:lineRule="auto" w:line="240" w:beforeAutospacing="1" w:after="0"/>
              <w:jc w:val="center"/>
              <w:rPr>
                <w:rFonts w:ascii="Times New Roman" w:hAnsi="Times New Roman" w:eastAsia="Times New Roman" w:cs="Times New Roman"/>
                <w:b/>
                <w:bCs/>
                <w:sz w:val="24"/>
                <w:szCs w:val="24"/>
                <w:lang w:val="en-ZA" w:eastAsia="en-GB"/>
              </w:rPr>
            </w:pPr>
            <w:r>
              <w:rPr>
                <w:rFonts w:eastAsia="Times New Roman" w:cs="Times New Roman" w:ascii="Times New Roman" w:hAnsi="Times New Roman"/>
                <w:b/>
                <w:bCs/>
                <w:sz w:val="24"/>
                <w:szCs w:val="24"/>
                <w:lang w:val="en-ZA" w:eastAsia="en-GB"/>
              </w:rPr>
              <w:t>Estimated Monthly Cost (ZAR)</w:t>
            </w:r>
          </w:p>
        </w:tc>
        <w:tc>
          <w:tcPr>
            <w:tcW w:w="3596" w:type="dxa"/>
            <w:tcBorders/>
            <w:shd w:fill="3465A4" w:val="clear"/>
            <w:vAlign w:val="center"/>
          </w:tcPr>
          <w:p>
            <w:pPr>
              <w:pStyle w:val="Normal"/>
              <w:spacing w:lineRule="auto" w:line="240" w:beforeAutospacing="1" w:after="0"/>
              <w:jc w:val="center"/>
              <w:rPr>
                <w:rFonts w:ascii="Times New Roman" w:hAnsi="Times New Roman" w:eastAsia="Times New Roman" w:cs="Times New Roman"/>
                <w:b/>
                <w:bCs/>
                <w:sz w:val="24"/>
                <w:szCs w:val="24"/>
                <w:lang w:val="en-ZA" w:eastAsia="en-GB"/>
              </w:rPr>
            </w:pPr>
            <w:r>
              <w:rPr>
                <w:rFonts w:eastAsia="Times New Roman" w:cs="Times New Roman" w:ascii="Times New Roman" w:hAnsi="Times New Roman"/>
                <w:b/>
                <w:bCs/>
                <w:sz w:val="24"/>
                <w:szCs w:val="24"/>
                <w:lang w:val="en-ZA" w:eastAsia="en-GB"/>
              </w:rPr>
              <w:t>Scaling Notes</w:t>
            </w:r>
          </w:p>
        </w:tc>
      </w:tr>
      <w:tr>
        <w:trPr/>
        <w:tc>
          <w:tcPr>
            <w:tcW w:w="1313"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Current (B1)</w:t>
            </w:r>
          </w:p>
        </w:tc>
        <w:tc>
          <w:tcPr>
            <w:tcW w:w="1406"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5–15 active users</w:t>
            </w:r>
          </w:p>
        </w:tc>
        <w:tc>
          <w:tcPr>
            <w:tcW w:w="2325"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R220/month</w:t>
            </w:r>
          </w:p>
        </w:tc>
        <w:tc>
          <w:tcPr>
            <w:tcW w:w="3596"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Suitable for initial deployment and internal testing.</w:t>
            </w:r>
          </w:p>
        </w:tc>
      </w:tr>
      <w:tr>
        <w:trPr/>
        <w:tc>
          <w:tcPr>
            <w:tcW w:w="1313"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Moderate (B2)</w:t>
            </w:r>
          </w:p>
        </w:tc>
        <w:tc>
          <w:tcPr>
            <w:tcW w:w="1406"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15–50 active users</w:t>
            </w:r>
          </w:p>
        </w:tc>
        <w:tc>
          <w:tcPr>
            <w:tcW w:w="2325"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R460/month</w:t>
            </w:r>
          </w:p>
        </w:tc>
        <w:tc>
          <w:tcPr>
            <w:tcW w:w="3596"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Add 1 additional App Service instance for concurrent API calls.</w:t>
            </w:r>
          </w:p>
        </w:tc>
      </w:tr>
      <w:tr>
        <w:trPr/>
        <w:tc>
          <w:tcPr>
            <w:tcW w:w="1313"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Heavy (S1)</w:t>
            </w:r>
          </w:p>
        </w:tc>
        <w:tc>
          <w:tcPr>
            <w:tcW w:w="1406"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50+ active users</w:t>
            </w:r>
          </w:p>
        </w:tc>
        <w:tc>
          <w:tcPr>
            <w:tcW w:w="2325"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R900–R1,000/month</w:t>
            </w:r>
          </w:p>
        </w:tc>
        <w:tc>
          <w:tcPr>
            <w:tcW w:w="3596"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Scale vertically to Standard plan with auto-scaling enabled.</w:t>
            </w:r>
          </w:p>
        </w:tc>
      </w:tr>
    </w:tbl>
    <w:p>
      <w:pPr>
        <w:pStyle w:val="p1"/>
        <w:spacing w:before="280" w:after="280"/>
        <w:rPr/>
      </w:pPr>
      <w:r>
        <w:rPr/>
        <w:br/>
        <w:t xml:space="preserve">Azure’s </w:t>
      </w:r>
      <w:r>
        <w:rPr>
          <w:rStyle w:val="s1"/>
          <w:b/>
          <w:bCs/>
        </w:rPr>
        <w:t>auto-scaling</w:t>
      </w:r>
      <w:r>
        <w:rPr/>
        <w:t xml:space="preserve"> ensures the service adapts dynamically to traffic surges during stock-taking or delivery sessions, keeping costs optimised.</w:t>
      </w:r>
    </w:p>
    <w:p>
      <w:pPr>
        <w:pStyle w:val="Normal"/>
        <w:rPr>
          <w:rStyle w:val="s2"/>
        </w:rPr>
      </w:pPr>
      <w:r>
        <w:rPr/>
        <mc:AlternateContent>
          <mc:Choice Requires="wps">
            <w:drawing>
              <wp:inline distT="0" distB="0" distL="0" distR="0">
                <wp:extent cx="5250180" cy="635"/>
                <wp:effectExtent l="0" t="0" r="0" b="0"/>
                <wp:docPr id="13" name="Shape51"/>
                <a:graphic xmlns:a="http://schemas.openxmlformats.org/drawingml/2006/main">
                  <a:graphicData uri="http://schemas.microsoft.com/office/word/2010/wordprocessingShape">
                    <wps:wsp>
                      <wps:cNvSpPr/>
                      <wps:spPr>
                        <a:xfrm>
                          <a:off x="0" y="0"/>
                          <a:ext cx="5250240" cy="720"/>
                        </a:xfrm>
                        <a:prstGeom prst="rect">
                          <a:avLst/>
                        </a:prstGeom>
                        <a:solidFill>
                          <a:srgbClr val="a0a0a0"/>
                        </a:solidFill>
                        <a:ln w="0">
                          <a:noFill/>
                        </a:ln>
                      </wps:spPr>
                      <wps:style>
                        <a:lnRef idx="0"/>
                        <a:fillRef idx="0"/>
                        <a:effectRef idx="0"/>
                        <a:fontRef idx="minor"/>
                      </wps:style>
                      <wps:bodyPr/>
                    </wps:wsp>
                  </a:graphicData>
                </a:graphic>
                <wp14:sizeRelH relativeFrom="page">
                  <wp14:pctWidth>91000</wp14:pctWidth>
                </wp14:sizeRelH>
              </wp:inline>
            </w:drawing>
          </mc:Choice>
          <mc:Fallback>
            <w:pict>
              <v:rect id="shape_0" ID="Shape51" path="m0,0l-2147483645,0l-2147483645,-2147483646l0,-2147483646xe" fillcolor="#a0a0a0" stroked="f" o:allowincell="f" style="position:absolute;margin-left:0pt;margin-top:-0.1pt;width:413.35pt;height:0pt;mso-wrap-style:none;v-text-anchor:middle;mso-position-vertical:top">
                <v:fill o:detectmouseclick="t" type="solid" color2="#5f5f5f"/>
                <v:stroke color="#3465a4" joinstyle="round" endcap="flat"/>
                <w10:wrap type="square"/>
              </v:rect>
            </w:pict>
          </mc:Fallback>
        </mc:AlternateContent>
      </w:r>
    </w:p>
    <w:p>
      <w:pPr>
        <w:pStyle w:val="p1"/>
        <w:rPr>
          <w:b/>
          <w:bCs/>
        </w:rPr>
      </w:pPr>
      <w:r>
        <w:rPr>
          <w:b/>
          <w:bCs/>
        </w:rPr>
        <w:t>Azure SQL Database (Data Layer)</w:t>
      </w:r>
    </w:p>
    <w:p>
      <w:pPr>
        <w:pStyle w:val="p3"/>
        <w:spacing w:before="280" w:after="280"/>
        <w:rPr/>
      </w:pPr>
      <w:r>
        <w:rPr>
          <w:rStyle w:val="s3"/>
          <w:rFonts w:eastAsia="" w:eastAsiaTheme="majorEastAsia"/>
        </w:rPr>
        <w:t xml:space="preserve">Data is stored on </w:t>
      </w:r>
      <w:r>
        <w:rPr>
          <w:b/>
          <w:bCs/>
        </w:rPr>
        <w:t>Azure SQL Database (Basic Tier)</w:t>
      </w:r>
      <w:r>
        <w:rPr>
          <w:rStyle w:val="s3"/>
          <w:rFonts w:eastAsia="" w:eastAsiaTheme="majorEastAsia"/>
        </w:rPr>
        <w:t>:</w:t>
      </w:r>
    </w:p>
    <w:p>
      <w:pPr>
        <w:pStyle w:val="p1"/>
        <w:numPr>
          <w:ilvl w:val="0"/>
          <w:numId w:val="66"/>
        </w:numPr>
        <w:spacing w:before="280" w:after="0"/>
        <w:rPr/>
      </w:pPr>
      <w:r>
        <w:rPr/>
        <w:t xml:space="preserve">Offers </w:t>
      </w:r>
      <w:r>
        <w:rPr>
          <w:rStyle w:val="s1"/>
          <w:b/>
          <w:bCs/>
        </w:rPr>
        <w:t>5 DTUs</w:t>
      </w:r>
      <w:r>
        <w:rPr/>
        <w:t>, ideal for transactional workloads under 5GB of storage.</w:t>
      </w:r>
    </w:p>
    <w:p>
      <w:pPr>
        <w:pStyle w:val="p1"/>
        <w:numPr>
          <w:ilvl w:val="0"/>
          <w:numId w:val="66"/>
        </w:numPr>
        <w:spacing w:before="0" w:after="280"/>
        <w:rPr/>
      </w:pPr>
      <w:r>
        <w:rPr/>
        <w:t>Performance scales predictably with user activity.</w:t>
      </w:r>
    </w:p>
    <w:tbl>
      <w:tblPr>
        <w:tblW w:w="8640" w:type="dxa"/>
        <w:jc w:val="left"/>
        <w:tblInd w:w="15" w:type="dxa"/>
        <w:tblLayout w:type="fixed"/>
        <w:tblCellMar>
          <w:top w:w="15" w:type="dxa"/>
          <w:left w:w="15" w:type="dxa"/>
          <w:bottom w:w="15" w:type="dxa"/>
          <w:right w:w="15" w:type="dxa"/>
        </w:tblCellMar>
        <w:tblLook w:val="04a0" w:noVBand="1" w:noHBand="0" w:lastColumn="0" w:firstColumn="1" w:lastRow="0" w:firstRow="1"/>
      </w:tblPr>
      <w:tblGrid>
        <w:gridCol w:w="1378"/>
        <w:gridCol w:w="1720"/>
        <w:gridCol w:w="2282"/>
        <w:gridCol w:w="3260"/>
      </w:tblGrid>
      <w:tr>
        <w:trPr>
          <w:tblHeader w:val="true"/>
        </w:trPr>
        <w:tc>
          <w:tcPr>
            <w:tcW w:w="1378" w:type="dxa"/>
            <w:tcBorders/>
            <w:shd w:fill="3465A4" w:val="clear"/>
            <w:vAlign w:val="center"/>
          </w:tcPr>
          <w:p>
            <w:pPr>
              <w:pStyle w:val="Normal"/>
              <w:spacing w:lineRule="auto" w:line="240" w:beforeAutospacing="1" w:after="0"/>
              <w:jc w:val="center"/>
              <w:rPr>
                <w:rFonts w:ascii="Times New Roman" w:hAnsi="Times New Roman" w:eastAsia="Times New Roman" w:cs="Times New Roman"/>
                <w:b/>
                <w:bCs/>
                <w:sz w:val="24"/>
                <w:szCs w:val="24"/>
                <w:lang w:val="en-ZA" w:eastAsia="en-GB"/>
              </w:rPr>
            </w:pPr>
            <w:r>
              <w:rPr>
                <w:rFonts w:eastAsia="Times New Roman" w:cs="Times New Roman" w:ascii="Times New Roman" w:hAnsi="Times New Roman"/>
                <w:b/>
                <w:bCs/>
                <w:sz w:val="24"/>
                <w:szCs w:val="24"/>
                <w:lang w:val="en-ZA" w:eastAsia="en-GB"/>
              </w:rPr>
              <w:t>Usage Tier</w:t>
            </w:r>
          </w:p>
        </w:tc>
        <w:tc>
          <w:tcPr>
            <w:tcW w:w="1720" w:type="dxa"/>
            <w:tcBorders/>
            <w:shd w:fill="3465A4" w:val="clear"/>
            <w:vAlign w:val="center"/>
          </w:tcPr>
          <w:p>
            <w:pPr>
              <w:pStyle w:val="Normal"/>
              <w:spacing w:lineRule="auto" w:line="240" w:beforeAutospacing="1" w:after="0"/>
              <w:jc w:val="center"/>
              <w:rPr>
                <w:rFonts w:ascii="Times New Roman" w:hAnsi="Times New Roman" w:eastAsia="Times New Roman" w:cs="Times New Roman"/>
                <w:b/>
                <w:bCs/>
                <w:sz w:val="24"/>
                <w:szCs w:val="24"/>
                <w:lang w:val="en-ZA" w:eastAsia="en-GB"/>
              </w:rPr>
            </w:pPr>
            <w:r>
              <w:rPr>
                <w:rFonts w:eastAsia="Times New Roman" w:cs="Times New Roman" w:ascii="Times New Roman" w:hAnsi="Times New Roman"/>
                <w:b/>
                <w:bCs/>
                <w:sz w:val="24"/>
                <w:szCs w:val="24"/>
                <w:lang w:val="en-ZA" w:eastAsia="en-GB"/>
              </w:rPr>
              <w:t>Expected Data Volume</w:t>
            </w:r>
          </w:p>
        </w:tc>
        <w:tc>
          <w:tcPr>
            <w:tcW w:w="2282" w:type="dxa"/>
            <w:tcBorders/>
            <w:shd w:fill="3465A4" w:val="clear"/>
            <w:vAlign w:val="center"/>
          </w:tcPr>
          <w:p>
            <w:pPr>
              <w:pStyle w:val="Normal"/>
              <w:spacing w:lineRule="auto" w:line="240" w:beforeAutospacing="1" w:after="0"/>
              <w:jc w:val="center"/>
              <w:rPr>
                <w:rFonts w:ascii="Times New Roman" w:hAnsi="Times New Roman" w:eastAsia="Times New Roman" w:cs="Times New Roman"/>
                <w:b/>
                <w:bCs/>
                <w:sz w:val="24"/>
                <w:szCs w:val="24"/>
                <w:lang w:val="en-ZA" w:eastAsia="en-GB"/>
              </w:rPr>
            </w:pPr>
            <w:r>
              <w:rPr>
                <w:rFonts w:eastAsia="Times New Roman" w:cs="Times New Roman" w:ascii="Times New Roman" w:hAnsi="Times New Roman"/>
                <w:b/>
                <w:bCs/>
                <w:sz w:val="24"/>
                <w:szCs w:val="24"/>
                <w:lang w:val="en-ZA" w:eastAsia="en-GB"/>
              </w:rPr>
              <w:t>Estimated Monthly Cost (ZAR)</w:t>
            </w:r>
          </w:p>
        </w:tc>
        <w:tc>
          <w:tcPr>
            <w:tcW w:w="3260" w:type="dxa"/>
            <w:tcBorders/>
            <w:shd w:fill="3465A4" w:val="clear"/>
            <w:vAlign w:val="center"/>
          </w:tcPr>
          <w:p>
            <w:pPr>
              <w:pStyle w:val="Normal"/>
              <w:spacing w:lineRule="auto" w:line="240" w:beforeAutospacing="1" w:after="0"/>
              <w:jc w:val="center"/>
              <w:rPr>
                <w:rFonts w:ascii="Times New Roman" w:hAnsi="Times New Roman" w:eastAsia="Times New Roman" w:cs="Times New Roman"/>
                <w:b/>
                <w:bCs/>
                <w:sz w:val="24"/>
                <w:szCs w:val="24"/>
                <w:lang w:val="en-ZA" w:eastAsia="en-GB"/>
              </w:rPr>
            </w:pPr>
            <w:r>
              <w:rPr>
                <w:rFonts w:eastAsia="Times New Roman" w:cs="Times New Roman" w:ascii="Times New Roman" w:hAnsi="Times New Roman"/>
                <w:b/>
                <w:bCs/>
                <w:sz w:val="24"/>
                <w:szCs w:val="24"/>
                <w:lang w:val="en-ZA" w:eastAsia="en-GB"/>
              </w:rPr>
              <w:t>Scaling Notes</w:t>
            </w:r>
          </w:p>
        </w:tc>
      </w:tr>
      <w:tr>
        <w:trPr/>
        <w:tc>
          <w:tcPr>
            <w:tcW w:w="1378"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Current (Basic)</w:t>
            </w:r>
          </w:p>
        </w:tc>
        <w:tc>
          <w:tcPr>
            <w:tcW w:w="1720"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~2–5 GB</w:t>
            </w:r>
          </w:p>
        </w:tc>
        <w:tc>
          <w:tcPr>
            <w:tcW w:w="2282"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R80/month</w:t>
            </w:r>
          </w:p>
        </w:tc>
        <w:tc>
          <w:tcPr>
            <w:tcW w:w="3260"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Suitable for up to 10,000 transactions/day.</w:t>
            </w:r>
          </w:p>
        </w:tc>
      </w:tr>
      <w:tr>
        <w:trPr/>
        <w:tc>
          <w:tcPr>
            <w:tcW w:w="1378"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Moderate (S0)</w:t>
            </w:r>
          </w:p>
        </w:tc>
        <w:tc>
          <w:tcPr>
            <w:tcW w:w="1720"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5–15 GB</w:t>
            </w:r>
          </w:p>
        </w:tc>
        <w:tc>
          <w:tcPr>
            <w:tcW w:w="2282"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R220/month</w:t>
            </w:r>
          </w:p>
        </w:tc>
        <w:tc>
          <w:tcPr>
            <w:tcW w:w="3260"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Supports ~100 concurrent connections.</w:t>
            </w:r>
          </w:p>
        </w:tc>
      </w:tr>
      <w:tr>
        <w:trPr/>
        <w:tc>
          <w:tcPr>
            <w:tcW w:w="1378"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Heavy (S1/S2)</w:t>
            </w:r>
          </w:p>
        </w:tc>
        <w:tc>
          <w:tcPr>
            <w:tcW w:w="1720"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15–50 GB</w:t>
            </w:r>
          </w:p>
        </w:tc>
        <w:tc>
          <w:tcPr>
            <w:tcW w:w="2282"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R450–R800/month</w:t>
            </w:r>
          </w:p>
        </w:tc>
        <w:tc>
          <w:tcPr>
            <w:tcW w:w="3260"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Suitable for large multi-warehouse data volumes.</w:t>
            </w:r>
          </w:p>
        </w:tc>
      </w:tr>
    </w:tbl>
    <w:p>
      <w:pPr>
        <w:pStyle w:val="p1"/>
        <w:spacing w:before="280" w:after="280"/>
        <w:rPr/>
      </w:pPr>
      <w:r>
        <w:rPr/>
        <w:t xml:space="preserve">Scaling thresholds are closely tied to warehouse activity levels — if daily API calls exceed 50,000 or DB reads surpass 1GB/hour, scaling to </w:t>
      </w:r>
      <w:r>
        <w:rPr>
          <w:rStyle w:val="s1"/>
          <w:b/>
          <w:bCs/>
        </w:rPr>
        <w:t>S1</w:t>
      </w:r>
      <w:r>
        <w:rPr/>
        <w:t xml:space="preserve"> ensures continued low latency.</w:t>
      </w:r>
    </w:p>
    <w:p>
      <w:pPr>
        <w:pStyle w:val="Normal"/>
        <w:rPr>
          <w:rStyle w:val="s2"/>
        </w:rPr>
      </w:pPr>
      <w:r>
        <w:rPr/>
        <mc:AlternateContent>
          <mc:Choice Requires="wps">
            <w:drawing>
              <wp:inline distT="0" distB="0" distL="0" distR="0">
                <wp:extent cx="5250180" cy="635"/>
                <wp:effectExtent l="0" t="0" r="0" b="0"/>
                <wp:docPr id="14" name="Shape52"/>
                <a:graphic xmlns:a="http://schemas.openxmlformats.org/drawingml/2006/main">
                  <a:graphicData uri="http://schemas.microsoft.com/office/word/2010/wordprocessingShape">
                    <wps:wsp>
                      <wps:cNvSpPr/>
                      <wps:spPr>
                        <a:xfrm>
                          <a:off x="0" y="0"/>
                          <a:ext cx="5250240" cy="720"/>
                        </a:xfrm>
                        <a:prstGeom prst="rect">
                          <a:avLst/>
                        </a:prstGeom>
                        <a:solidFill>
                          <a:srgbClr val="a0a0a0"/>
                        </a:solidFill>
                        <a:ln w="0">
                          <a:noFill/>
                        </a:ln>
                      </wps:spPr>
                      <wps:style>
                        <a:lnRef idx="0"/>
                        <a:fillRef idx="0"/>
                        <a:effectRef idx="0"/>
                        <a:fontRef idx="minor"/>
                      </wps:style>
                      <wps:bodyPr/>
                    </wps:wsp>
                  </a:graphicData>
                </a:graphic>
                <wp14:sizeRelH relativeFrom="page">
                  <wp14:pctWidth>91000</wp14:pctWidth>
                </wp14:sizeRelH>
              </wp:inline>
            </w:drawing>
          </mc:Choice>
          <mc:Fallback>
            <w:pict>
              <v:rect id="shape_0" ID="Shape52" path="m0,0l-2147483645,0l-2147483645,-2147483646l0,-2147483646xe" fillcolor="#a0a0a0" stroked="f" o:allowincell="f" style="position:absolute;margin-left:0pt;margin-top:-0.1pt;width:413.35pt;height:0pt;mso-wrap-style:none;v-text-anchor:middle;mso-position-vertical:top">
                <v:fill o:detectmouseclick="t" type="solid" color2="#5f5f5f"/>
                <v:stroke color="#3465a4" joinstyle="round" endcap="flat"/>
                <w10:wrap type="square"/>
              </v:rect>
            </w:pict>
          </mc:Fallback>
        </mc:AlternateContent>
      </w:r>
    </w:p>
    <w:p>
      <w:pPr>
        <w:pStyle w:val="p1"/>
        <w:rPr>
          <w:b/>
          <w:bCs/>
        </w:rPr>
      </w:pPr>
      <w:r>
        <w:rPr>
          <w:b/>
          <w:bCs/>
        </w:rPr>
        <w:t>Azure Blob Storage</w:t>
      </w:r>
    </w:p>
    <w:p>
      <w:pPr>
        <w:pStyle w:val="p1"/>
        <w:numPr>
          <w:ilvl w:val="0"/>
          <w:numId w:val="67"/>
        </w:numPr>
        <w:spacing w:before="280" w:after="0"/>
        <w:rPr/>
      </w:pPr>
      <w:r>
        <w:rPr/>
        <w:t>Used for storing proof-of-delivery images and digital signatures.</w:t>
      </w:r>
    </w:p>
    <w:p>
      <w:pPr>
        <w:pStyle w:val="p1"/>
        <w:numPr>
          <w:ilvl w:val="0"/>
          <w:numId w:val="67"/>
        </w:numPr>
        <w:spacing w:before="0" w:after="0"/>
        <w:rPr/>
      </w:pPr>
      <w:r>
        <w:rPr/>
        <w:t>Estimated storage requirement per delivery: ~300KB average.</w:t>
      </w:r>
    </w:p>
    <w:p>
      <w:pPr>
        <w:pStyle w:val="p1"/>
        <w:numPr>
          <w:ilvl w:val="0"/>
          <w:numId w:val="67"/>
        </w:numPr>
        <w:spacing w:before="0" w:after="0"/>
        <w:rPr/>
      </w:pPr>
      <w:r>
        <w:rPr/>
        <w:t>At 10,000 deliveries per year, total annual storage ≈ 3 GB.</w:t>
      </w:r>
    </w:p>
    <w:p>
      <w:pPr>
        <w:pStyle w:val="p1"/>
        <w:numPr>
          <w:ilvl w:val="0"/>
          <w:numId w:val="67"/>
        </w:numPr>
        <w:spacing w:before="0" w:after="280"/>
        <w:rPr/>
      </w:pPr>
      <w:r>
        <w:rPr>
          <w:rStyle w:val="s1"/>
          <w:b/>
          <w:bCs/>
        </w:rPr>
        <w:t>Estimated cost:</w:t>
      </w:r>
      <w:r>
        <w:rPr/>
        <w:t xml:space="preserve"> R25–R40/month with redundant backup enabled.</w:t>
      </w:r>
    </w:p>
    <w:p>
      <w:pPr>
        <w:pStyle w:val="Normal"/>
        <w:rPr>
          <w:rStyle w:val="s2"/>
        </w:rPr>
      </w:pPr>
      <w:r>
        <w:rPr/>
        <mc:AlternateContent>
          <mc:Choice Requires="wps">
            <w:drawing>
              <wp:inline distT="0" distB="0" distL="0" distR="0">
                <wp:extent cx="5250180" cy="635"/>
                <wp:effectExtent l="0" t="0" r="0" b="0"/>
                <wp:docPr id="15" name="Shape53"/>
                <a:graphic xmlns:a="http://schemas.openxmlformats.org/drawingml/2006/main">
                  <a:graphicData uri="http://schemas.microsoft.com/office/word/2010/wordprocessingShape">
                    <wps:wsp>
                      <wps:cNvSpPr/>
                      <wps:spPr>
                        <a:xfrm>
                          <a:off x="0" y="0"/>
                          <a:ext cx="5250240" cy="720"/>
                        </a:xfrm>
                        <a:prstGeom prst="rect">
                          <a:avLst/>
                        </a:prstGeom>
                        <a:solidFill>
                          <a:srgbClr val="a0a0a0"/>
                        </a:solidFill>
                        <a:ln w="0">
                          <a:noFill/>
                        </a:ln>
                      </wps:spPr>
                      <wps:style>
                        <a:lnRef idx="0"/>
                        <a:fillRef idx="0"/>
                        <a:effectRef idx="0"/>
                        <a:fontRef idx="minor"/>
                      </wps:style>
                      <wps:bodyPr/>
                    </wps:wsp>
                  </a:graphicData>
                </a:graphic>
                <wp14:sizeRelH relativeFrom="page">
                  <wp14:pctWidth>91000</wp14:pctWidth>
                </wp14:sizeRelH>
              </wp:inline>
            </w:drawing>
          </mc:Choice>
          <mc:Fallback>
            <w:pict>
              <v:rect id="shape_0" ID="Shape53" path="m0,0l-2147483645,0l-2147483645,-2147483646l0,-2147483646xe" fillcolor="#a0a0a0" stroked="f" o:allowincell="f" style="position:absolute;margin-left:0pt;margin-top:-0.1pt;width:413.35pt;height:0pt;mso-wrap-style:none;v-text-anchor:middle;mso-position-vertical:top">
                <v:fill o:detectmouseclick="t" type="solid" color2="#5f5f5f"/>
                <v:stroke color="#3465a4" joinstyle="round" endcap="flat"/>
                <w10:wrap type="square"/>
              </v:rect>
            </w:pict>
          </mc:Fallback>
        </mc:AlternateContent>
      </w:r>
    </w:p>
    <w:p>
      <w:pPr>
        <w:pStyle w:val="Heading3"/>
        <w:rPr/>
      </w:pPr>
      <w:r>
        <w:rPr/>
        <w:t>1</w:t>
      </w:r>
      <w:r>
        <w:rPr/>
        <w:t>1</w:t>
      </w:r>
      <w:r>
        <w:rPr/>
        <w:t>.2. Hardware Acquisition Costs</w:t>
      </w:r>
    </w:p>
    <w:p>
      <w:pPr>
        <w:pStyle w:val="p1"/>
        <w:spacing w:before="280" w:after="280"/>
        <w:rPr/>
      </w:pPr>
      <w:r>
        <w:rPr/>
        <w:t xml:space="preserve">To support the warehouse scanning and delivery operations, </w:t>
      </w:r>
      <w:r>
        <w:rPr>
          <w:rStyle w:val="s1"/>
          <w:b/>
          <w:bCs/>
        </w:rPr>
        <w:t>ruggedised smart barcode scanners</w:t>
      </w:r>
      <w:r>
        <w:rPr/>
        <w:t xml:space="preserve"> (e.g., </w:t>
      </w:r>
      <w:r>
        <w:rPr>
          <w:rStyle w:val="s1"/>
          <w:b/>
          <w:bCs/>
        </w:rPr>
        <w:t>Point Mobile PM84</w:t>
      </w:r>
      <w:r>
        <w:rPr/>
        <w:t xml:space="preserve">, </w:t>
      </w:r>
      <w:r>
        <w:rPr>
          <w:rStyle w:val="s1"/>
          <w:b/>
          <w:bCs/>
        </w:rPr>
        <w:t>PM86</w:t>
      </w:r>
      <w:r>
        <w:rPr/>
        <w:t xml:space="preserve">, </w:t>
      </w:r>
      <w:r>
        <w:rPr>
          <w:rStyle w:val="s1"/>
          <w:b/>
          <w:bCs/>
        </w:rPr>
        <w:t>PM351</w:t>
      </w:r>
      <w:r>
        <w:rPr/>
        <w:t>) are proposed for on-site staff.</w:t>
      </w:r>
    </w:p>
    <w:tbl>
      <w:tblPr>
        <w:tblW w:w="8640" w:type="dxa"/>
        <w:jc w:val="left"/>
        <w:tblInd w:w="15" w:type="dxa"/>
        <w:tblLayout w:type="fixed"/>
        <w:tblCellMar>
          <w:top w:w="15" w:type="dxa"/>
          <w:left w:w="15" w:type="dxa"/>
          <w:bottom w:w="15" w:type="dxa"/>
          <w:right w:w="15" w:type="dxa"/>
        </w:tblCellMar>
        <w:tblLook w:val="04a0" w:noVBand="1" w:noHBand="0" w:lastColumn="0" w:firstColumn="1" w:lastRow="0" w:firstRow="1"/>
      </w:tblPr>
      <w:tblGrid>
        <w:gridCol w:w="2064"/>
        <w:gridCol w:w="2351"/>
        <w:gridCol w:w="1579"/>
        <w:gridCol w:w="1267"/>
        <w:gridCol w:w="1379"/>
      </w:tblGrid>
      <w:tr>
        <w:trPr>
          <w:tblHeader w:val="true"/>
        </w:trPr>
        <w:tc>
          <w:tcPr>
            <w:tcW w:w="2064" w:type="dxa"/>
            <w:tcBorders>
              <w:top w:val="single" w:sz="4" w:space="0" w:color="000000"/>
              <w:left w:val="single" w:sz="4" w:space="0" w:color="000000"/>
              <w:bottom w:val="single" w:sz="4" w:space="0" w:color="000000"/>
              <w:right w:val="single" w:sz="4" w:space="0" w:color="000000"/>
            </w:tcBorders>
            <w:shd w:fill="3465A4" w:val="clear"/>
            <w:vAlign w:val="center"/>
          </w:tcPr>
          <w:p>
            <w:pPr>
              <w:pStyle w:val="Normal"/>
              <w:spacing w:lineRule="auto" w:line="240" w:beforeAutospacing="1" w:after="0"/>
              <w:jc w:val="center"/>
              <w:rPr>
                <w:rFonts w:ascii="Times New Roman" w:hAnsi="Times New Roman" w:eastAsia="Times New Roman" w:cs="Times New Roman"/>
                <w:b/>
                <w:bCs/>
                <w:sz w:val="24"/>
                <w:szCs w:val="24"/>
                <w:lang w:val="en-ZA" w:eastAsia="en-GB"/>
              </w:rPr>
            </w:pPr>
            <w:r>
              <w:rPr>
                <w:rFonts w:eastAsia="Times New Roman" w:cs="Times New Roman" w:ascii="Times New Roman" w:hAnsi="Times New Roman"/>
                <w:b/>
                <w:bCs/>
                <w:iCs w:val="false"/>
                <w:sz w:val="24"/>
                <w:szCs w:val="24"/>
                <w:lang w:val="en-ZA" w:eastAsia="en-GB"/>
              </w:rPr>
              <w:t>Device Model</w:t>
            </w:r>
          </w:p>
        </w:tc>
        <w:tc>
          <w:tcPr>
            <w:tcW w:w="2351" w:type="dxa"/>
            <w:tcBorders>
              <w:top w:val="single" w:sz="4" w:space="0" w:color="000000"/>
              <w:left w:val="single" w:sz="4" w:space="0" w:color="000000"/>
              <w:bottom w:val="single" w:sz="4" w:space="0" w:color="000000"/>
              <w:right w:val="single" w:sz="4" w:space="0" w:color="000000"/>
            </w:tcBorders>
            <w:shd w:fill="3465A4" w:val="clear"/>
            <w:vAlign w:val="center"/>
          </w:tcPr>
          <w:p>
            <w:pPr>
              <w:pStyle w:val="Normal"/>
              <w:spacing w:lineRule="auto" w:line="240" w:beforeAutospacing="1" w:after="0"/>
              <w:jc w:val="center"/>
              <w:rPr>
                <w:rFonts w:ascii="Times New Roman" w:hAnsi="Times New Roman" w:eastAsia="Times New Roman" w:cs="Times New Roman"/>
                <w:b/>
                <w:bCs/>
                <w:sz w:val="24"/>
                <w:szCs w:val="24"/>
                <w:lang w:val="en-ZA" w:eastAsia="en-GB"/>
              </w:rPr>
            </w:pPr>
            <w:r>
              <w:rPr>
                <w:rFonts w:eastAsia="Times New Roman" w:cs="Times New Roman" w:ascii="Times New Roman" w:hAnsi="Times New Roman"/>
                <w:b/>
                <w:bCs/>
                <w:iCs w:val="false"/>
                <w:sz w:val="24"/>
                <w:szCs w:val="24"/>
                <w:lang w:val="en-ZA" w:eastAsia="en-GB"/>
              </w:rPr>
              <w:t>Purpose</w:t>
            </w:r>
          </w:p>
        </w:tc>
        <w:tc>
          <w:tcPr>
            <w:tcW w:w="1579" w:type="dxa"/>
            <w:tcBorders>
              <w:top w:val="single" w:sz="4" w:space="0" w:color="000000"/>
              <w:left w:val="single" w:sz="4" w:space="0" w:color="000000"/>
              <w:bottom w:val="single" w:sz="4" w:space="0" w:color="000000"/>
              <w:right w:val="single" w:sz="4" w:space="0" w:color="000000"/>
            </w:tcBorders>
            <w:shd w:fill="3465A4" w:val="clear"/>
            <w:vAlign w:val="center"/>
          </w:tcPr>
          <w:p>
            <w:pPr>
              <w:pStyle w:val="Normal"/>
              <w:spacing w:lineRule="auto" w:line="240" w:beforeAutospacing="1" w:after="0"/>
              <w:jc w:val="center"/>
              <w:rPr>
                <w:rFonts w:ascii="Times New Roman" w:hAnsi="Times New Roman" w:eastAsia="Times New Roman" w:cs="Times New Roman"/>
                <w:b/>
                <w:bCs/>
                <w:sz w:val="24"/>
                <w:szCs w:val="24"/>
                <w:lang w:val="en-ZA" w:eastAsia="en-GB"/>
              </w:rPr>
            </w:pPr>
            <w:r>
              <w:rPr>
                <w:rFonts w:eastAsia="Times New Roman" w:cs="Times New Roman" w:ascii="Times New Roman" w:hAnsi="Times New Roman"/>
                <w:b/>
                <w:bCs/>
                <w:iCs w:val="false"/>
                <w:sz w:val="24"/>
                <w:szCs w:val="24"/>
                <w:lang w:val="en-ZA" w:eastAsia="en-GB"/>
              </w:rPr>
              <w:t>Unit Cost (Approx.)</w:t>
            </w:r>
          </w:p>
        </w:tc>
        <w:tc>
          <w:tcPr>
            <w:tcW w:w="1267" w:type="dxa"/>
            <w:tcBorders>
              <w:top w:val="single" w:sz="4" w:space="0" w:color="000000"/>
              <w:left w:val="single" w:sz="4" w:space="0" w:color="000000"/>
              <w:bottom w:val="single" w:sz="4" w:space="0" w:color="000000"/>
              <w:right w:val="single" w:sz="4" w:space="0" w:color="000000"/>
            </w:tcBorders>
            <w:shd w:fill="3465A4" w:val="clear"/>
            <w:vAlign w:val="center"/>
          </w:tcPr>
          <w:p>
            <w:pPr>
              <w:pStyle w:val="Normal"/>
              <w:spacing w:lineRule="auto" w:line="240" w:beforeAutospacing="1" w:after="0"/>
              <w:jc w:val="center"/>
              <w:rPr>
                <w:rFonts w:ascii="Times New Roman" w:hAnsi="Times New Roman" w:eastAsia="Times New Roman" w:cs="Times New Roman"/>
                <w:b/>
                <w:bCs/>
                <w:sz w:val="24"/>
                <w:szCs w:val="24"/>
                <w:lang w:val="en-ZA" w:eastAsia="en-GB"/>
              </w:rPr>
            </w:pPr>
            <w:r>
              <w:rPr>
                <w:rFonts w:eastAsia="Times New Roman" w:cs="Times New Roman" w:ascii="Times New Roman" w:hAnsi="Times New Roman"/>
                <w:b/>
                <w:bCs/>
                <w:iCs w:val="false"/>
                <w:sz w:val="24"/>
                <w:szCs w:val="24"/>
                <w:lang w:val="en-ZA" w:eastAsia="en-GB"/>
              </w:rPr>
              <w:t>Qty. Required</w:t>
            </w:r>
          </w:p>
        </w:tc>
        <w:tc>
          <w:tcPr>
            <w:tcW w:w="1379" w:type="dxa"/>
            <w:tcBorders>
              <w:top w:val="single" w:sz="4" w:space="0" w:color="000000"/>
              <w:left w:val="single" w:sz="4" w:space="0" w:color="000000"/>
              <w:bottom w:val="single" w:sz="4" w:space="0" w:color="000000"/>
              <w:right w:val="single" w:sz="4" w:space="0" w:color="000000"/>
            </w:tcBorders>
            <w:shd w:fill="3465A4" w:val="clear"/>
            <w:vAlign w:val="center"/>
          </w:tcPr>
          <w:p>
            <w:pPr>
              <w:pStyle w:val="Normal"/>
              <w:spacing w:lineRule="auto" w:line="240" w:beforeAutospacing="1" w:after="0"/>
              <w:jc w:val="center"/>
              <w:rPr>
                <w:rFonts w:ascii="Times New Roman" w:hAnsi="Times New Roman" w:eastAsia="Times New Roman" w:cs="Times New Roman"/>
                <w:b/>
                <w:bCs/>
                <w:sz w:val="24"/>
                <w:szCs w:val="24"/>
                <w:lang w:val="en-ZA" w:eastAsia="en-GB"/>
              </w:rPr>
            </w:pPr>
            <w:r>
              <w:rPr>
                <w:rFonts w:eastAsia="Times New Roman" w:cs="Times New Roman" w:ascii="Times New Roman" w:hAnsi="Times New Roman"/>
                <w:b/>
                <w:bCs/>
                <w:iCs w:val="false"/>
                <w:sz w:val="24"/>
                <w:szCs w:val="24"/>
                <w:lang w:val="en-ZA" w:eastAsia="en-GB"/>
              </w:rPr>
              <w:t>Total Cost (ZAR)</w:t>
            </w:r>
          </w:p>
        </w:tc>
      </w:tr>
      <w:tr>
        <w:trPr/>
        <w:tc>
          <w:tcPr>
            <w:tcW w:w="206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iCs w:val="false"/>
                <w:sz w:val="24"/>
                <w:szCs w:val="24"/>
                <w:lang w:val="en-ZA" w:eastAsia="en-GB"/>
              </w:rPr>
              <w:t>PM84</w:t>
            </w:r>
          </w:p>
        </w:tc>
        <w:tc>
          <w:tcPr>
            <w:tcW w:w="23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Cs w:val="false"/>
                <w:iCs w:val="false"/>
                <w:sz w:val="24"/>
                <w:szCs w:val="24"/>
                <w:lang w:val="en-ZA" w:eastAsia="en-GB"/>
              </w:rPr>
              <w:t>Stock-taking and inbound scanning</w:t>
            </w:r>
          </w:p>
        </w:tc>
        <w:tc>
          <w:tcPr>
            <w:tcW w:w="15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Cs w:val="false"/>
                <w:iCs w:val="false"/>
                <w:sz w:val="24"/>
                <w:szCs w:val="24"/>
                <w:lang w:val="en-ZA" w:eastAsia="en-GB"/>
              </w:rPr>
              <w:t>R15,000</w:t>
            </w:r>
          </w:p>
        </w:tc>
        <w:tc>
          <w:tcPr>
            <w:tcW w:w="12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Cs w:val="false"/>
                <w:iCs w:val="false"/>
                <w:sz w:val="24"/>
                <w:szCs w:val="24"/>
                <w:lang w:val="en-ZA" w:eastAsia="en-GB"/>
              </w:rPr>
              <w:t>3</w:t>
            </w:r>
          </w:p>
        </w:tc>
        <w:tc>
          <w:tcPr>
            <w:tcW w:w="13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Cs w:val="false"/>
                <w:iCs w:val="false"/>
                <w:sz w:val="24"/>
                <w:szCs w:val="24"/>
                <w:lang w:val="en-ZA" w:eastAsia="en-GB"/>
              </w:rPr>
              <w:t>R45,000</w:t>
            </w:r>
          </w:p>
        </w:tc>
      </w:tr>
      <w:tr>
        <w:trPr/>
        <w:tc>
          <w:tcPr>
            <w:tcW w:w="206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iCs w:val="false"/>
                <w:sz w:val="24"/>
                <w:szCs w:val="24"/>
                <w:lang w:val="en-ZA" w:eastAsia="en-GB"/>
              </w:rPr>
              <w:t>PM86</w:t>
            </w:r>
          </w:p>
        </w:tc>
        <w:tc>
          <w:tcPr>
            <w:tcW w:w="23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Cs w:val="false"/>
                <w:iCs w:val="false"/>
                <w:sz w:val="24"/>
                <w:szCs w:val="24"/>
                <w:lang w:val="en-ZA" w:eastAsia="en-GB"/>
              </w:rPr>
              <w:t>Picking and packing workflows</w:t>
            </w:r>
          </w:p>
        </w:tc>
        <w:tc>
          <w:tcPr>
            <w:tcW w:w="15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Cs w:val="false"/>
                <w:iCs w:val="false"/>
                <w:sz w:val="24"/>
                <w:szCs w:val="24"/>
                <w:lang w:val="en-ZA" w:eastAsia="en-GB"/>
              </w:rPr>
              <w:t>R16,500</w:t>
            </w:r>
          </w:p>
        </w:tc>
        <w:tc>
          <w:tcPr>
            <w:tcW w:w="12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Cs w:val="false"/>
                <w:iCs w:val="false"/>
                <w:sz w:val="24"/>
                <w:szCs w:val="24"/>
                <w:lang w:val="en-ZA" w:eastAsia="en-GB"/>
              </w:rPr>
              <w:t>3</w:t>
            </w:r>
          </w:p>
        </w:tc>
        <w:tc>
          <w:tcPr>
            <w:tcW w:w="13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Cs w:val="false"/>
                <w:iCs w:val="false"/>
                <w:sz w:val="24"/>
                <w:szCs w:val="24"/>
                <w:lang w:val="en-ZA" w:eastAsia="en-GB"/>
              </w:rPr>
              <w:t>R49,500</w:t>
            </w:r>
          </w:p>
        </w:tc>
      </w:tr>
      <w:tr>
        <w:trPr/>
        <w:tc>
          <w:tcPr>
            <w:tcW w:w="206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iCs w:val="false"/>
                <w:sz w:val="24"/>
                <w:szCs w:val="24"/>
                <w:lang w:val="en-ZA" w:eastAsia="en-GB"/>
              </w:rPr>
              <w:t>PM351</w:t>
            </w:r>
          </w:p>
        </w:tc>
        <w:tc>
          <w:tcPr>
            <w:tcW w:w="23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Cs w:val="false"/>
                <w:iCs w:val="false"/>
                <w:sz w:val="24"/>
                <w:szCs w:val="24"/>
                <w:lang w:val="en-ZA" w:eastAsia="en-GB"/>
              </w:rPr>
              <w:t>Delivery route management</w:t>
            </w:r>
          </w:p>
        </w:tc>
        <w:tc>
          <w:tcPr>
            <w:tcW w:w="15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Cs w:val="false"/>
                <w:iCs w:val="false"/>
                <w:sz w:val="24"/>
                <w:szCs w:val="24"/>
                <w:lang w:val="en-ZA" w:eastAsia="en-GB"/>
              </w:rPr>
              <w:t>R13,000</w:t>
            </w:r>
          </w:p>
        </w:tc>
        <w:tc>
          <w:tcPr>
            <w:tcW w:w="12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Cs w:val="false"/>
                <w:iCs w:val="false"/>
                <w:sz w:val="24"/>
                <w:szCs w:val="24"/>
                <w:lang w:val="en-ZA" w:eastAsia="en-GB"/>
              </w:rPr>
              <w:t>2</w:t>
            </w:r>
          </w:p>
        </w:tc>
        <w:tc>
          <w:tcPr>
            <w:tcW w:w="13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Cs w:val="false"/>
                <w:iCs w:val="false"/>
                <w:sz w:val="24"/>
                <w:szCs w:val="24"/>
                <w:lang w:val="en-ZA" w:eastAsia="en-GB"/>
              </w:rPr>
              <w:t>R26,000</w:t>
            </w:r>
          </w:p>
        </w:tc>
      </w:tr>
      <w:tr>
        <w:trPr/>
        <w:tc>
          <w:tcPr>
            <w:tcW w:w="206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iCs w:val="false"/>
                <w:sz w:val="24"/>
                <w:szCs w:val="24"/>
                <w:lang w:val="en-ZA" w:eastAsia="en-GB"/>
              </w:rPr>
              <w:t>Total Hardware Investment</w:t>
            </w:r>
          </w:p>
        </w:tc>
        <w:tc>
          <w:tcPr>
            <w:tcW w:w="23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iCs w:val="false"/>
                <w:sz w:val="24"/>
                <w:szCs w:val="24"/>
                <w:lang w:val="en-ZA" w:eastAsia="en-GB"/>
              </w:rPr>
              <w:t>~R120,500 once-off</w:t>
            </w:r>
          </w:p>
        </w:tc>
        <w:tc>
          <w:tcPr>
            <w:tcW w:w="15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sz w:val="20"/>
                <w:szCs w:val="20"/>
                <w:lang w:val="en-ZA" w:eastAsia="en-GB"/>
              </w:rPr>
            </w:pPr>
            <w:r>
              <w:rPr>
                <w:rFonts w:eastAsia="Times New Roman" w:cs="Times New Roman" w:ascii="Times New Roman" w:hAnsi="Times New Roman"/>
                <w:bCs/>
                <w:iCs w:val="false"/>
                <w:sz w:val="20"/>
                <w:szCs w:val="24"/>
                <w:lang w:val="en-ZA" w:eastAsia="en-GB"/>
              </w:rPr>
            </w:r>
          </w:p>
        </w:tc>
        <w:tc>
          <w:tcPr>
            <w:tcW w:w="12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sz w:val="20"/>
                <w:szCs w:val="20"/>
                <w:lang w:val="en-ZA" w:eastAsia="en-GB"/>
              </w:rPr>
            </w:pPr>
            <w:r>
              <w:rPr>
                <w:rFonts w:eastAsia="Times New Roman" w:cs="Times New Roman" w:ascii="Times New Roman" w:hAnsi="Times New Roman"/>
                <w:bCs/>
                <w:iCs w:val="false"/>
                <w:sz w:val="20"/>
                <w:szCs w:val="24"/>
                <w:lang w:val="en-ZA" w:eastAsia="en-GB"/>
              </w:rPr>
            </w:r>
          </w:p>
        </w:tc>
        <w:tc>
          <w:tcPr>
            <w:tcW w:w="13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sz w:val="20"/>
                <w:szCs w:val="20"/>
                <w:lang w:val="en-ZA" w:eastAsia="en-GB"/>
              </w:rPr>
            </w:pPr>
            <w:r>
              <w:rPr>
                <w:rFonts w:eastAsia="Times New Roman" w:cs="Times New Roman" w:ascii="Times New Roman" w:hAnsi="Times New Roman"/>
                <w:bCs/>
                <w:iCs w:val="false"/>
                <w:sz w:val="20"/>
                <w:szCs w:val="24"/>
                <w:lang w:val="en-ZA" w:eastAsia="en-GB"/>
              </w:rPr>
            </w:r>
          </w:p>
        </w:tc>
      </w:tr>
    </w:tbl>
    <w:p>
      <w:pPr>
        <w:pStyle w:val="p1"/>
        <w:spacing w:before="280" w:after="280"/>
        <w:rPr/>
      </w:pPr>
      <w:r>
        <w:rPr/>
        <w:t>These scanners run Android and communicate directly with the TWS-Scan mobile app via HTTPS, requiring no additional licensing or proprietary middleware — lowering long-term IT overhead.</w:t>
      </w:r>
    </w:p>
    <w:p>
      <w:pPr>
        <w:pStyle w:val="Normal"/>
        <w:rPr>
          <w:rStyle w:val="s1"/>
        </w:rPr>
      </w:pPr>
      <w:r>
        <w:rPr/>
        <mc:AlternateContent>
          <mc:Choice Requires="wps">
            <w:drawing>
              <wp:inline distT="0" distB="0" distL="0" distR="0">
                <wp:extent cx="5485130" cy="635"/>
                <wp:effectExtent l="0" t="0" r="0" b="0"/>
                <wp:docPr id="16" name="Shape54"/>
                <a:graphic xmlns:a="http://schemas.openxmlformats.org/drawingml/2006/main">
                  <a:graphicData uri="http://schemas.microsoft.com/office/word/2010/wordprocessingShape">
                    <wps:wsp>
                      <wps:cNvSpPr/>
                      <wps:spPr>
                        <a:xfrm>
                          <a:off x="0" y="0"/>
                          <a:ext cx="5484960" cy="720"/>
                        </a:xfrm>
                        <a:prstGeom prst="rect">
                          <a:avLst/>
                        </a:prstGeom>
                        <a:solidFill>
                          <a:srgbClr val="a0a0a0"/>
                        </a:solidFill>
                        <a:ln w="0">
                          <a:noFill/>
                        </a:ln>
                      </wps:spPr>
                      <wps:style>
                        <a:lnRef idx="0"/>
                        <a:fillRef idx="0"/>
                        <a:effectRef idx="0"/>
                        <a:fontRef idx="minor"/>
                      </wps:style>
                      <wps:bodyPr/>
                    </wps:wsp>
                  </a:graphicData>
                </a:graphic>
                <wp14:sizeRelH relativeFrom="page">
                  <wp14:pctWidth>95000</wp14:pctWidth>
                </wp14:sizeRelH>
              </wp:inline>
            </w:drawing>
          </mc:Choice>
          <mc:Fallback>
            <w:pict>
              <v:rect id="shape_0" ID="Shape54" path="m0,0l-2147483645,0l-2147483645,-2147483646l0,-2147483646xe" fillcolor="#a0a0a0" stroked="f" o:allowincell="f" style="position:absolute;margin-left:0pt;margin-top:-0.1pt;width:431.85pt;height:0pt;mso-wrap-style:none;v-text-anchor:middle;mso-position-vertical:top">
                <v:fill o:detectmouseclick="t" type="solid" color2="#5f5f5f"/>
                <v:stroke color="#3465a4" joinstyle="round" endcap="flat"/>
                <w10:wrap type="square"/>
              </v:rect>
            </w:pict>
          </mc:Fallback>
        </mc:AlternateContent>
      </w:r>
    </w:p>
    <w:p>
      <w:pPr>
        <w:pStyle w:val="Heading3"/>
        <w:rPr/>
      </w:pPr>
      <w:r>
        <w:rPr/>
        <w:t>1</w:t>
      </w:r>
      <w:r>
        <w:rPr/>
        <w:t>1</w:t>
      </w:r>
      <w:r>
        <w:rPr/>
        <w:t>.3. Predicted User Growth and Scaling Scenarios</w:t>
      </w:r>
    </w:p>
    <w:p>
      <w:pPr>
        <w:pStyle w:val="p1"/>
        <w:spacing w:before="280" w:after="280"/>
        <w:rPr/>
      </w:pPr>
      <w:r>
        <w:rPr/>
        <w:t>Projected user adoption and system load were modelled over two years, assuming gradual warehouse digitisation and user onboarding.</w:t>
      </w:r>
    </w:p>
    <w:tbl>
      <w:tblPr>
        <w:tblW w:w="8640" w:type="dxa"/>
        <w:jc w:val="left"/>
        <w:tblInd w:w="15" w:type="dxa"/>
        <w:tblLayout w:type="fixed"/>
        <w:tblCellMar>
          <w:top w:w="15" w:type="dxa"/>
          <w:left w:w="15" w:type="dxa"/>
          <w:bottom w:w="15" w:type="dxa"/>
          <w:right w:w="15" w:type="dxa"/>
        </w:tblCellMar>
        <w:tblLook w:val="04a0" w:noVBand="1" w:noHBand="0" w:lastColumn="0" w:firstColumn="1" w:lastRow="0" w:firstRow="1"/>
      </w:tblPr>
      <w:tblGrid>
        <w:gridCol w:w="2223"/>
        <w:gridCol w:w="921"/>
        <w:gridCol w:w="1658"/>
        <w:gridCol w:w="1550"/>
        <w:gridCol w:w="2288"/>
      </w:tblGrid>
      <w:tr>
        <w:trPr>
          <w:tblHeader w:val="true"/>
        </w:trPr>
        <w:tc>
          <w:tcPr>
            <w:tcW w:w="2223" w:type="dxa"/>
            <w:tcBorders/>
            <w:shd w:fill="3465A4" w:val="clear"/>
            <w:vAlign w:val="center"/>
          </w:tcPr>
          <w:p>
            <w:pPr>
              <w:pStyle w:val="Normal"/>
              <w:spacing w:lineRule="auto" w:line="240" w:beforeAutospacing="1" w:after="0"/>
              <w:jc w:val="center"/>
              <w:rPr>
                <w:rFonts w:ascii="Times New Roman" w:hAnsi="Times New Roman" w:eastAsia="Times New Roman" w:cs="Times New Roman"/>
                <w:b/>
                <w:bCs/>
                <w:sz w:val="24"/>
                <w:szCs w:val="24"/>
                <w:lang w:val="en-ZA" w:eastAsia="en-GB"/>
              </w:rPr>
            </w:pPr>
            <w:r>
              <w:rPr>
                <w:rFonts w:eastAsia="Times New Roman" w:cs="Times New Roman" w:ascii="Times New Roman" w:hAnsi="Times New Roman"/>
                <w:b/>
                <w:bCs/>
                <w:sz w:val="24"/>
                <w:szCs w:val="24"/>
                <w:lang w:val="en-ZA" w:eastAsia="en-GB"/>
              </w:rPr>
              <w:t>Scenario</w:t>
            </w:r>
          </w:p>
        </w:tc>
        <w:tc>
          <w:tcPr>
            <w:tcW w:w="921" w:type="dxa"/>
            <w:tcBorders/>
            <w:shd w:fill="3465A4" w:val="clear"/>
            <w:vAlign w:val="center"/>
          </w:tcPr>
          <w:p>
            <w:pPr>
              <w:pStyle w:val="Normal"/>
              <w:spacing w:lineRule="auto" w:line="240" w:beforeAutospacing="1" w:after="0"/>
              <w:jc w:val="center"/>
              <w:rPr>
                <w:rFonts w:ascii="Times New Roman" w:hAnsi="Times New Roman" w:eastAsia="Times New Roman" w:cs="Times New Roman"/>
                <w:b/>
                <w:bCs/>
                <w:sz w:val="24"/>
                <w:szCs w:val="24"/>
                <w:lang w:val="en-ZA" w:eastAsia="en-GB"/>
              </w:rPr>
            </w:pPr>
            <w:r>
              <w:rPr>
                <w:rFonts w:eastAsia="Times New Roman" w:cs="Times New Roman" w:ascii="Times New Roman" w:hAnsi="Times New Roman"/>
                <w:b/>
                <w:bCs/>
                <w:sz w:val="24"/>
                <w:szCs w:val="24"/>
                <w:lang w:val="en-ZA" w:eastAsia="en-GB"/>
              </w:rPr>
              <w:t>User Count</w:t>
            </w:r>
          </w:p>
        </w:tc>
        <w:tc>
          <w:tcPr>
            <w:tcW w:w="1658" w:type="dxa"/>
            <w:tcBorders/>
            <w:shd w:fill="3465A4" w:val="clear"/>
            <w:vAlign w:val="center"/>
          </w:tcPr>
          <w:p>
            <w:pPr>
              <w:pStyle w:val="Normal"/>
              <w:spacing w:lineRule="auto" w:line="240" w:beforeAutospacing="1" w:after="0"/>
              <w:jc w:val="center"/>
              <w:rPr>
                <w:rFonts w:ascii="Times New Roman" w:hAnsi="Times New Roman" w:eastAsia="Times New Roman" w:cs="Times New Roman"/>
                <w:b/>
                <w:bCs/>
                <w:sz w:val="24"/>
                <w:szCs w:val="24"/>
                <w:lang w:val="en-ZA" w:eastAsia="en-GB"/>
              </w:rPr>
            </w:pPr>
            <w:r>
              <w:rPr>
                <w:rFonts w:eastAsia="Times New Roman" w:cs="Times New Roman" w:ascii="Times New Roman" w:hAnsi="Times New Roman"/>
                <w:b/>
                <w:bCs/>
                <w:sz w:val="24"/>
                <w:szCs w:val="24"/>
                <w:lang w:val="en-ZA" w:eastAsia="en-GB"/>
              </w:rPr>
              <w:t>Expected API Calls/Day</w:t>
            </w:r>
          </w:p>
        </w:tc>
        <w:tc>
          <w:tcPr>
            <w:tcW w:w="1550" w:type="dxa"/>
            <w:tcBorders/>
            <w:shd w:fill="3465A4" w:val="clear"/>
            <w:vAlign w:val="center"/>
          </w:tcPr>
          <w:p>
            <w:pPr>
              <w:pStyle w:val="Normal"/>
              <w:spacing w:lineRule="auto" w:line="240" w:beforeAutospacing="1" w:after="0"/>
              <w:jc w:val="center"/>
              <w:rPr>
                <w:rFonts w:ascii="Times New Roman" w:hAnsi="Times New Roman" w:eastAsia="Times New Roman" w:cs="Times New Roman"/>
                <w:b/>
                <w:bCs/>
                <w:sz w:val="24"/>
                <w:szCs w:val="24"/>
                <w:lang w:val="en-ZA" w:eastAsia="en-GB"/>
              </w:rPr>
            </w:pPr>
            <w:r>
              <w:rPr>
                <w:rFonts w:eastAsia="Times New Roman" w:cs="Times New Roman" w:ascii="Times New Roman" w:hAnsi="Times New Roman"/>
                <w:b/>
                <w:bCs/>
                <w:sz w:val="24"/>
                <w:szCs w:val="24"/>
                <w:lang w:val="en-ZA" w:eastAsia="en-GB"/>
              </w:rPr>
              <w:t>Projected Cloud Tier</w:t>
            </w:r>
          </w:p>
        </w:tc>
        <w:tc>
          <w:tcPr>
            <w:tcW w:w="2288" w:type="dxa"/>
            <w:tcBorders/>
            <w:shd w:fill="3465A4" w:val="clear"/>
            <w:vAlign w:val="center"/>
          </w:tcPr>
          <w:p>
            <w:pPr>
              <w:pStyle w:val="Normal"/>
              <w:spacing w:lineRule="auto" w:line="240" w:beforeAutospacing="1" w:after="0"/>
              <w:jc w:val="center"/>
              <w:rPr>
                <w:rFonts w:ascii="Times New Roman" w:hAnsi="Times New Roman" w:eastAsia="Times New Roman" w:cs="Times New Roman"/>
                <w:b/>
                <w:bCs/>
                <w:sz w:val="24"/>
                <w:szCs w:val="24"/>
                <w:lang w:val="en-ZA" w:eastAsia="en-GB"/>
              </w:rPr>
            </w:pPr>
            <w:r>
              <w:rPr>
                <w:rFonts w:eastAsia="Times New Roman" w:cs="Times New Roman" w:ascii="Times New Roman" w:hAnsi="Times New Roman"/>
                <w:b/>
                <w:bCs/>
                <w:sz w:val="24"/>
                <w:szCs w:val="24"/>
                <w:lang w:val="en-ZA" w:eastAsia="en-GB"/>
              </w:rPr>
              <w:t>Estimated Monthly Cloud Cost (ZAR)</w:t>
            </w:r>
          </w:p>
        </w:tc>
      </w:tr>
      <w:tr>
        <w:trPr/>
        <w:tc>
          <w:tcPr>
            <w:tcW w:w="2223"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Best Case (Rapid Growth)</w:t>
            </w:r>
          </w:p>
        </w:tc>
        <w:tc>
          <w:tcPr>
            <w:tcW w:w="921"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50+</w:t>
            </w:r>
          </w:p>
        </w:tc>
        <w:tc>
          <w:tcPr>
            <w:tcW w:w="1658"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100,000+</w:t>
            </w:r>
          </w:p>
        </w:tc>
        <w:tc>
          <w:tcPr>
            <w:tcW w:w="1550"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Azure S1</w:t>
            </w:r>
          </w:p>
        </w:tc>
        <w:tc>
          <w:tcPr>
            <w:tcW w:w="2288"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R950–R1,100</w:t>
            </w:r>
          </w:p>
        </w:tc>
      </w:tr>
      <w:tr>
        <w:trPr/>
        <w:tc>
          <w:tcPr>
            <w:tcW w:w="2223"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Average Growth (Realistic)</w:t>
            </w:r>
          </w:p>
        </w:tc>
        <w:tc>
          <w:tcPr>
            <w:tcW w:w="921"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25–35</w:t>
            </w:r>
          </w:p>
        </w:tc>
        <w:tc>
          <w:tcPr>
            <w:tcW w:w="1658"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50,000</w:t>
            </w:r>
          </w:p>
        </w:tc>
        <w:tc>
          <w:tcPr>
            <w:tcW w:w="1550"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Azure B2 + SQL S0</w:t>
            </w:r>
          </w:p>
        </w:tc>
        <w:tc>
          <w:tcPr>
            <w:tcW w:w="2288"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R600–R700</w:t>
            </w:r>
          </w:p>
        </w:tc>
      </w:tr>
      <w:tr>
        <w:trPr/>
        <w:tc>
          <w:tcPr>
            <w:tcW w:w="2223"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Slow Growth (Minimal Expansion)</w:t>
            </w:r>
          </w:p>
        </w:tc>
        <w:tc>
          <w:tcPr>
            <w:tcW w:w="921"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10–15</w:t>
            </w:r>
          </w:p>
        </w:tc>
        <w:tc>
          <w:tcPr>
            <w:tcW w:w="1658"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15,000</w:t>
            </w:r>
          </w:p>
        </w:tc>
        <w:tc>
          <w:tcPr>
            <w:tcW w:w="1550"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Azure B1 + SQL Basic</w:t>
            </w:r>
          </w:p>
        </w:tc>
        <w:tc>
          <w:tcPr>
            <w:tcW w:w="2288"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R300–R350</w:t>
            </w:r>
          </w:p>
        </w:tc>
      </w:tr>
    </w:tbl>
    <w:p>
      <w:pPr>
        <w:pStyle w:val="p1"/>
        <w:rPr/>
      </w:pPr>
      <w:r>
        <w:rPr/>
        <w:t xml:space="preserve">Predictive modelling indicates that </w:t>
      </w:r>
      <w:r>
        <w:rPr>
          <w:rStyle w:val="s1"/>
          <w:b/>
          <w:bCs/>
        </w:rPr>
        <w:t>cloud cost growth is linear</w:t>
      </w:r>
      <w:r>
        <w:rPr/>
        <w:t xml:space="preserve"> relative to warehouse user count, allowing scalability without large jumps in expenditure.</w:t>
        <w:br/>
        <w:br/>
        <w:br/>
        <w:br/>
      </w:r>
      <w:r>
        <w:rPr>
          <w:b/>
          <w:bCs/>
          <w:color w:val="2A6099"/>
        </w:rPr>
        <w:t>1</w:t>
      </w:r>
      <w:r>
        <w:rPr>
          <w:b/>
          <w:bCs/>
          <w:color w:val="2A6099"/>
        </w:rPr>
        <w:t>1</w:t>
      </w:r>
      <w:r>
        <w:rPr>
          <w:b/>
          <w:bCs/>
          <w:color w:val="2A6099"/>
        </w:rPr>
        <w:t>.4. Replacement and Scaling Considerations</w:t>
      </w:r>
    </w:p>
    <w:p>
      <w:pPr>
        <w:pStyle w:val="p1"/>
        <w:rPr>
          <w:b/>
          <w:bCs/>
        </w:rPr>
      </w:pPr>
      <w:r>
        <w:rPr>
          <w:b/>
          <w:bCs/>
        </w:rPr>
        <w:t>Technology Replacement Triggers</w:t>
      </w:r>
    </w:p>
    <w:tbl>
      <w:tblPr>
        <w:tblW w:w="8536" w:type="dxa"/>
        <w:jc w:val="right"/>
        <w:tblInd w:w="0" w:type="dxa"/>
        <w:tblLayout w:type="fixed"/>
        <w:tblCellMar>
          <w:top w:w="15" w:type="dxa"/>
          <w:left w:w="15" w:type="dxa"/>
          <w:bottom w:w="15" w:type="dxa"/>
          <w:right w:w="15" w:type="dxa"/>
        </w:tblCellMar>
        <w:tblLook w:val="04a0" w:noVBand="1" w:noHBand="0" w:lastColumn="0" w:firstColumn="1" w:lastRow="0" w:firstRow="1"/>
      </w:tblPr>
      <w:tblGrid>
        <w:gridCol w:w="1696"/>
        <w:gridCol w:w="3236"/>
        <w:gridCol w:w="3604"/>
      </w:tblGrid>
      <w:tr>
        <w:trPr>
          <w:tblHeader w:val="true"/>
        </w:trPr>
        <w:tc>
          <w:tcPr>
            <w:tcW w:w="1696" w:type="dxa"/>
            <w:tcBorders/>
            <w:vAlign w:val="center"/>
          </w:tcPr>
          <w:p>
            <w:pPr>
              <w:pStyle w:val="Normal"/>
              <w:spacing w:lineRule="auto" w:line="240" w:beforeAutospacing="1" w:after="0"/>
              <w:jc w:val="center"/>
              <w:rPr/>
            </w:pPr>
            <w:r>
              <w:rPr>
                <w:rFonts w:eastAsia="Times New Roman" w:cs="Times New Roman" w:ascii="Times New Roman" w:hAnsi="Times New Roman"/>
                <w:b/>
                <w:bCs/>
                <w:sz w:val="24"/>
                <w:szCs w:val="24"/>
                <w:lang w:val="en-ZA" w:eastAsia="en-GB"/>
              </w:rPr>
              <w:t>Component</w:t>
            </w:r>
          </w:p>
        </w:tc>
        <w:tc>
          <w:tcPr>
            <w:tcW w:w="3236" w:type="dxa"/>
            <w:tcBorders/>
            <w:vAlign w:val="center"/>
          </w:tcPr>
          <w:p>
            <w:pPr>
              <w:pStyle w:val="Normal"/>
              <w:spacing w:lineRule="auto" w:line="240" w:beforeAutospacing="1" w:after="0"/>
              <w:jc w:val="center"/>
              <w:rPr/>
            </w:pPr>
            <w:r>
              <w:rPr>
                <w:rFonts w:eastAsia="Times New Roman" w:cs="Times New Roman" w:ascii="Times New Roman" w:hAnsi="Times New Roman"/>
                <w:b/>
                <w:bCs/>
                <w:sz w:val="24"/>
                <w:szCs w:val="24"/>
                <w:lang w:val="en-ZA" w:eastAsia="en-GB"/>
              </w:rPr>
              <w:t>Scaling Trigger</w:t>
            </w:r>
          </w:p>
        </w:tc>
        <w:tc>
          <w:tcPr>
            <w:tcW w:w="3604" w:type="dxa"/>
            <w:tcBorders/>
            <w:vAlign w:val="center"/>
          </w:tcPr>
          <w:p>
            <w:pPr>
              <w:pStyle w:val="Normal"/>
              <w:spacing w:lineRule="auto" w:line="240" w:beforeAutospacing="1" w:after="0"/>
              <w:jc w:val="center"/>
              <w:rPr/>
            </w:pPr>
            <w:r>
              <w:rPr>
                <w:rFonts w:eastAsia="Times New Roman" w:cs="Times New Roman" w:ascii="Times New Roman" w:hAnsi="Times New Roman"/>
                <w:b/>
                <w:bCs/>
                <w:sz w:val="24"/>
                <w:szCs w:val="24"/>
                <w:lang w:val="en-ZA" w:eastAsia="en-GB"/>
              </w:rPr>
              <w:t>Replacement or Upgrade Path</w:t>
            </w:r>
          </w:p>
        </w:tc>
      </w:tr>
      <w:tr>
        <w:trPr/>
        <w:tc>
          <w:tcPr>
            <w:tcW w:w="1696"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App Service</w:t>
            </w:r>
          </w:p>
        </w:tc>
        <w:tc>
          <w:tcPr>
            <w:tcW w:w="3236"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CPU utilisation consistently &gt; 75% for 5+ days</w:t>
            </w:r>
          </w:p>
        </w:tc>
        <w:tc>
          <w:tcPr>
            <w:tcW w:w="3604"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Upgrade from B1 to B2 or S1 (auto-scale enabled)</w:t>
            </w:r>
          </w:p>
        </w:tc>
      </w:tr>
      <w:tr>
        <w:trPr/>
        <w:tc>
          <w:tcPr>
            <w:tcW w:w="1696"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SQL Database</w:t>
            </w:r>
          </w:p>
        </w:tc>
        <w:tc>
          <w:tcPr>
            <w:tcW w:w="3236"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Query latency &gt; 300ms or transaction queue &gt; 10K</w:t>
            </w:r>
          </w:p>
        </w:tc>
        <w:tc>
          <w:tcPr>
            <w:tcW w:w="3604"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Upgrade to S1 or Elastic Pool configuration</w:t>
            </w:r>
          </w:p>
        </w:tc>
      </w:tr>
      <w:tr>
        <w:trPr/>
        <w:tc>
          <w:tcPr>
            <w:tcW w:w="1696"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Blob Storage</w:t>
            </w:r>
          </w:p>
        </w:tc>
        <w:tc>
          <w:tcPr>
            <w:tcW w:w="3236"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Annual growth &gt; 50GB</w:t>
            </w:r>
          </w:p>
        </w:tc>
        <w:tc>
          <w:tcPr>
            <w:tcW w:w="3604"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Migrate to Archive Storage tier</w:t>
            </w:r>
          </w:p>
        </w:tc>
      </w:tr>
      <w:tr>
        <w:trPr/>
        <w:tc>
          <w:tcPr>
            <w:tcW w:w="1696"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b/>
                <w:bCs/>
                <w:sz w:val="24"/>
                <w:szCs w:val="24"/>
                <w:lang w:val="en-ZA" w:eastAsia="en-GB"/>
              </w:rPr>
              <w:t>Hardware (Scanners)</w:t>
            </w:r>
          </w:p>
        </w:tc>
        <w:tc>
          <w:tcPr>
            <w:tcW w:w="3236"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Physical wear, or Android version obsolescence</w:t>
            </w:r>
          </w:p>
        </w:tc>
        <w:tc>
          <w:tcPr>
            <w:tcW w:w="3604" w:type="dxa"/>
            <w:tcBorders/>
            <w:vAlign w:val="center"/>
          </w:tcPr>
          <w:p>
            <w:pPr>
              <w:pStyle w:val="Normal"/>
              <w:spacing w:lineRule="auto" w:line="240" w:beforeAutospacing="1" w:after="0"/>
              <w:rPr>
                <w:rFonts w:ascii="Times New Roman" w:hAnsi="Times New Roman" w:eastAsia="Times New Roman" w:cs="Times New Roman"/>
                <w:sz w:val="24"/>
                <w:szCs w:val="24"/>
                <w:lang w:val="en-ZA" w:eastAsia="en-GB"/>
              </w:rPr>
            </w:pPr>
            <w:r>
              <w:rPr>
                <w:rFonts w:eastAsia="Times New Roman" w:cs="Times New Roman" w:ascii="Times New Roman" w:hAnsi="Times New Roman"/>
                <w:sz w:val="24"/>
                <w:szCs w:val="24"/>
                <w:lang w:val="en-ZA" w:eastAsia="en-GB"/>
              </w:rPr>
              <w:t>Replace with updated PM9X or Honeywell CT45 models</w:t>
            </w:r>
          </w:p>
        </w:tc>
      </w:tr>
    </w:tbl>
    <w:p>
      <w:pPr>
        <w:pStyle w:val="p1"/>
        <w:spacing w:before="280" w:after="280"/>
        <w:rPr/>
      </w:pPr>
      <w:r>
        <w:rPr/>
        <w:t>Azure’s modular ecosystem allows incremental scaling, ensuring cost efficiency as the system grows.</w:t>
      </w:r>
    </w:p>
    <w:p>
      <w:pPr>
        <w:pStyle w:val="Heading3"/>
        <w:rPr/>
      </w:pPr>
      <w:r>
        <w:rPr>
          <w:sz w:val="24"/>
          <w:szCs w:val="24"/>
        </w:rPr>
        <w:br/>
        <w:t>1</w:t>
      </w:r>
      <w:r>
        <w:rPr>
          <w:sz w:val="24"/>
          <w:szCs w:val="24"/>
        </w:rPr>
        <w:t>1</w:t>
      </w:r>
      <w:r>
        <w:rPr>
          <w:sz w:val="24"/>
          <w:szCs w:val="24"/>
        </w:rPr>
        <w:t>.5. Cost Sustainability and Predictive Outlook</w:t>
      </w:r>
    </w:p>
    <w:p>
      <w:pPr>
        <w:pStyle w:val="p1"/>
        <w:spacing w:before="280" w:after="280"/>
        <w:rPr/>
      </w:pPr>
      <w:r>
        <w:rPr/>
        <w:t>Over a two-year forecast:</w:t>
      </w:r>
    </w:p>
    <w:p>
      <w:pPr>
        <w:pStyle w:val="p1"/>
        <w:numPr>
          <w:ilvl w:val="0"/>
          <w:numId w:val="68"/>
        </w:numPr>
        <w:spacing w:before="280" w:after="0"/>
        <w:rPr/>
      </w:pPr>
      <w:r>
        <w:rPr>
          <w:rStyle w:val="s1"/>
          <w:b/>
          <w:bCs/>
        </w:rPr>
        <w:t>Year 1:</w:t>
      </w:r>
      <w:r>
        <w:rPr/>
        <w:t xml:space="preserve"> 10–20 users, estimated cloud cost R300/month.</w:t>
      </w:r>
    </w:p>
    <w:p>
      <w:pPr>
        <w:pStyle w:val="p1"/>
        <w:numPr>
          <w:ilvl w:val="0"/>
          <w:numId w:val="68"/>
        </w:numPr>
        <w:spacing w:before="0" w:after="0"/>
        <w:rPr/>
      </w:pPr>
      <w:r>
        <w:rPr>
          <w:rStyle w:val="s1"/>
          <w:b/>
          <w:bCs/>
        </w:rPr>
        <w:t>Year 2:</w:t>
      </w:r>
      <w:r>
        <w:rPr/>
        <w:t xml:space="preserve"> 30–50 users, scaling to R700–R1,000/month.</w:t>
      </w:r>
    </w:p>
    <w:p>
      <w:pPr>
        <w:pStyle w:val="p1"/>
        <w:numPr>
          <w:ilvl w:val="0"/>
          <w:numId w:val="68"/>
        </w:numPr>
        <w:spacing w:before="0" w:after="0"/>
        <w:rPr/>
      </w:pPr>
      <w:r>
        <w:rPr>
          <w:rStyle w:val="s1"/>
          <w:b/>
          <w:bCs/>
        </w:rPr>
        <w:t>Yearly Cloud Total:</w:t>
      </w:r>
      <w:r>
        <w:rPr/>
        <w:t xml:space="preserve"> ~R8,000–R12,000 depending on scaling pattern.</w:t>
      </w:r>
    </w:p>
    <w:p>
      <w:pPr>
        <w:pStyle w:val="p1"/>
        <w:numPr>
          <w:ilvl w:val="0"/>
          <w:numId w:val="68"/>
        </w:numPr>
        <w:spacing w:before="0" w:after="280"/>
        <w:rPr/>
      </w:pPr>
      <w:r>
        <w:rPr>
          <w:rStyle w:val="s1"/>
          <w:b/>
          <w:bCs/>
        </w:rPr>
        <w:t>Hardware Refresh Cycle:</w:t>
      </w:r>
      <w:r>
        <w:rPr/>
        <w:t xml:space="preserve"> Every 3–4 years (R120,000 amortised → R3,000/month equivalent).</w:t>
      </w:r>
    </w:p>
    <w:p>
      <w:pPr>
        <w:pStyle w:val="p3"/>
        <w:spacing w:before="280" w:after="280"/>
        <w:rPr/>
      </w:pPr>
      <w:r>
        <w:rPr/>
      </w:r>
    </w:p>
    <w:p>
      <w:pPr>
        <w:pStyle w:val="p1"/>
        <w:spacing w:before="280" w:after="280"/>
        <w:rPr/>
      </w:pPr>
      <w:r>
        <w:rPr/>
        <w:t xml:space="preserve">Total operational expenditure (OPEX) remains </w:t>
      </w:r>
      <w:r>
        <w:rPr>
          <w:rStyle w:val="s2"/>
          <w:rFonts w:eastAsia="" w:eastAsiaTheme="majorEastAsia"/>
          <w:b/>
          <w:bCs/>
        </w:rPr>
        <w:t>under R1,500/month</w:t>
      </w:r>
      <w:r>
        <w:rPr/>
        <w:t>, making TWS-Scan cost-effective for long-term deployment in small-to-medium warehouse environments.</w:t>
      </w:r>
    </w:p>
    <w:p>
      <w:pPr>
        <w:pStyle w:val="p3"/>
        <w:spacing w:before="280" w:after="280"/>
        <w:jc w:val="left"/>
        <w:rPr/>
      </w:pPr>
      <w:r>
        <w:rPr/>
        <w:br/>
        <w:br/>
      </w:r>
    </w:p>
    <w:p>
      <w:pPr>
        <w:pStyle w:val="p3"/>
        <w:spacing w:before="280" w:after="280"/>
        <w:jc w:val="left"/>
        <w:rPr/>
      </w:pPr>
      <w:r>
        <w:rPr/>
      </w:r>
    </w:p>
    <w:p>
      <w:pPr>
        <w:pStyle w:val="p3"/>
        <w:spacing w:before="280" w:after="280"/>
        <w:jc w:val="left"/>
        <w:rPr/>
      </w:pPr>
      <w:r>
        <w:rPr/>
      </w:r>
    </w:p>
    <w:p>
      <w:pPr>
        <w:pStyle w:val="p3"/>
        <w:spacing w:before="280" w:after="280"/>
        <w:jc w:val="left"/>
        <w:rPr/>
      </w:pPr>
      <w:r>
        <w:rPr/>
      </w:r>
    </w:p>
    <w:p>
      <w:pPr>
        <w:pStyle w:val="p3"/>
        <w:spacing w:before="280" w:after="280"/>
        <w:jc w:val="left"/>
        <w:rPr/>
      </w:pPr>
      <w:r>
        <w:rPr/>
      </w:r>
    </w:p>
    <w:p>
      <w:pPr>
        <w:pStyle w:val="p3"/>
        <w:spacing w:before="280" w:after="280"/>
        <w:jc w:val="left"/>
        <w:rPr/>
      </w:pPr>
      <w:r>
        <w:rPr/>
      </w:r>
    </w:p>
    <w:p>
      <w:pPr>
        <w:pStyle w:val="p3"/>
        <w:spacing w:before="280" w:after="280"/>
        <w:jc w:val="left"/>
        <w:rPr/>
      </w:pPr>
      <w:r>
        <w:rPr/>
      </w:r>
    </w:p>
    <w:p>
      <w:pPr>
        <w:pStyle w:val="p3"/>
        <w:spacing w:before="280" w:after="280"/>
        <w:jc w:val="left"/>
        <w:rPr/>
      </w:pPr>
      <w:r>
        <w:rPr/>
      </w:r>
    </w:p>
    <w:p>
      <w:pPr>
        <w:pStyle w:val="p3"/>
        <w:spacing w:before="280" w:after="280"/>
        <w:jc w:val="left"/>
        <w:rPr/>
      </w:pPr>
      <w:r>
        <w:rPr/>
      </w:r>
    </w:p>
    <w:p>
      <w:pPr>
        <w:pStyle w:val="p3"/>
        <w:spacing w:before="280" w:after="280"/>
        <w:jc w:val="center"/>
        <w:rPr/>
      </w:pPr>
      <w:r>
        <w:rPr>
          <w:b/>
          <w:bCs/>
          <w:sz w:val="40"/>
          <w:szCs w:val="40"/>
        </w:rPr>
        <w:t xml:space="preserve">Referencing </w:t>
      </w:r>
      <w:r>
        <w:rPr>
          <w:b/>
          <w:bCs/>
          <w:sz w:val="40"/>
          <w:szCs w:val="40"/>
        </w:rPr>
        <w:t>Next Page</w:t>
      </w:r>
    </w:p>
    <w:p>
      <w:pPr>
        <w:pStyle w:val="p3"/>
        <w:spacing w:before="280" w:after="280"/>
        <w:jc w:val="left"/>
        <w:rPr/>
      </w:pPr>
      <w:r>
        <w:rPr/>
      </w:r>
    </w:p>
    <w:p>
      <w:pPr>
        <w:pStyle w:val="p3"/>
        <w:spacing w:before="280" w:after="280"/>
        <w:jc w:val="left"/>
        <w:rPr/>
      </w:pPr>
      <w:r>
        <w:rPr/>
      </w:r>
    </w:p>
    <w:p>
      <w:pPr>
        <w:pStyle w:val="p3"/>
        <w:spacing w:before="280" w:after="280"/>
        <w:jc w:val="left"/>
        <w:rPr/>
      </w:pPr>
      <w:r>
        <w:rPr/>
      </w:r>
    </w:p>
    <w:p>
      <w:pPr>
        <w:pStyle w:val="p3"/>
        <w:spacing w:before="280" w:after="280"/>
        <w:jc w:val="left"/>
        <w:rPr/>
      </w:pPr>
      <w:r>
        <w:rPr/>
      </w:r>
    </w:p>
    <w:p>
      <w:pPr>
        <w:pStyle w:val="p3"/>
        <w:spacing w:before="280" w:after="280"/>
        <w:jc w:val="left"/>
        <w:rPr/>
      </w:pPr>
      <w:r>
        <w:rPr/>
      </w:r>
    </w:p>
    <w:p>
      <w:pPr>
        <w:pStyle w:val="p3"/>
        <w:spacing w:before="280" w:after="280"/>
        <w:jc w:val="left"/>
        <w:rPr/>
      </w:pPr>
      <w:r>
        <w:rPr/>
      </w:r>
    </w:p>
    <w:p>
      <w:pPr>
        <w:pStyle w:val="p3"/>
        <w:spacing w:before="280" w:after="280"/>
        <w:jc w:val="left"/>
        <w:rPr/>
      </w:pPr>
      <w:r>
        <w:rPr/>
      </w:r>
    </w:p>
    <w:p>
      <w:pPr>
        <w:pStyle w:val="p3"/>
        <w:spacing w:before="280" w:after="280"/>
        <w:jc w:val="left"/>
        <w:rPr/>
      </w:pPr>
      <w:r>
        <w:rPr/>
      </w:r>
    </w:p>
    <w:p>
      <w:pPr>
        <w:pStyle w:val="p3"/>
        <w:spacing w:before="280" w:after="280"/>
        <w:jc w:val="left"/>
        <w:rPr/>
      </w:pPr>
      <w:r>
        <w:rPr/>
      </w:r>
    </w:p>
    <w:p>
      <w:pPr>
        <w:pStyle w:val="p3"/>
        <w:spacing w:before="280" w:after="280"/>
        <w:jc w:val="left"/>
        <w:rPr/>
      </w:pPr>
      <w:r>
        <w:rPr/>
        <w:br/>
      </w:r>
      <w:r>
        <w:rPr>
          <w:b/>
          <w:bCs/>
          <w:sz w:val="40"/>
          <w:szCs w:val="40"/>
        </w:rPr>
        <w:t>Referencing:</w:t>
        <w:br/>
        <w:br/>
      </w:r>
      <w:r>
        <w:rPr>
          <w:rFonts w:eastAsia="Times New Roman" w:cs="Times New Roman"/>
          <w:b w:val="false"/>
          <w:bCs w:val="false"/>
          <w:sz w:val="24"/>
          <w:szCs w:val="24"/>
          <w:lang w:val="en-ZA" w:eastAsia="en-GB"/>
        </w:rPr>
        <w:t xml:space="preserve">GeeksforGeeks. (n.d.). </w:t>
      </w:r>
      <w:r>
        <w:rPr>
          <w:rStyle w:val="Emphasis"/>
          <w:rFonts w:eastAsia="Times New Roman" w:cs="Times New Roman"/>
          <w:b w:val="false"/>
          <w:bCs w:val="false"/>
          <w:sz w:val="24"/>
          <w:szCs w:val="24"/>
          <w:lang w:val="en-ZA" w:eastAsia="en-GB"/>
        </w:rPr>
        <w:t>Introduction to FastAPI</w:t>
      </w:r>
      <w:r>
        <w:rPr>
          <w:rFonts w:eastAsia="Times New Roman" w:cs="Times New Roman"/>
          <w:b w:val="false"/>
          <w:bCs w:val="false"/>
          <w:sz w:val="24"/>
          <w:szCs w:val="24"/>
          <w:lang w:val="en-ZA" w:eastAsia="en-GB"/>
        </w:rPr>
        <w:t>. Available at: https://www.geeksforgeeks.org/introduction-to-fastapi/ [Accessed 4 Nov. 2025].</w:t>
      </w:r>
    </w:p>
    <w:p>
      <w:pPr>
        <w:pStyle w:val="BodyText"/>
        <w:bidi w:val="0"/>
        <w:spacing w:lineRule="auto" w:line="240" w:before="280" w:after="280"/>
        <w:rPr>
          <w:rFonts w:ascii="Times New Roman" w:hAnsi="Times New Roman" w:eastAsia="Times New Roman" w:cs="Times New Roman"/>
          <w:b/>
          <w:bCs/>
          <w:sz w:val="40"/>
          <w:szCs w:val="40"/>
          <w:lang w:val="en-ZA" w:eastAsia="en-GB"/>
        </w:rPr>
      </w:pPr>
      <w:r>
        <w:rPr>
          <w:rFonts w:eastAsia="Times New Roman" w:cs="Times New Roman" w:ascii="Times New Roman" w:hAnsi="Times New Roman"/>
          <w:b w:val="false"/>
          <w:bCs w:val="false"/>
          <w:sz w:val="24"/>
          <w:szCs w:val="24"/>
          <w:lang w:val="en-ZA" w:eastAsia="en-GB"/>
        </w:rPr>
        <w:t xml:space="preserve">GeeksforGeeks. (n.d.). </w:t>
      </w:r>
      <w:r>
        <w:rPr>
          <w:rStyle w:val="Emphasis"/>
          <w:rFonts w:eastAsia="Times New Roman" w:cs="Times New Roman" w:ascii="Times New Roman" w:hAnsi="Times New Roman"/>
          <w:b w:val="false"/>
          <w:bCs w:val="false"/>
          <w:sz w:val="24"/>
          <w:szCs w:val="24"/>
          <w:lang w:val="en-ZA" w:eastAsia="en-GB"/>
        </w:rPr>
        <w:t>Azure SQL Database – Overview and Benefits</w:t>
      </w:r>
      <w:r>
        <w:rPr>
          <w:rFonts w:eastAsia="Times New Roman" w:cs="Times New Roman" w:ascii="Times New Roman" w:hAnsi="Times New Roman"/>
          <w:b w:val="false"/>
          <w:bCs w:val="false"/>
          <w:sz w:val="24"/>
          <w:szCs w:val="24"/>
          <w:lang w:val="en-ZA" w:eastAsia="en-GB"/>
        </w:rPr>
        <w:t>. Available at: https://www.geeksforgeeks.org/azure-sql-database-overview/ [Accessed 4 Nov. 2025].</w:t>
      </w:r>
    </w:p>
    <w:p>
      <w:pPr>
        <w:pStyle w:val="BodyText"/>
        <w:bidi w:val="0"/>
        <w:spacing w:lineRule="auto" w:line="240" w:before="280" w:after="280"/>
        <w:rPr>
          <w:rFonts w:ascii="Times New Roman" w:hAnsi="Times New Roman" w:eastAsia="Times New Roman" w:cs="Times New Roman"/>
          <w:b/>
          <w:bCs/>
          <w:sz w:val="40"/>
          <w:szCs w:val="40"/>
          <w:lang w:val="en-ZA" w:eastAsia="en-GB"/>
        </w:rPr>
      </w:pPr>
      <w:r>
        <w:rPr>
          <w:rFonts w:eastAsia="Times New Roman" w:cs="Times New Roman" w:ascii="Times New Roman" w:hAnsi="Times New Roman"/>
          <w:b w:val="false"/>
          <w:bCs w:val="false"/>
          <w:sz w:val="24"/>
          <w:szCs w:val="24"/>
          <w:lang w:val="en-ZA" w:eastAsia="en-GB"/>
        </w:rPr>
        <w:t xml:space="preserve">GeeksforGeeks. (n.d.). </w:t>
      </w:r>
      <w:r>
        <w:rPr>
          <w:rStyle w:val="Emphasis"/>
          <w:rFonts w:eastAsia="Times New Roman" w:cs="Times New Roman" w:ascii="Times New Roman" w:hAnsi="Times New Roman"/>
          <w:b w:val="false"/>
          <w:bCs w:val="false"/>
          <w:sz w:val="24"/>
          <w:szCs w:val="24"/>
          <w:lang w:val="en-ZA" w:eastAsia="en-GB"/>
        </w:rPr>
        <w:t>REST API – Principles, Methods and Practices</w:t>
      </w:r>
      <w:r>
        <w:rPr>
          <w:rFonts w:eastAsia="Times New Roman" w:cs="Times New Roman" w:ascii="Times New Roman" w:hAnsi="Times New Roman"/>
          <w:b w:val="false"/>
          <w:bCs w:val="false"/>
          <w:sz w:val="24"/>
          <w:szCs w:val="24"/>
          <w:lang w:val="en-ZA" w:eastAsia="en-GB"/>
        </w:rPr>
        <w:t>. Available at: https://www.geeksforgeeks.org/rest-api-principles-methods-and-practices/ [Accessed 4 Nov. 2025].</w:t>
      </w:r>
    </w:p>
    <w:p>
      <w:pPr>
        <w:pStyle w:val="BodyText"/>
        <w:bidi w:val="0"/>
        <w:spacing w:lineRule="auto" w:line="240" w:before="280" w:after="280"/>
        <w:rPr>
          <w:rFonts w:ascii="Times New Roman" w:hAnsi="Times New Roman" w:eastAsia="Times New Roman" w:cs="Times New Roman"/>
          <w:b/>
          <w:bCs/>
          <w:sz w:val="40"/>
          <w:szCs w:val="40"/>
          <w:lang w:val="en-ZA" w:eastAsia="en-GB"/>
        </w:rPr>
      </w:pPr>
      <w:r>
        <w:rPr>
          <w:rFonts w:eastAsia="Times New Roman" w:cs="Times New Roman" w:ascii="Times New Roman" w:hAnsi="Times New Roman"/>
          <w:b w:val="false"/>
          <w:bCs w:val="false"/>
          <w:sz w:val="24"/>
          <w:szCs w:val="24"/>
          <w:lang w:val="en-ZA" w:eastAsia="en-GB"/>
        </w:rPr>
        <w:t xml:space="preserve">GeeksforGeeks. (n.d.). </w:t>
      </w:r>
      <w:r>
        <w:rPr>
          <w:rStyle w:val="Emphasis"/>
          <w:rFonts w:eastAsia="Times New Roman" w:cs="Times New Roman" w:ascii="Times New Roman" w:hAnsi="Times New Roman"/>
          <w:b w:val="false"/>
          <w:bCs w:val="false"/>
          <w:sz w:val="24"/>
          <w:szCs w:val="24"/>
          <w:lang w:val="en-ZA" w:eastAsia="en-GB"/>
        </w:rPr>
        <w:t>Understanding JSON Web Tokens (JWT) for Authentication</w:t>
      </w:r>
      <w:r>
        <w:rPr>
          <w:rFonts w:eastAsia="Times New Roman" w:cs="Times New Roman" w:ascii="Times New Roman" w:hAnsi="Times New Roman"/>
          <w:b w:val="false"/>
          <w:bCs w:val="false"/>
          <w:sz w:val="24"/>
          <w:szCs w:val="24"/>
          <w:lang w:val="en-ZA" w:eastAsia="en-GB"/>
        </w:rPr>
        <w:t xml:space="preserve">. Available at: </w:t>
      </w:r>
      <w:hyperlink r:id="rId9" w:tgtFrame="_blank">
        <w:r>
          <w:rPr>
            <w:rStyle w:val="Hyperlink"/>
            <w:rFonts w:eastAsia="Times New Roman" w:cs="Times New Roman" w:ascii="Times New Roman" w:hAnsi="Times New Roman"/>
            <w:b w:val="false"/>
            <w:bCs w:val="false"/>
            <w:sz w:val="24"/>
            <w:szCs w:val="24"/>
            <w:lang w:val="en-ZA" w:eastAsia="en-GB"/>
          </w:rPr>
          <w:t>https://www.geeksforgeeks.org/json-web-token-jwt/</w:t>
        </w:r>
      </w:hyperlink>
      <w:r>
        <w:rPr>
          <w:rFonts w:eastAsia="Times New Roman" w:cs="Times New Roman" w:ascii="Times New Roman" w:hAnsi="Times New Roman"/>
          <w:b w:val="false"/>
          <w:bCs w:val="false"/>
          <w:sz w:val="24"/>
          <w:szCs w:val="24"/>
          <w:lang w:val="en-ZA" w:eastAsia="en-GB"/>
        </w:rPr>
        <w:t xml:space="preserve"> [Accessed 4 Nov. 2025].</w:t>
      </w:r>
    </w:p>
    <w:p>
      <w:pPr>
        <w:pStyle w:val="BodyText"/>
        <w:bidi w:val="0"/>
        <w:spacing w:lineRule="auto" w:line="240" w:before="280" w:after="280"/>
        <w:rPr>
          <w:rFonts w:ascii="Times New Roman" w:hAnsi="Times New Roman" w:eastAsia="Times New Roman" w:cs="Times New Roman"/>
          <w:b/>
          <w:bCs/>
          <w:sz w:val="40"/>
          <w:szCs w:val="40"/>
          <w:lang w:val="en-ZA" w:eastAsia="en-GB"/>
        </w:rPr>
      </w:pPr>
      <w:r>
        <w:rPr>
          <w:rFonts w:eastAsia="Times New Roman" w:cs="Times New Roman" w:ascii="Times New Roman" w:hAnsi="Times New Roman"/>
          <w:b w:val="false"/>
          <w:bCs w:val="false"/>
          <w:sz w:val="24"/>
          <w:szCs w:val="24"/>
          <w:lang w:val="en-ZA" w:eastAsia="en-GB"/>
        </w:rPr>
        <w:t xml:space="preserve">GeeksforGeeks. (n.d.). </w:t>
      </w:r>
      <w:r>
        <w:rPr>
          <w:rStyle w:val="Emphasis"/>
          <w:rFonts w:eastAsia="Times New Roman" w:cs="Times New Roman" w:ascii="Times New Roman" w:hAnsi="Times New Roman"/>
          <w:b w:val="false"/>
          <w:bCs w:val="false"/>
          <w:sz w:val="24"/>
          <w:szCs w:val="24"/>
          <w:lang w:val="en-ZA" w:eastAsia="en-GB"/>
        </w:rPr>
        <w:t>MVC Architecture – Model View Controller Pattern</w:t>
      </w:r>
      <w:r>
        <w:rPr>
          <w:rFonts w:eastAsia="Times New Roman" w:cs="Times New Roman" w:ascii="Times New Roman" w:hAnsi="Times New Roman"/>
          <w:b w:val="false"/>
          <w:bCs w:val="false"/>
          <w:sz w:val="24"/>
          <w:szCs w:val="24"/>
          <w:lang w:val="en-ZA" w:eastAsia="en-GB"/>
        </w:rPr>
        <w:t xml:space="preserve">. Available at: </w:t>
      </w:r>
      <w:hyperlink r:id="rId10" w:tgtFrame="_blank">
        <w:r>
          <w:rPr>
            <w:rStyle w:val="Hyperlink"/>
            <w:rFonts w:eastAsia="Times New Roman" w:cs="Times New Roman" w:ascii="Times New Roman" w:hAnsi="Times New Roman"/>
            <w:b w:val="false"/>
            <w:bCs w:val="false"/>
            <w:sz w:val="24"/>
            <w:szCs w:val="24"/>
            <w:lang w:val="en-ZA" w:eastAsia="en-GB"/>
          </w:rPr>
          <w:t>https://www.geeksforgeeks.org/mvc-design-pattern/</w:t>
        </w:r>
      </w:hyperlink>
      <w:r>
        <w:rPr>
          <w:rFonts w:eastAsia="Times New Roman" w:cs="Times New Roman" w:ascii="Times New Roman" w:hAnsi="Times New Roman"/>
          <w:b w:val="false"/>
          <w:bCs w:val="false"/>
          <w:sz w:val="24"/>
          <w:szCs w:val="24"/>
          <w:lang w:val="en-ZA" w:eastAsia="en-GB"/>
        </w:rPr>
        <w:t xml:space="preserve"> [Accessed 4 Nov. 2025].</w:t>
      </w:r>
    </w:p>
    <w:p>
      <w:pPr>
        <w:pStyle w:val="BodyText"/>
        <w:bidi w:val="0"/>
        <w:spacing w:lineRule="auto" w:line="240" w:before="280" w:after="280"/>
        <w:rPr>
          <w:rFonts w:ascii="Times New Roman" w:hAnsi="Times New Roman" w:eastAsia="Times New Roman" w:cs="Times New Roman"/>
          <w:b/>
          <w:bCs/>
          <w:sz w:val="40"/>
          <w:szCs w:val="40"/>
          <w:lang w:val="en-ZA" w:eastAsia="en-GB"/>
        </w:rPr>
      </w:pPr>
      <w:r>
        <w:rPr>
          <w:rFonts w:eastAsia="Times New Roman" w:cs="Times New Roman" w:ascii="Times New Roman" w:hAnsi="Times New Roman"/>
          <w:b w:val="false"/>
          <w:bCs w:val="false"/>
          <w:sz w:val="24"/>
          <w:szCs w:val="24"/>
          <w:lang w:val="en-ZA" w:eastAsia="en-GB"/>
        </w:rPr>
        <w:t xml:space="preserve">GeeksforGeeks. (n.d.). </w:t>
      </w:r>
      <w:r>
        <w:rPr>
          <w:rStyle w:val="Emphasis"/>
          <w:rFonts w:eastAsia="Times New Roman" w:cs="Times New Roman" w:ascii="Times New Roman" w:hAnsi="Times New Roman"/>
          <w:b w:val="false"/>
          <w:bCs w:val="false"/>
          <w:sz w:val="24"/>
          <w:szCs w:val="24"/>
          <w:lang w:val="en-ZA" w:eastAsia="en-GB"/>
        </w:rPr>
        <w:t>Repository Design Pattern</w:t>
      </w:r>
      <w:r>
        <w:rPr>
          <w:rFonts w:eastAsia="Times New Roman" w:cs="Times New Roman" w:ascii="Times New Roman" w:hAnsi="Times New Roman"/>
          <w:b w:val="false"/>
          <w:bCs w:val="false"/>
          <w:sz w:val="24"/>
          <w:szCs w:val="24"/>
          <w:lang w:val="en-ZA" w:eastAsia="en-GB"/>
        </w:rPr>
        <w:t>. Available at: https://www.geeksforgeeks.org/repository-design-pattern/ [Accessed 4 Nov. 2025].</w:t>
      </w:r>
    </w:p>
    <w:p>
      <w:pPr>
        <w:pStyle w:val="BodyText"/>
        <w:bidi w:val="0"/>
        <w:spacing w:lineRule="auto" w:line="240" w:before="280" w:after="280"/>
        <w:rPr>
          <w:rFonts w:ascii="Times New Roman" w:hAnsi="Times New Roman" w:eastAsia="Times New Roman" w:cs="Times New Roman"/>
          <w:b/>
          <w:bCs/>
          <w:sz w:val="40"/>
          <w:szCs w:val="40"/>
          <w:lang w:val="en-ZA" w:eastAsia="en-GB"/>
        </w:rPr>
      </w:pPr>
      <w:r>
        <w:rPr>
          <w:rFonts w:eastAsia="Times New Roman" w:cs="Times New Roman" w:ascii="Times New Roman" w:hAnsi="Times New Roman"/>
          <w:b w:val="false"/>
          <w:bCs w:val="false"/>
          <w:sz w:val="24"/>
          <w:szCs w:val="24"/>
          <w:lang w:val="en-ZA" w:eastAsia="en-GB"/>
        </w:rPr>
        <w:t xml:space="preserve">GeeksforGeeks. (n.d.). </w:t>
      </w:r>
      <w:r>
        <w:rPr>
          <w:rStyle w:val="Emphasis"/>
          <w:rFonts w:eastAsia="Times New Roman" w:cs="Times New Roman" w:ascii="Times New Roman" w:hAnsi="Times New Roman"/>
          <w:b w:val="false"/>
          <w:bCs w:val="false"/>
          <w:sz w:val="24"/>
          <w:szCs w:val="24"/>
          <w:lang w:val="en-ZA" w:eastAsia="en-GB"/>
        </w:rPr>
        <w:t>Service Layer Design Pattern</w:t>
      </w:r>
      <w:r>
        <w:rPr>
          <w:rFonts w:eastAsia="Times New Roman" w:cs="Times New Roman" w:ascii="Times New Roman" w:hAnsi="Times New Roman"/>
          <w:b w:val="false"/>
          <w:bCs w:val="false"/>
          <w:sz w:val="24"/>
          <w:szCs w:val="24"/>
          <w:lang w:val="en-ZA" w:eastAsia="en-GB"/>
        </w:rPr>
        <w:t>. Available at: https://www.geeksforgeeks.org/service-layer-design-pattern/ [Accessed 4 Nov. 2025].</w:t>
      </w:r>
    </w:p>
    <w:p>
      <w:pPr>
        <w:pStyle w:val="BodyText"/>
        <w:bidi w:val="0"/>
        <w:spacing w:lineRule="auto" w:line="240" w:before="280" w:after="280"/>
        <w:rPr>
          <w:rFonts w:ascii="Times New Roman" w:hAnsi="Times New Roman" w:eastAsia="Times New Roman" w:cs="Times New Roman"/>
          <w:b/>
          <w:bCs/>
          <w:sz w:val="40"/>
          <w:szCs w:val="40"/>
          <w:lang w:val="en-ZA" w:eastAsia="en-GB"/>
        </w:rPr>
      </w:pPr>
      <w:r>
        <w:rPr>
          <w:rFonts w:eastAsia="Times New Roman" w:cs="Times New Roman" w:ascii="Times New Roman" w:hAnsi="Times New Roman"/>
          <w:b w:val="false"/>
          <w:bCs w:val="false"/>
          <w:sz w:val="24"/>
          <w:szCs w:val="24"/>
          <w:lang w:val="en-ZA" w:eastAsia="en-GB"/>
        </w:rPr>
        <w:t xml:space="preserve">GeeksforGeeks. (n.d.). </w:t>
      </w:r>
      <w:r>
        <w:rPr>
          <w:rStyle w:val="Emphasis"/>
          <w:rFonts w:eastAsia="Times New Roman" w:cs="Times New Roman" w:ascii="Times New Roman" w:hAnsi="Times New Roman"/>
          <w:b w:val="false"/>
          <w:bCs w:val="false"/>
          <w:sz w:val="24"/>
          <w:szCs w:val="24"/>
          <w:lang w:val="en-ZA" w:eastAsia="en-GB"/>
        </w:rPr>
        <w:t>Adapter Design Pattern in Software Engineering</w:t>
      </w:r>
      <w:r>
        <w:rPr>
          <w:rFonts w:eastAsia="Times New Roman" w:cs="Times New Roman" w:ascii="Times New Roman" w:hAnsi="Times New Roman"/>
          <w:b w:val="false"/>
          <w:bCs w:val="false"/>
          <w:sz w:val="24"/>
          <w:szCs w:val="24"/>
          <w:lang w:val="en-ZA" w:eastAsia="en-GB"/>
        </w:rPr>
        <w:t xml:space="preserve">. Available at: </w:t>
      </w:r>
      <w:hyperlink r:id="rId11" w:tgtFrame="_blank">
        <w:r>
          <w:rPr>
            <w:rStyle w:val="Hyperlink"/>
            <w:rFonts w:eastAsia="Times New Roman" w:cs="Times New Roman" w:ascii="Times New Roman" w:hAnsi="Times New Roman"/>
            <w:b w:val="false"/>
            <w:bCs w:val="false"/>
            <w:sz w:val="24"/>
            <w:szCs w:val="24"/>
            <w:lang w:val="en-ZA" w:eastAsia="en-GB"/>
          </w:rPr>
          <w:t>https://www.geeksforgeeks.org/adapter-pattern/</w:t>
        </w:r>
      </w:hyperlink>
      <w:r>
        <w:rPr>
          <w:rFonts w:eastAsia="Times New Roman" w:cs="Times New Roman" w:ascii="Times New Roman" w:hAnsi="Times New Roman"/>
          <w:b w:val="false"/>
          <w:bCs w:val="false"/>
          <w:sz w:val="24"/>
          <w:szCs w:val="24"/>
          <w:lang w:val="en-ZA" w:eastAsia="en-GB"/>
        </w:rPr>
        <w:t xml:space="preserve"> [Accessed 4 Nov. 2025].</w:t>
      </w:r>
    </w:p>
    <w:p>
      <w:pPr>
        <w:pStyle w:val="BodyText"/>
        <w:bidi w:val="0"/>
        <w:spacing w:lineRule="auto" w:line="240" w:before="280" w:after="280"/>
        <w:rPr>
          <w:rFonts w:ascii="Times New Roman" w:hAnsi="Times New Roman" w:eastAsia="Times New Roman" w:cs="Times New Roman"/>
          <w:b/>
          <w:bCs/>
          <w:sz w:val="40"/>
          <w:szCs w:val="40"/>
          <w:lang w:val="en-ZA" w:eastAsia="en-GB"/>
        </w:rPr>
      </w:pPr>
      <w:r>
        <w:rPr>
          <w:rFonts w:eastAsia="Times New Roman" w:cs="Times New Roman" w:ascii="Times New Roman" w:hAnsi="Times New Roman"/>
          <w:b w:val="false"/>
          <w:bCs w:val="false"/>
          <w:sz w:val="24"/>
          <w:szCs w:val="24"/>
          <w:lang w:val="en-ZA" w:eastAsia="en-GB"/>
        </w:rPr>
        <w:t xml:space="preserve">GeeksforGeeks. (n.d.). </w:t>
      </w:r>
      <w:r>
        <w:rPr>
          <w:rStyle w:val="Emphasis"/>
          <w:rFonts w:eastAsia="Times New Roman" w:cs="Times New Roman" w:ascii="Times New Roman" w:hAnsi="Times New Roman"/>
          <w:b w:val="false"/>
          <w:bCs w:val="false"/>
          <w:sz w:val="24"/>
          <w:szCs w:val="24"/>
          <w:lang w:val="en-ZA" w:eastAsia="en-GB"/>
        </w:rPr>
        <w:t>Command Design Pattern</w:t>
      </w:r>
      <w:r>
        <w:rPr>
          <w:rFonts w:eastAsia="Times New Roman" w:cs="Times New Roman" w:ascii="Times New Roman" w:hAnsi="Times New Roman"/>
          <w:b w:val="false"/>
          <w:bCs w:val="false"/>
          <w:sz w:val="24"/>
          <w:szCs w:val="24"/>
          <w:lang w:val="en-ZA" w:eastAsia="en-GB"/>
        </w:rPr>
        <w:t xml:space="preserve">. Available at: </w:t>
      </w:r>
      <w:hyperlink r:id="rId12" w:tgtFrame="_blank">
        <w:r>
          <w:rPr>
            <w:rStyle w:val="Hyperlink"/>
            <w:rFonts w:eastAsia="Times New Roman" w:cs="Times New Roman" w:ascii="Times New Roman" w:hAnsi="Times New Roman"/>
            <w:b w:val="false"/>
            <w:bCs w:val="false"/>
            <w:sz w:val="24"/>
            <w:szCs w:val="24"/>
            <w:lang w:val="en-ZA" w:eastAsia="en-GB"/>
          </w:rPr>
          <w:t>https://www.geeksforgeeks.org/command-pattern/</w:t>
        </w:r>
      </w:hyperlink>
      <w:r>
        <w:rPr>
          <w:rFonts w:eastAsia="Times New Roman" w:cs="Times New Roman" w:ascii="Times New Roman" w:hAnsi="Times New Roman"/>
          <w:b w:val="false"/>
          <w:bCs w:val="false"/>
          <w:sz w:val="24"/>
          <w:szCs w:val="24"/>
          <w:lang w:val="en-ZA" w:eastAsia="en-GB"/>
        </w:rPr>
        <w:t xml:space="preserve"> [Accessed 4 Nov. 2025].</w:t>
      </w:r>
    </w:p>
    <w:p>
      <w:pPr>
        <w:pStyle w:val="BodyText"/>
        <w:bidi w:val="0"/>
        <w:spacing w:lineRule="auto" w:line="240" w:before="280" w:after="280"/>
        <w:rPr>
          <w:rFonts w:ascii="Times New Roman" w:hAnsi="Times New Roman" w:eastAsia="Times New Roman" w:cs="Times New Roman"/>
          <w:b/>
          <w:bCs/>
          <w:sz w:val="40"/>
          <w:szCs w:val="40"/>
          <w:lang w:val="en-ZA" w:eastAsia="en-GB"/>
        </w:rPr>
      </w:pPr>
      <w:r>
        <w:rPr>
          <w:rFonts w:eastAsia="Times New Roman" w:cs="Times New Roman" w:ascii="Times New Roman" w:hAnsi="Times New Roman"/>
          <w:b w:val="false"/>
          <w:bCs w:val="false"/>
          <w:sz w:val="24"/>
          <w:szCs w:val="24"/>
          <w:lang w:val="en-ZA" w:eastAsia="en-GB"/>
        </w:rPr>
        <w:t xml:space="preserve">GeeksforGeeks. (n.d.). </w:t>
      </w:r>
      <w:r>
        <w:rPr>
          <w:rStyle w:val="Emphasis"/>
          <w:rFonts w:eastAsia="Times New Roman" w:cs="Times New Roman" w:ascii="Times New Roman" w:hAnsi="Times New Roman"/>
          <w:b w:val="false"/>
          <w:bCs w:val="false"/>
          <w:sz w:val="24"/>
          <w:szCs w:val="24"/>
          <w:lang w:val="en-ZA" w:eastAsia="en-GB"/>
        </w:rPr>
        <w:t>Factory Method Design Pattern</w:t>
      </w:r>
      <w:r>
        <w:rPr>
          <w:rFonts w:eastAsia="Times New Roman" w:cs="Times New Roman" w:ascii="Times New Roman" w:hAnsi="Times New Roman"/>
          <w:b w:val="false"/>
          <w:bCs w:val="false"/>
          <w:sz w:val="24"/>
          <w:szCs w:val="24"/>
          <w:lang w:val="en-ZA" w:eastAsia="en-GB"/>
        </w:rPr>
        <w:t>. Available at: https://www.geeksforgeeks.org/factory-method-design-pattern/ [Accessed 4 Nov. 2025].</w:t>
      </w:r>
    </w:p>
    <w:p>
      <w:pPr>
        <w:pStyle w:val="BodyText"/>
        <w:bidi w:val="0"/>
        <w:spacing w:lineRule="auto" w:line="240" w:before="280" w:after="280"/>
        <w:rPr>
          <w:rFonts w:ascii="Times New Roman" w:hAnsi="Times New Roman" w:eastAsia="Times New Roman" w:cs="Times New Roman"/>
          <w:b/>
          <w:bCs/>
          <w:sz w:val="40"/>
          <w:szCs w:val="40"/>
          <w:lang w:val="en-ZA" w:eastAsia="en-GB"/>
        </w:rPr>
      </w:pPr>
      <w:r>
        <w:rPr>
          <w:rFonts w:eastAsia="Times New Roman" w:cs="Times New Roman" w:ascii="Times New Roman" w:hAnsi="Times New Roman"/>
          <w:b w:val="false"/>
          <w:bCs w:val="false"/>
          <w:sz w:val="24"/>
          <w:szCs w:val="24"/>
          <w:lang w:val="en-ZA" w:eastAsia="en-GB"/>
        </w:rPr>
        <w:t xml:space="preserve">GeeksforGeeks. (n.d.). </w:t>
      </w:r>
      <w:r>
        <w:rPr>
          <w:rStyle w:val="Emphasis"/>
          <w:rFonts w:eastAsia="Times New Roman" w:cs="Times New Roman" w:ascii="Times New Roman" w:hAnsi="Times New Roman"/>
          <w:b w:val="false"/>
          <w:bCs w:val="false"/>
          <w:sz w:val="24"/>
          <w:szCs w:val="24"/>
          <w:lang w:val="en-ZA" w:eastAsia="en-GB"/>
        </w:rPr>
        <w:t>Dependency Injection in Software Engineering</w:t>
      </w:r>
      <w:r>
        <w:rPr>
          <w:rFonts w:eastAsia="Times New Roman" w:cs="Times New Roman" w:ascii="Times New Roman" w:hAnsi="Times New Roman"/>
          <w:b w:val="false"/>
          <w:bCs w:val="false"/>
          <w:sz w:val="24"/>
          <w:szCs w:val="24"/>
          <w:lang w:val="en-ZA" w:eastAsia="en-GB"/>
        </w:rPr>
        <w:t>. Available at: https://www.geeksforgeeks.org/dependency-injection-in-java/ [Accessed 4 Nov. 2025].</w:t>
      </w:r>
    </w:p>
    <w:p>
      <w:pPr>
        <w:pStyle w:val="BodyText"/>
        <w:bidi w:val="0"/>
        <w:spacing w:lineRule="auto" w:line="240" w:before="280" w:after="280"/>
        <w:rPr>
          <w:rFonts w:ascii="Times New Roman" w:hAnsi="Times New Roman" w:eastAsia="Times New Roman" w:cs="Times New Roman"/>
          <w:b/>
          <w:bCs/>
          <w:sz w:val="40"/>
          <w:szCs w:val="40"/>
          <w:lang w:val="en-ZA" w:eastAsia="en-GB"/>
        </w:rPr>
      </w:pPr>
      <w:r>
        <w:rPr>
          <w:rFonts w:eastAsia="Times New Roman" w:cs="Times New Roman" w:ascii="Times New Roman" w:hAnsi="Times New Roman"/>
          <w:b w:val="false"/>
          <w:bCs w:val="false"/>
          <w:sz w:val="24"/>
          <w:szCs w:val="24"/>
          <w:lang w:val="en-ZA" w:eastAsia="en-GB"/>
        </w:rPr>
        <w:t xml:space="preserve">GeeksforGeeks. (n.d.). </w:t>
      </w:r>
      <w:r>
        <w:rPr>
          <w:rStyle w:val="Emphasis"/>
          <w:rFonts w:eastAsia="Times New Roman" w:cs="Times New Roman" w:ascii="Times New Roman" w:hAnsi="Times New Roman"/>
          <w:b w:val="false"/>
          <w:bCs w:val="false"/>
          <w:sz w:val="24"/>
          <w:szCs w:val="24"/>
          <w:lang w:val="en-ZA" w:eastAsia="en-GB"/>
        </w:rPr>
        <w:t>Queues in Data Structures</w:t>
      </w:r>
      <w:r>
        <w:rPr>
          <w:rFonts w:eastAsia="Times New Roman" w:cs="Times New Roman" w:ascii="Times New Roman" w:hAnsi="Times New Roman"/>
          <w:b w:val="false"/>
          <w:bCs w:val="false"/>
          <w:sz w:val="24"/>
          <w:szCs w:val="24"/>
          <w:lang w:val="en-ZA" w:eastAsia="en-GB"/>
        </w:rPr>
        <w:t xml:space="preserve">. Available at: </w:t>
      </w:r>
      <w:hyperlink r:id="rId13" w:tgtFrame="_blank">
        <w:r>
          <w:rPr>
            <w:rStyle w:val="Hyperlink"/>
            <w:rFonts w:eastAsia="Times New Roman" w:cs="Times New Roman" w:ascii="Times New Roman" w:hAnsi="Times New Roman"/>
            <w:b w:val="false"/>
            <w:bCs w:val="false"/>
            <w:sz w:val="24"/>
            <w:szCs w:val="24"/>
            <w:lang w:val="en-ZA" w:eastAsia="en-GB"/>
          </w:rPr>
          <w:t>https://www.geeksforgeeks.org/queue-data-structure/</w:t>
        </w:r>
      </w:hyperlink>
      <w:r>
        <w:rPr>
          <w:rFonts w:eastAsia="Times New Roman" w:cs="Times New Roman" w:ascii="Times New Roman" w:hAnsi="Times New Roman"/>
          <w:b w:val="false"/>
          <w:bCs w:val="false"/>
          <w:sz w:val="24"/>
          <w:szCs w:val="24"/>
          <w:lang w:val="en-ZA" w:eastAsia="en-GB"/>
        </w:rPr>
        <w:t xml:space="preserve"> [Accessed 4 Nov. 2025].</w:t>
      </w:r>
    </w:p>
    <w:p>
      <w:pPr>
        <w:pStyle w:val="BodyText"/>
        <w:bidi w:val="0"/>
        <w:spacing w:lineRule="auto" w:line="240" w:before="280" w:after="280"/>
        <w:rPr>
          <w:rFonts w:ascii="Times New Roman" w:hAnsi="Times New Roman" w:eastAsia="Times New Roman" w:cs="Times New Roman"/>
          <w:b/>
          <w:bCs/>
          <w:sz w:val="40"/>
          <w:szCs w:val="40"/>
          <w:lang w:val="en-ZA" w:eastAsia="en-GB"/>
        </w:rPr>
      </w:pPr>
      <w:r>
        <w:rPr>
          <w:rFonts w:eastAsia="Times New Roman" w:cs="Times New Roman" w:ascii="Times New Roman" w:hAnsi="Times New Roman"/>
          <w:b w:val="false"/>
          <w:bCs w:val="false"/>
          <w:sz w:val="24"/>
          <w:szCs w:val="24"/>
          <w:lang w:val="en-ZA" w:eastAsia="en-GB"/>
        </w:rPr>
        <w:t xml:space="preserve">GeeksforGeeks. (n.d.). </w:t>
      </w:r>
      <w:r>
        <w:rPr>
          <w:rStyle w:val="Emphasis"/>
          <w:rFonts w:eastAsia="Times New Roman" w:cs="Times New Roman" w:ascii="Times New Roman" w:hAnsi="Times New Roman"/>
          <w:b w:val="false"/>
          <w:bCs w:val="false"/>
          <w:sz w:val="24"/>
          <w:szCs w:val="24"/>
          <w:lang w:val="en-ZA" w:eastAsia="en-GB"/>
        </w:rPr>
        <w:t>Dictionaries in Python – Explained</w:t>
      </w:r>
      <w:r>
        <w:rPr>
          <w:rFonts w:eastAsia="Times New Roman" w:cs="Times New Roman" w:ascii="Times New Roman" w:hAnsi="Times New Roman"/>
          <w:b w:val="false"/>
          <w:bCs w:val="false"/>
          <w:sz w:val="24"/>
          <w:szCs w:val="24"/>
          <w:lang w:val="en-ZA" w:eastAsia="en-GB"/>
        </w:rPr>
        <w:t xml:space="preserve">. Available at: </w:t>
      </w:r>
      <w:hyperlink r:id="rId14" w:tgtFrame="_blank">
        <w:r>
          <w:rPr>
            <w:rStyle w:val="Hyperlink"/>
            <w:rFonts w:eastAsia="Times New Roman" w:cs="Times New Roman" w:ascii="Times New Roman" w:hAnsi="Times New Roman"/>
            <w:b w:val="false"/>
            <w:bCs w:val="false"/>
            <w:sz w:val="24"/>
            <w:szCs w:val="24"/>
            <w:lang w:val="en-ZA" w:eastAsia="en-GB"/>
          </w:rPr>
          <w:t>https://www.geeksforgeeks.org/python-dictionary/</w:t>
        </w:r>
      </w:hyperlink>
      <w:r>
        <w:rPr>
          <w:rFonts w:eastAsia="Times New Roman" w:cs="Times New Roman" w:ascii="Times New Roman" w:hAnsi="Times New Roman"/>
          <w:b w:val="false"/>
          <w:bCs w:val="false"/>
          <w:sz w:val="24"/>
          <w:szCs w:val="24"/>
          <w:lang w:val="en-ZA" w:eastAsia="en-GB"/>
        </w:rPr>
        <w:t xml:space="preserve"> [Accessed 4 Nov. 2025].</w:t>
      </w:r>
    </w:p>
    <w:p>
      <w:pPr>
        <w:pStyle w:val="BodyText"/>
        <w:bidi w:val="0"/>
        <w:spacing w:lineRule="auto" w:line="240" w:before="280" w:after="280"/>
        <w:rPr>
          <w:rFonts w:ascii="Times New Roman" w:hAnsi="Times New Roman" w:eastAsia="Times New Roman" w:cs="Times New Roman"/>
          <w:b/>
          <w:bCs/>
          <w:sz w:val="40"/>
          <w:szCs w:val="40"/>
          <w:lang w:val="en-ZA" w:eastAsia="en-GB"/>
        </w:rPr>
      </w:pPr>
      <w:r>
        <w:rPr>
          <w:rFonts w:eastAsia="Times New Roman" w:cs="Times New Roman" w:ascii="Times New Roman" w:hAnsi="Times New Roman"/>
          <w:b w:val="false"/>
          <w:bCs w:val="false"/>
          <w:sz w:val="24"/>
          <w:szCs w:val="24"/>
          <w:lang w:val="en-ZA" w:eastAsia="en-GB"/>
        </w:rPr>
        <w:t xml:space="preserve">GeeksforGeeks. (n.d.). </w:t>
      </w:r>
      <w:r>
        <w:rPr>
          <w:rStyle w:val="Emphasis"/>
          <w:rFonts w:eastAsia="Times New Roman" w:cs="Times New Roman" w:ascii="Times New Roman" w:hAnsi="Times New Roman"/>
          <w:b w:val="false"/>
          <w:bCs w:val="false"/>
          <w:sz w:val="24"/>
          <w:szCs w:val="24"/>
          <w:lang w:val="en-ZA" w:eastAsia="en-GB"/>
        </w:rPr>
        <w:t>Scalability and Performance in Cloud Computing</w:t>
      </w:r>
      <w:r>
        <w:rPr>
          <w:rFonts w:eastAsia="Times New Roman" w:cs="Times New Roman" w:ascii="Times New Roman" w:hAnsi="Times New Roman"/>
          <w:b w:val="false"/>
          <w:bCs w:val="false"/>
          <w:sz w:val="24"/>
          <w:szCs w:val="24"/>
          <w:lang w:val="en-ZA" w:eastAsia="en-GB"/>
        </w:rPr>
        <w:t>. Available at: https://www.geeksforgeeks.org/scalability-in-cloud-computing/ [Accessed 4 Nov. 2025].</w:t>
      </w:r>
    </w:p>
    <w:p>
      <w:pPr>
        <w:pStyle w:val="BodyText"/>
        <w:bidi w:val="0"/>
        <w:spacing w:lineRule="auto" w:line="240" w:before="280" w:after="280"/>
        <w:rPr>
          <w:rFonts w:ascii="Times New Roman" w:hAnsi="Times New Roman" w:eastAsia="Times New Roman" w:cs="Times New Roman"/>
          <w:b/>
          <w:bCs/>
          <w:sz w:val="40"/>
          <w:szCs w:val="40"/>
          <w:lang w:val="en-ZA" w:eastAsia="en-GB"/>
        </w:rPr>
      </w:pPr>
      <w:r>
        <w:rPr>
          <w:rFonts w:eastAsia="Times New Roman" w:cs="Times New Roman" w:ascii="Times New Roman" w:hAnsi="Times New Roman"/>
          <w:b w:val="false"/>
          <w:bCs w:val="false"/>
          <w:sz w:val="24"/>
          <w:szCs w:val="24"/>
          <w:lang w:val="en-ZA" w:eastAsia="en-GB"/>
        </w:rPr>
        <w:t xml:space="preserve">GeeksforGeeks. (n.d.). </w:t>
      </w:r>
      <w:r>
        <w:rPr>
          <w:rStyle w:val="Emphasis"/>
          <w:rFonts w:eastAsia="Times New Roman" w:cs="Times New Roman" w:ascii="Times New Roman" w:hAnsi="Times New Roman"/>
          <w:b w:val="false"/>
          <w:bCs w:val="false"/>
          <w:sz w:val="24"/>
          <w:szCs w:val="24"/>
          <w:lang w:val="en-ZA" w:eastAsia="en-GB"/>
        </w:rPr>
        <w:t>Software Testing – Unit Testing and Integration Testing</w:t>
      </w:r>
      <w:r>
        <w:rPr>
          <w:rFonts w:eastAsia="Times New Roman" w:cs="Times New Roman" w:ascii="Times New Roman" w:hAnsi="Times New Roman"/>
          <w:b w:val="false"/>
          <w:bCs w:val="false"/>
          <w:sz w:val="24"/>
          <w:szCs w:val="24"/>
          <w:lang w:val="en-ZA" w:eastAsia="en-GB"/>
        </w:rPr>
        <w:t>. Available at: https://www.geeksforgeeks.org/software-testing-unit-testing-integration-testing/ [Accessed 4 Nov. 2025].</w:t>
      </w:r>
    </w:p>
    <w:p>
      <w:pPr>
        <w:pStyle w:val="BodyText"/>
        <w:bidi w:val="0"/>
        <w:spacing w:lineRule="auto" w:line="240" w:before="280" w:after="280"/>
        <w:rPr>
          <w:rFonts w:ascii="Times New Roman" w:hAnsi="Times New Roman" w:eastAsia="Times New Roman" w:cs="Times New Roman"/>
          <w:b/>
          <w:bCs/>
          <w:sz w:val="40"/>
          <w:szCs w:val="40"/>
          <w:lang w:val="en-ZA" w:eastAsia="en-GB"/>
        </w:rPr>
      </w:pPr>
      <w:r>
        <w:rPr>
          <w:rFonts w:eastAsia="Times New Roman" w:cs="Times New Roman" w:ascii="Times New Roman" w:hAnsi="Times New Roman"/>
          <w:b w:val="false"/>
          <w:bCs w:val="false"/>
          <w:sz w:val="24"/>
          <w:szCs w:val="24"/>
          <w:lang w:val="en-ZA" w:eastAsia="en-GB"/>
        </w:rPr>
        <w:t xml:space="preserve">GeeksforGeeks. (n.d.). </w:t>
      </w:r>
      <w:r>
        <w:rPr>
          <w:rStyle w:val="Emphasis"/>
          <w:rFonts w:eastAsia="Times New Roman" w:cs="Times New Roman" w:ascii="Times New Roman" w:hAnsi="Times New Roman"/>
          <w:b w:val="false"/>
          <w:bCs w:val="false"/>
          <w:sz w:val="24"/>
          <w:szCs w:val="24"/>
          <w:lang w:val="en-ZA" w:eastAsia="en-GB"/>
        </w:rPr>
        <w:t>Agile vs Waterfall vs Hybrid Methodologies</w:t>
      </w:r>
      <w:r>
        <w:rPr>
          <w:rFonts w:eastAsia="Times New Roman" w:cs="Times New Roman" w:ascii="Times New Roman" w:hAnsi="Times New Roman"/>
          <w:b w:val="false"/>
          <w:bCs w:val="false"/>
          <w:sz w:val="24"/>
          <w:szCs w:val="24"/>
          <w:lang w:val="en-ZA" w:eastAsia="en-GB"/>
        </w:rPr>
        <w:t>. Available at: https://www.geeksforgeeks.org/agile-vs-waterfall-vs-hybrid/ [Accessed 4 Nov. 2025].</w:t>
      </w:r>
    </w:p>
    <w:p>
      <w:pPr>
        <w:pStyle w:val="BodyText"/>
        <w:bidi w:val="0"/>
        <w:spacing w:lineRule="auto" w:line="240" w:before="280" w:after="280"/>
        <w:rPr>
          <w:rFonts w:ascii="Times New Roman" w:hAnsi="Times New Roman" w:eastAsia="Times New Roman" w:cs="Times New Roman"/>
          <w:b/>
          <w:bCs/>
          <w:sz w:val="40"/>
          <w:szCs w:val="40"/>
          <w:lang w:val="en-ZA" w:eastAsia="en-GB"/>
        </w:rPr>
      </w:pPr>
      <w:r>
        <w:rPr>
          <w:rFonts w:eastAsia="Times New Roman" w:cs="Times New Roman" w:ascii="Times New Roman" w:hAnsi="Times New Roman"/>
          <w:b w:val="false"/>
          <w:bCs w:val="false"/>
          <w:sz w:val="24"/>
          <w:szCs w:val="24"/>
          <w:lang w:val="en-ZA" w:eastAsia="en-GB"/>
        </w:rPr>
        <w:t xml:space="preserve">GeeksforGeeks. (n.d.). </w:t>
      </w:r>
      <w:r>
        <w:rPr>
          <w:rStyle w:val="Emphasis"/>
          <w:rFonts w:eastAsia="Times New Roman" w:cs="Times New Roman" w:ascii="Times New Roman" w:hAnsi="Times New Roman"/>
          <w:b w:val="false"/>
          <w:bCs w:val="false"/>
          <w:sz w:val="24"/>
          <w:szCs w:val="24"/>
          <w:lang w:val="en-ZA" w:eastAsia="en-GB"/>
        </w:rPr>
        <w:t>DevOps Lifecycle – Stages and Practices</w:t>
      </w:r>
      <w:r>
        <w:rPr>
          <w:rFonts w:eastAsia="Times New Roman" w:cs="Times New Roman" w:ascii="Times New Roman" w:hAnsi="Times New Roman"/>
          <w:b w:val="false"/>
          <w:bCs w:val="false"/>
          <w:sz w:val="24"/>
          <w:szCs w:val="24"/>
          <w:lang w:val="en-ZA" w:eastAsia="en-GB"/>
        </w:rPr>
        <w:t>. Available at: https://www.geeksforgeeks.org/devops-lifecycle-stages-and-practices/ [Accessed 4 Nov. 2025].</w:t>
      </w:r>
    </w:p>
    <w:p>
      <w:pPr>
        <w:pStyle w:val="BodyText"/>
        <w:bidi w:val="0"/>
        <w:spacing w:lineRule="auto" w:line="240" w:before="280" w:after="280"/>
        <w:rPr>
          <w:rFonts w:ascii="Times New Roman" w:hAnsi="Times New Roman" w:eastAsia="Times New Roman" w:cs="Times New Roman"/>
          <w:b/>
          <w:bCs/>
          <w:sz w:val="40"/>
          <w:szCs w:val="40"/>
          <w:lang w:val="en-ZA" w:eastAsia="en-GB"/>
        </w:rPr>
      </w:pPr>
      <w:r>
        <w:rPr>
          <w:rFonts w:eastAsia="Times New Roman" w:cs="Times New Roman" w:ascii="Times New Roman" w:hAnsi="Times New Roman"/>
          <w:b w:val="false"/>
          <w:bCs w:val="false"/>
          <w:sz w:val="24"/>
          <w:szCs w:val="24"/>
          <w:lang w:val="en-ZA" w:eastAsia="en-GB"/>
        </w:rPr>
        <w:t xml:space="preserve">GeeksforGeeks. (n.d.). </w:t>
      </w:r>
      <w:r>
        <w:rPr>
          <w:rStyle w:val="Emphasis"/>
          <w:rFonts w:eastAsia="Times New Roman" w:cs="Times New Roman" w:ascii="Times New Roman" w:hAnsi="Times New Roman"/>
          <w:b w:val="false"/>
          <w:bCs w:val="false"/>
          <w:sz w:val="24"/>
          <w:szCs w:val="24"/>
          <w:lang w:val="en-ZA" w:eastAsia="en-GB"/>
        </w:rPr>
        <w:t>Security Principles in Software Engineering</w:t>
      </w:r>
      <w:r>
        <w:rPr>
          <w:rFonts w:eastAsia="Times New Roman" w:cs="Times New Roman" w:ascii="Times New Roman" w:hAnsi="Times New Roman"/>
          <w:b w:val="false"/>
          <w:bCs w:val="false"/>
          <w:sz w:val="24"/>
          <w:szCs w:val="24"/>
          <w:lang w:val="en-ZA" w:eastAsia="en-GB"/>
        </w:rPr>
        <w:t>. Available at: https://www.geeksforgeeks.org/security-principles-in-software-engineering/ [Accessed 4 Nov. 2025].</w:t>
      </w:r>
    </w:p>
    <w:p>
      <w:pPr>
        <w:pStyle w:val="BodyText"/>
        <w:bidi w:val="0"/>
        <w:spacing w:lineRule="auto" w:line="240" w:before="280" w:after="280"/>
        <w:rPr>
          <w:rFonts w:ascii="Times New Roman" w:hAnsi="Times New Roman" w:eastAsia="Times New Roman" w:cs="Times New Roman"/>
          <w:b/>
          <w:bCs/>
          <w:sz w:val="40"/>
          <w:szCs w:val="40"/>
          <w:lang w:val="en-ZA" w:eastAsia="en-GB"/>
        </w:rPr>
      </w:pPr>
      <w:r>
        <w:rPr>
          <w:rFonts w:eastAsia="Times New Roman" w:cs="Times New Roman" w:ascii="Times New Roman" w:hAnsi="Times New Roman"/>
          <w:b w:val="false"/>
          <w:bCs w:val="false"/>
          <w:sz w:val="24"/>
          <w:szCs w:val="24"/>
          <w:lang w:val="en-ZA" w:eastAsia="en-GB"/>
        </w:rPr>
        <w:t xml:space="preserve">GeeksforGeeks. (n.d.). </w:t>
      </w:r>
      <w:r>
        <w:rPr>
          <w:rStyle w:val="Emphasis"/>
          <w:rFonts w:eastAsia="Times New Roman" w:cs="Times New Roman" w:ascii="Times New Roman" w:hAnsi="Times New Roman"/>
          <w:b w:val="false"/>
          <w:bCs w:val="false"/>
          <w:sz w:val="24"/>
          <w:szCs w:val="24"/>
          <w:lang w:val="en-ZA" w:eastAsia="en-GB"/>
        </w:rPr>
        <w:t>Cloud Storage – Azure Blob Storage Overview</w:t>
      </w:r>
      <w:r>
        <w:rPr>
          <w:rFonts w:eastAsia="Times New Roman" w:cs="Times New Roman" w:ascii="Times New Roman" w:hAnsi="Times New Roman"/>
          <w:b w:val="false"/>
          <w:bCs w:val="false"/>
          <w:sz w:val="24"/>
          <w:szCs w:val="24"/>
          <w:lang w:val="en-ZA" w:eastAsia="en-GB"/>
        </w:rPr>
        <w:t xml:space="preserve">. Available at: </w:t>
      </w:r>
      <w:hyperlink r:id="rId15" w:tgtFrame="_blank">
        <w:r>
          <w:rPr>
            <w:rStyle w:val="Hyperlink"/>
            <w:rFonts w:eastAsia="Times New Roman" w:cs="Times New Roman" w:ascii="Times New Roman" w:hAnsi="Times New Roman"/>
            <w:b w:val="false"/>
            <w:bCs w:val="false"/>
            <w:sz w:val="24"/>
            <w:szCs w:val="24"/>
            <w:lang w:val="en-ZA" w:eastAsia="en-GB"/>
          </w:rPr>
          <w:t>https://www.geeksforgeeks.org/azure-blob-storage/</w:t>
        </w:r>
      </w:hyperlink>
      <w:r>
        <w:rPr>
          <w:rFonts w:eastAsia="Times New Roman" w:cs="Times New Roman" w:ascii="Times New Roman" w:hAnsi="Times New Roman"/>
          <w:b w:val="false"/>
          <w:bCs w:val="false"/>
          <w:sz w:val="24"/>
          <w:szCs w:val="24"/>
          <w:lang w:val="en-ZA" w:eastAsia="en-GB"/>
        </w:rPr>
        <w:t xml:space="preserve"> [Accessed 4 Nov. 2025].</w:t>
      </w:r>
    </w:p>
    <w:p>
      <w:pPr>
        <w:pStyle w:val="BodyText"/>
        <w:bidi w:val="0"/>
        <w:spacing w:lineRule="auto" w:line="240" w:before="280" w:after="280"/>
        <w:rPr>
          <w:rFonts w:ascii="Times New Roman" w:hAnsi="Times New Roman" w:eastAsia="Times New Roman" w:cs="Times New Roman"/>
          <w:b/>
          <w:bCs/>
          <w:sz w:val="40"/>
          <w:szCs w:val="40"/>
          <w:lang w:val="en-ZA" w:eastAsia="en-GB"/>
        </w:rPr>
      </w:pPr>
      <w:r>
        <w:rPr>
          <w:rFonts w:eastAsia="Times New Roman" w:cs="Times New Roman" w:ascii="Times New Roman" w:hAnsi="Times New Roman"/>
          <w:b w:val="false"/>
          <w:bCs w:val="false"/>
          <w:sz w:val="24"/>
          <w:szCs w:val="24"/>
          <w:lang w:val="en-ZA" w:eastAsia="en-GB"/>
        </w:rPr>
        <w:t xml:space="preserve">GeeksforGeeks. (n.d.). </w:t>
      </w:r>
      <w:r>
        <w:rPr>
          <w:rStyle w:val="Emphasis"/>
          <w:rFonts w:eastAsia="Times New Roman" w:cs="Times New Roman" w:ascii="Times New Roman" w:hAnsi="Times New Roman"/>
          <w:b w:val="false"/>
          <w:bCs w:val="false"/>
          <w:sz w:val="24"/>
          <w:szCs w:val="24"/>
          <w:lang w:val="en-ZA" w:eastAsia="en-GB"/>
        </w:rPr>
        <w:t>Database Normalization (1NF, 2NF, 3NF)</w:t>
      </w:r>
      <w:r>
        <w:rPr>
          <w:rFonts w:eastAsia="Times New Roman" w:cs="Times New Roman" w:ascii="Times New Roman" w:hAnsi="Times New Roman"/>
          <w:b w:val="false"/>
          <w:bCs w:val="false"/>
          <w:sz w:val="24"/>
          <w:szCs w:val="24"/>
          <w:lang w:val="en-ZA" w:eastAsia="en-GB"/>
        </w:rPr>
        <w:t>. Available at: https://www.geeksforgeeks.org/normalization-in-dbms/ [Accessed 4 Nov. 2025].</w:t>
      </w:r>
    </w:p>
    <w:p>
      <w:pPr>
        <w:pStyle w:val="p3"/>
        <w:spacing w:before="280" w:after="280"/>
        <w:jc w:val="left"/>
        <w:rPr>
          <w:b/>
          <w:bCs/>
          <w:sz w:val="40"/>
          <w:szCs w:val="40"/>
        </w:rPr>
      </w:pPr>
      <w:r>
        <w:rPr>
          <w:b/>
          <w:bCs/>
          <w:sz w:val="40"/>
          <w:szCs w:val="40"/>
        </w:rPr>
        <w:br/>
        <w:br/>
        <w:br/>
      </w:r>
    </w:p>
    <w:p>
      <w:pPr>
        <w:pStyle w:val="Heading2"/>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Times New Roman">
    <w:charset w:val="01"/>
    <w:family w:val="roman"/>
    <w:pitch w:val="variable"/>
  </w:font>
  <w:font w:name=".AppleSystemUIFont">
    <w:charset w:val="01"/>
    <w:family w:val="roman"/>
    <w:pitch w:val="variable"/>
  </w:font>
  <w:font w:name="Symbol">
    <w:charset w:val="01"/>
    <w:family w:val="auto"/>
    <w:pitch w:val="variable"/>
  </w:font>
  <w:font w:name="Courier New">
    <w:charset w:val="01"/>
    <w:family w:val="modern"/>
    <w:pitch w:val="fixed"/>
  </w:font>
  <w:font w:name="Wingding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6">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9">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bering>
</file>

<file path=word/settings.xml><?xml version="1.0" encoding="utf-8"?>
<w:settings xmlns:w="http://schemas.openxmlformats.org/wordprocessingml/2006/main">
  <w:zoom w:percent="45"/>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s1" w:customStyle="1">
    <w:name w:val="s1"/>
    <w:basedOn w:val="DefaultParagraphFont"/>
    <w:qFormat/>
    <w:rsid w:val="00ed36f0"/>
    <w:rPr/>
  </w:style>
  <w:style w:type="character" w:styleId="s2" w:customStyle="1">
    <w:name w:val="s2"/>
    <w:basedOn w:val="DefaultParagraphFont"/>
    <w:qFormat/>
    <w:rsid w:val="00ed36f0"/>
    <w:rPr/>
  </w:style>
  <w:style w:type="character" w:styleId="s3" w:customStyle="1">
    <w:name w:val="s3"/>
    <w:basedOn w:val="DefaultParagraphFont"/>
    <w:qFormat/>
    <w:rsid w:val="00ca6e30"/>
    <w:rPr/>
  </w:style>
  <w:style w:type="character" w:styleId="s4" w:customStyle="1">
    <w:name w:val="s4"/>
    <w:basedOn w:val="DefaultParagraphFont"/>
    <w:qFormat/>
    <w:rsid w:val="000556b0"/>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p1" w:customStyle="1">
    <w:name w:val="p1"/>
    <w:basedOn w:val="Normal"/>
    <w:qFormat/>
    <w:rsid w:val="00ed36f0"/>
    <w:pPr>
      <w:spacing w:lineRule="auto" w:line="240" w:beforeAutospacing="1" w:afterAutospacing="1"/>
    </w:pPr>
    <w:rPr>
      <w:rFonts w:ascii="Times New Roman" w:hAnsi="Times New Roman" w:eastAsia="Times New Roman" w:cs="Times New Roman"/>
      <w:sz w:val="24"/>
      <w:szCs w:val="24"/>
      <w:lang w:val="en-ZA" w:eastAsia="en-GB"/>
    </w:rPr>
  </w:style>
  <w:style w:type="paragraph" w:styleId="p2" w:customStyle="1">
    <w:name w:val="p2"/>
    <w:basedOn w:val="Normal"/>
    <w:qFormat/>
    <w:rsid w:val="00ed36f0"/>
    <w:pPr>
      <w:spacing w:lineRule="auto" w:line="240" w:beforeAutospacing="1" w:afterAutospacing="1"/>
    </w:pPr>
    <w:rPr>
      <w:rFonts w:ascii="Times New Roman" w:hAnsi="Times New Roman" w:eastAsia="Times New Roman" w:cs="Times New Roman"/>
      <w:sz w:val="24"/>
      <w:szCs w:val="24"/>
      <w:lang w:val="en-ZA" w:eastAsia="en-GB"/>
    </w:rPr>
  </w:style>
  <w:style w:type="paragraph" w:styleId="p3" w:customStyle="1">
    <w:name w:val="p3"/>
    <w:basedOn w:val="Normal"/>
    <w:qFormat/>
    <w:rsid w:val="00ed36f0"/>
    <w:pPr>
      <w:spacing w:lineRule="auto" w:line="240" w:beforeAutospacing="1" w:afterAutospacing="1"/>
    </w:pPr>
    <w:rPr>
      <w:rFonts w:ascii="Times New Roman" w:hAnsi="Times New Roman" w:eastAsia="Times New Roman" w:cs="Times New Roman"/>
      <w:sz w:val="24"/>
      <w:szCs w:val="24"/>
      <w:lang w:val="en-ZA" w:eastAsia="en-GB"/>
    </w:rPr>
  </w:style>
  <w:style w:type="paragraph" w:styleId="p4" w:customStyle="1">
    <w:name w:val="p4"/>
    <w:basedOn w:val="Normal"/>
    <w:qFormat/>
    <w:rsid w:val="00ca6e30"/>
    <w:pPr>
      <w:spacing w:lineRule="auto" w:line="240" w:beforeAutospacing="1" w:afterAutospacing="1"/>
    </w:pPr>
    <w:rPr>
      <w:rFonts w:ascii="Times New Roman" w:hAnsi="Times New Roman" w:eastAsia="Times New Roman" w:cs="Times New Roman"/>
      <w:sz w:val="24"/>
      <w:szCs w:val="24"/>
      <w:lang w:val="en-ZA" w:eastAsia="en-GB"/>
    </w:rPr>
  </w:style>
  <w:style w:type="paragraph" w:styleId="FrameContentsuser">
    <w:name w:val="Frame Contents (user)"/>
    <w:basedOn w:val="Normal"/>
    <w:qFormat/>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u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u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u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u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u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urfulList">
    <w:name w:val="Colorful List"/>
    <w:basedOn w:val="TableNormal"/>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yperlink" Target="https://www.geeksforgeeks.org/json-web-token-jwt/" TargetMode="External"/><Relationship Id="rId10" Type="http://schemas.openxmlformats.org/officeDocument/2006/relationships/hyperlink" Target="https://www.geeksforgeeks.org/mvc-design-pattern/" TargetMode="External"/><Relationship Id="rId11" Type="http://schemas.openxmlformats.org/officeDocument/2006/relationships/hyperlink" Target="https://www.geeksforgeeks.org/adapter-pattern/" TargetMode="External"/><Relationship Id="rId12" Type="http://schemas.openxmlformats.org/officeDocument/2006/relationships/hyperlink" Target="https://www.geeksforgeeks.org/command-pattern/" TargetMode="External"/><Relationship Id="rId13" Type="http://schemas.openxmlformats.org/officeDocument/2006/relationships/hyperlink" Target="https://www.geeksforgeeks.org/queue-data-structure/" TargetMode="External"/><Relationship Id="rId14" Type="http://schemas.openxmlformats.org/officeDocument/2006/relationships/hyperlink" Target="https://www.geeksforgeeks.org/python-dictionary/" TargetMode="External"/><Relationship Id="rId15" Type="http://schemas.openxmlformats.org/officeDocument/2006/relationships/hyperlink" Target="https://www.geeksforgeeks.org/azure-blob-storage/" TargetMode="Externa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Application>LibreOffice/25.8.2.2$MacOSX_AARCH64 LibreOffice_project/d401f2107ccab8f924a8e2df40f573aab7605b6f</Application>
  <AppVersion>15.0000</AppVersion>
  <Pages>51</Pages>
  <Words>8590</Words>
  <Characters>55530</Characters>
  <CharactersWithSpaces>63122</CharactersWithSpaces>
  <Paragraphs>931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2025-11-04T17:33:00Z</dcterms:created>
  <dc:creator>python-docx</dc:creator>
  <dc:description>generated by python-docx</dc:description>
  <dc:language>en-ZA</dc:language>
  <cp:lastModifiedBy/>
  <cp:lastPrinted>2025-11-04T22:09:23Z</cp:lastPrinted>
  <dcterms:modified xsi:type="dcterms:W3CDTF">2025-11-04T22:55:24Z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