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87DE" w14:textId="09BD53E4" w:rsidR="00D60195" w:rsidRPr="00AD33C3" w:rsidRDefault="005A34B8" w:rsidP="00D60195">
      <w:pPr>
        <w:pStyle w:val="Heading1"/>
        <w:pageBreakBefore w:val="0"/>
      </w:pPr>
      <w:bookmarkStart w:id="0" w:name="_Toc34751018"/>
      <w:bookmarkStart w:id="1" w:name="_Toc70937849"/>
      <w:bookmarkStart w:id="2" w:name="_Toc126662097"/>
      <w:bookmarkStart w:id="3" w:name="_Toc127527596"/>
      <w:r>
        <w:t>7</w:t>
      </w:r>
      <w:r w:rsidR="00D60195" w:rsidRPr="00606E8D">
        <w:tab/>
      </w:r>
      <w:bookmarkEnd w:id="0"/>
      <w:bookmarkEnd w:id="1"/>
      <w:bookmarkEnd w:id="2"/>
      <w:bookmarkEnd w:id="3"/>
      <w:r>
        <w:t>Assets and Liabilities</w:t>
      </w:r>
    </w:p>
    <w:p w14:paraId="411D3866" w14:textId="4559813B" w:rsidR="00D60195" w:rsidRPr="00AD33C3" w:rsidRDefault="00D60195" w:rsidP="00D60195">
      <w:pPr>
        <w:pStyle w:val="BP1FirstPageBoxedIntro"/>
      </w:pPr>
      <w:r w:rsidRPr="00606E8D">
        <w:t>Key Issues</w:t>
      </w:r>
    </w:p>
    <w:p w14:paraId="210AFC68" w14:textId="35433F25" w:rsidR="00C21449" w:rsidRPr="00C21449" w:rsidRDefault="00C21449" w:rsidP="008F1281">
      <w:pPr>
        <w:pStyle w:val="BP1DotPoint-Boxed"/>
      </w:pPr>
      <w:bookmarkStart w:id="4" w:name="_Toc3795382"/>
      <w:bookmarkStart w:id="5" w:name="_Toc4657892"/>
      <w:bookmarkStart w:id="6" w:name="_Toc34751019"/>
      <w:bookmarkStart w:id="7" w:name="_Toc70937850"/>
      <w:r w:rsidRPr="008F1281">
        <w:t>General</w:t>
      </w:r>
      <w:r w:rsidRPr="00843688">
        <w:t xml:space="preserve"> Government </w:t>
      </w:r>
      <w:r w:rsidR="001B5757">
        <w:t xml:space="preserve">Sector </w:t>
      </w:r>
      <w:r w:rsidRPr="00843688">
        <w:t>Net Debt is estimated to be $</w:t>
      </w:r>
      <w:r w:rsidRPr="00C21449">
        <w:t>3 497.2 million as at 30 June 2024. Net Debt is forecast to increase to $5 596 million as at 30 June 2027.</w:t>
      </w:r>
    </w:p>
    <w:p w14:paraId="3D81D5C8" w14:textId="7C010A2D" w:rsidR="00C21449" w:rsidRPr="00C21449" w:rsidRDefault="00C21449" w:rsidP="00C21449">
      <w:pPr>
        <w:pStyle w:val="BP1DotPoint-Boxed"/>
      </w:pPr>
      <w:r w:rsidRPr="00BC04A2">
        <w:t xml:space="preserve">In accordance with the </w:t>
      </w:r>
      <w:r w:rsidRPr="00C21449">
        <w:t xml:space="preserve">Australian Bureau of Statistics’ Government Finance Statistics reporting framework, General Government </w:t>
      </w:r>
      <w:r w:rsidR="001B5757">
        <w:t xml:space="preserve">Sector </w:t>
      </w:r>
      <w:r w:rsidRPr="00C21449">
        <w:t>GFS Net Debt excludes the impact of lease liabilities. GFS</w:t>
      </w:r>
      <w:r w:rsidR="001A7A30">
        <w:t> </w:t>
      </w:r>
      <w:r w:rsidRPr="00C21449">
        <w:t>Net</w:t>
      </w:r>
      <w:r w:rsidR="001A7A30">
        <w:t> </w:t>
      </w:r>
      <w:r w:rsidRPr="00C21449">
        <w:t>Debt is estimated to be $2 732 million as at 30 June 2024. GFS Net Debt is expected to increase to $4 942.4 million as at 30 June 2027.</w:t>
      </w:r>
    </w:p>
    <w:p w14:paraId="38F335BE" w14:textId="7BBD7ACC" w:rsidR="00C21449" w:rsidRPr="00C21449" w:rsidRDefault="00C21449" w:rsidP="00C21449">
      <w:pPr>
        <w:pStyle w:val="BP1DotPoint-Boxed"/>
      </w:pPr>
      <w:r w:rsidRPr="00BC04A2">
        <w:t>GFS Net Debt as a percentage of G</w:t>
      </w:r>
      <w:r w:rsidRPr="00C21449">
        <w:t xml:space="preserve">ross State Product is forecast to reach </w:t>
      </w:r>
      <w:r w:rsidR="005B0A90">
        <w:t>9.5</w:t>
      </w:r>
      <w:r w:rsidRPr="00C21449">
        <w:t> per cent at 30 June 202</w:t>
      </w:r>
      <w:r w:rsidR="005B0A90">
        <w:t>7</w:t>
      </w:r>
      <w:r w:rsidRPr="00C21449">
        <w:t>.</w:t>
      </w:r>
    </w:p>
    <w:p w14:paraId="6CCE274E" w14:textId="5972D548" w:rsidR="00C21449" w:rsidRPr="00C21449" w:rsidRDefault="00C21449" w:rsidP="001D486A">
      <w:pPr>
        <w:pStyle w:val="BP1DotPoint-Boxed"/>
      </w:pPr>
      <w:r w:rsidRPr="00BC04A2">
        <w:t xml:space="preserve">General Government </w:t>
      </w:r>
      <w:r w:rsidR="001B5757">
        <w:t xml:space="preserve">Sector </w:t>
      </w:r>
      <w:r w:rsidRPr="00BC04A2">
        <w:t xml:space="preserve">Net Worth is </w:t>
      </w:r>
      <w:r w:rsidRPr="001D486A">
        <w:t>estimated</w:t>
      </w:r>
      <w:r w:rsidRPr="00BC04A2">
        <w:t xml:space="preserve"> to be $1</w:t>
      </w:r>
      <w:r w:rsidRPr="00C21449">
        <w:t>5 442.7 million as at 30 June 2024. Net Worth is estimated to increase over the Forward Estimates period to $17 212 million by 30 June 2027.</w:t>
      </w:r>
    </w:p>
    <w:p w14:paraId="3BC6DB2A" w14:textId="4A5666E9" w:rsidR="00C21449" w:rsidRPr="00C21449" w:rsidDel="00E41895" w:rsidRDefault="00C21449" w:rsidP="00C21449">
      <w:pPr>
        <w:pStyle w:val="BP1DotPoint-Boxed"/>
      </w:pPr>
      <w:r w:rsidRPr="00BC04A2" w:rsidDel="00E41895">
        <w:t xml:space="preserve">The General Government </w:t>
      </w:r>
      <w:r w:rsidR="001B5757">
        <w:t xml:space="preserve">Sector </w:t>
      </w:r>
      <w:r w:rsidRPr="00BC04A2" w:rsidDel="00E41895">
        <w:t>Superannuation liability is estimated to be $</w:t>
      </w:r>
      <w:r w:rsidRPr="00C21449">
        <w:t>7</w:t>
      </w:r>
      <w:r w:rsidRPr="00C21449" w:rsidDel="00E41895">
        <w:t> </w:t>
      </w:r>
      <w:r w:rsidRPr="00C21449">
        <w:t>759.3</w:t>
      </w:r>
      <w:r w:rsidRPr="00C21449" w:rsidDel="00E41895">
        <w:t> million as at 30 June 202</w:t>
      </w:r>
      <w:r w:rsidRPr="00C21449">
        <w:t>4</w:t>
      </w:r>
      <w:r w:rsidRPr="00C21449" w:rsidDel="00E41895">
        <w:t>.</w:t>
      </w:r>
      <w:r w:rsidR="00223B60" w:rsidRPr="00223B60" w:rsidDel="00E41895">
        <w:t xml:space="preserve"> </w:t>
      </w:r>
      <w:r w:rsidR="00223B60" w:rsidRPr="00BC04A2" w:rsidDel="00E41895">
        <w:t>The liability</w:t>
      </w:r>
      <w:r w:rsidRPr="00C21449" w:rsidDel="00E41895">
        <w:t xml:space="preserve"> </w:t>
      </w:r>
      <w:r w:rsidR="00223B60">
        <w:t xml:space="preserve">is expected to </w:t>
      </w:r>
      <w:r w:rsidR="00E4559C">
        <w:t xml:space="preserve">decrease </w:t>
      </w:r>
      <w:r w:rsidR="00223B60">
        <w:t>to $7 687.2 million at 30 June 2027.</w:t>
      </w:r>
    </w:p>
    <w:p w14:paraId="56D2AF9A" w14:textId="32D62DA5" w:rsidR="00C21449" w:rsidRPr="00C21449" w:rsidRDefault="00C21449" w:rsidP="00C21449">
      <w:pPr>
        <w:pStyle w:val="BP1DotPoint-Boxed"/>
      </w:pPr>
      <w:r w:rsidRPr="00BC04A2">
        <w:t>The present value of superannuation liabilities is particularly sensitive to discount rate movements, although these movements do not impact on the emerging cash costs that require funding. The</w:t>
      </w:r>
      <w:r w:rsidR="005B0A90">
        <w:t xml:space="preserve"> </w:t>
      </w:r>
      <w:r w:rsidRPr="00C21449">
        <w:t>202</w:t>
      </w:r>
      <w:r w:rsidR="005B0A90">
        <w:t>3</w:t>
      </w:r>
      <w:r w:rsidRPr="00C21449">
        <w:noBreakHyphen/>
        <w:t>2</w:t>
      </w:r>
      <w:r w:rsidR="005B0A90">
        <w:t>4</w:t>
      </w:r>
      <w:r w:rsidRPr="00C21449">
        <w:t xml:space="preserve"> Budget projections are based on a discount rate of </w:t>
      </w:r>
      <w:r w:rsidR="003C69E8">
        <w:t>4.0</w:t>
      </w:r>
      <w:r w:rsidRPr="00C21449">
        <w:t> per cent.</w:t>
      </w:r>
    </w:p>
    <w:p w14:paraId="6BA77C83" w14:textId="77777777" w:rsidR="00C21449" w:rsidRPr="00C21449" w:rsidRDefault="00C21449" w:rsidP="00C21449">
      <w:pPr>
        <w:pStyle w:val="BP1DotPoint-Boxed"/>
      </w:pPr>
      <w:r w:rsidRPr="00843688">
        <w:t>The Government continues to meet the cash cost of the defined benefit superannuation schemes on an emerging basis</w:t>
      </w:r>
      <w:r w:rsidRPr="00C21449">
        <w:t>. In 2023</w:t>
      </w:r>
      <w:r w:rsidRPr="00C21449">
        <w:noBreakHyphen/>
        <w:t>24, the cash payment will be $351.5 million, increasing to an anticipated peak in 2034</w:t>
      </w:r>
      <w:r w:rsidRPr="00C21449">
        <w:noBreakHyphen/>
        <w:t>35 of $490.8 million.</w:t>
      </w:r>
    </w:p>
    <w:p w14:paraId="3A673AE9" w14:textId="77777777" w:rsidR="005A34B8" w:rsidRDefault="005A34B8">
      <w:pPr>
        <w:rPr>
          <w:rFonts w:eastAsiaTheme="majorEastAsia" w:cstheme="majorBidi"/>
          <w:smallCaps/>
          <w:sz w:val="48"/>
          <w:szCs w:val="26"/>
        </w:rPr>
      </w:pPr>
      <w:r>
        <w:br w:type="page"/>
      </w:r>
    </w:p>
    <w:p w14:paraId="11F29386" w14:textId="77777777" w:rsidR="005A34B8" w:rsidRPr="005A34B8" w:rsidRDefault="005A34B8" w:rsidP="005A34B8">
      <w:pPr>
        <w:pStyle w:val="Heading2"/>
      </w:pPr>
      <w:r w:rsidRPr="005A34B8">
        <w:lastRenderedPageBreak/>
        <w:t>Balance Sheet</w:t>
      </w:r>
    </w:p>
    <w:p w14:paraId="221227E4" w14:textId="6ACB5874" w:rsidR="005A34B8" w:rsidRPr="005A34B8" w:rsidRDefault="005A34B8" w:rsidP="005A34B8">
      <w:pPr>
        <w:pStyle w:val="Body"/>
      </w:pPr>
      <w:r w:rsidRPr="005A34B8">
        <w:t>The chapter provides an overview of the Balance Sheet for the 2023</w:t>
      </w:r>
      <w:r w:rsidRPr="005A34B8">
        <w:noBreakHyphen/>
        <w:t>24</w:t>
      </w:r>
      <w:r w:rsidR="00435D4F">
        <w:t> </w:t>
      </w:r>
      <w:r w:rsidRPr="005A34B8">
        <w:t>Budget and Forward</w:t>
      </w:r>
      <w:r w:rsidR="00435D4F">
        <w:t> </w:t>
      </w:r>
      <w:r w:rsidRPr="005A34B8">
        <w:t>Estimates including the 2022</w:t>
      </w:r>
      <w:r w:rsidRPr="005A34B8">
        <w:noBreakHyphen/>
        <w:t>23</w:t>
      </w:r>
      <w:r w:rsidR="00435D4F">
        <w:t> </w:t>
      </w:r>
      <w:r w:rsidRPr="005A34B8">
        <w:t>Estimated Outcome. Table</w:t>
      </w:r>
      <w:r w:rsidR="00435D4F">
        <w:t> </w:t>
      </w:r>
      <w:r w:rsidRPr="005A34B8">
        <w:t>7.1 details the estimated General Government Sector assets and liabilities held between 30 June 2023 and 30 June 2027.</w:t>
      </w:r>
    </w:p>
    <w:p w14:paraId="2D910FC0" w14:textId="18F18174" w:rsidR="005A34B8" w:rsidRPr="005A34B8" w:rsidRDefault="005A34B8" w:rsidP="005A34B8">
      <w:pPr>
        <w:pStyle w:val="Heading6"/>
      </w:pPr>
      <w:r w:rsidRPr="005A34B8">
        <w:t>Table 7.1:</w:t>
      </w:r>
      <w:r w:rsidRPr="005A34B8">
        <w:tab/>
        <w:t xml:space="preserve">General Government </w:t>
      </w:r>
      <w:r w:rsidR="003D594D">
        <w:t xml:space="preserve">Sector </w:t>
      </w:r>
      <w:r w:rsidRPr="005A34B8">
        <w:t>Balance Sheet as at 30 June</w:t>
      </w:r>
      <w:r w:rsidR="00BF3E5A" w:rsidRPr="005F7211">
        <w:rPr>
          <w:rStyle w:val="Heading6Superscipt"/>
        </w:rPr>
        <w:t>1</w:t>
      </w:r>
    </w:p>
    <w:tbl>
      <w:tblPr>
        <w:tblW w:w="9581" w:type="dxa"/>
        <w:tblCellMar>
          <w:left w:w="28" w:type="dxa"/>
          <w:right w:w="28" w:type="dxa"/>
        </w:tblCellMar>
        <w:tblLook w:val="04A0" w:firstRow="1" w:lastRow="0" w:firstColumn="1" w:lastColumn="0" w:noHBand="0" w:noVBand="1"/>
      </w:tblPr>
      <w:tblGrid>
        <w:gridCol w:w="3686"/>
        <w:gridCol w:w="1168"/>
        <w:gridCol w:w="1046"/>
        <w:gridCol w:w="888"/>
        <w:gridCol w:w="931"/>
        <w:gridCol w:w="931"/>
        <w:gridCol w:w="931"/>
      </w:tblGrid>
      <w:tr w:rsidR="005A34B8" w14:paraId="56BB084C" w14:textId="77777777" w:rsidTr="005A34B8">
        <w:tc>
          <w:tcPr>
            <w:tcW w:w="3686" w:type="dxa"/>
            <w:tcBorders>
              <w:top w:val="single" w:sz="6" w:space="0" w:color="auto"/>
              <w:left w:val="nil"/>
              <w:bottom w:val="nil"/>
              <w:right w:val="nil"/>
            </w:tcBorders>
            <w:vAlign w:val="center"/>
            <w:hideMark/>
          </w:tcPr>
          <w:p w14:paraId="3115FBE3" w14:textId="77777777" w:rsidR="005A34B8" w:rsidRPr="005A34B8" w:rsidRDefault="005A34B8">
            <w:pPr>
              <w:pStyle w:val="TableLeft"/>
            </w:pPr>
            <w:r w:rsidRPr="005A34B8">
              <w:t> </w:t>
            </w:r>
          </w:p>
        </w:tc>
        <w:tc>
          <w:tcPr>
            <w:tcW w:w="1168" w:type="dxa"/>
            <w:tcBorders>
              <w:top w:val="single" w:sz="6" w:space="0" w:color="auto"/>
              <w:left w:val="nil"/>
              <w:bottom w:val="nil"/>
              <w:right w:val="nil"/>
            </w:tcBorders>
            <w:vAlign w:val="center"/>
            <w:hideMark/>
          </w:tcPr>
          <w:p w14:paraId="336D03B7" w14:textId="77777777" w:rsidR="005A34B8" w:rsidRPr="005A34B8" w:rsidRDefault="005A34B8">
            <w:pPr>
              <w:pStyle w:val="TableRightHeading"/>
            </w:pPr>
            <w:r w:rsidRPr="005A34B8">
              <w:t>2023 </w:t>
            </w:r>
          </w:p>
        </w:tc>
        <w:tc>
          <w:tcPr>
            <w:tcW w:w="1046" w:type="dxa"/>
            <w:tcBorders>
              <w:top w:val="single" w:sz="6" w:space="0" w:color="auto"/>
              <w:left w:val="nil"/>
              <w:bottom w:val="nil"/>
              <w:right w:val="nil"/>
            </w:tcBorders>
            <w:vAlign w:val="center"/>
            <w:hideMark/>
          </w:tcPr>
          <w:p w14:paraId="78344B8F" w14:textId="77777777" w:rsidR="005A34B8" w:rsidRPr="005A34B8" w:rsidRDefault="005A34B8">
            <w:pPr>
              <w:pStyle w:val="TableRightHeading"/>
            </w:pPr>
            <w:r w:rsidRPr="005A34B8">
              <w:t>2023 </w:t>
            </w:r>
          </w:p>
        </w:tc>
        <w:tc>
          <w:tcPr>
            <w:tcW w:w="888" w:type="dxa"/>
            <w:tcBorders>
              <w:top w:val="single" w:sz="6" w:space="0" w:color="auto"/>
              <w:left w:val="nil"/>
              <w:bottom w:val="nil"/>
              <w:right w:val="nil"/>
            </w:tcBorders>
            <w:vAlign w:val="center"/>
            <w:hideMark/>
          </w:tcPr>
          <w:p w14:paraId="0943A31D" w14:textId="77777777" w:rsidR="005A34B8" w:rsidRPr="005A34B8" w:rsidRDefault="005A34B8">
            <w:pPr>
              <w:pStyle w:val="TableRightHeading"/>
            </w:pPr>
            <w:r w:rsidRPr="005A34B8">
              <w:t>2024 </w:t>
            </w:r>
          </w:p>
        </w:tc>
        <w:tc>
          <w:tcPr>
            <w:tcW w:w="931" w:type="dxa"/>
            <w:tcBorders>
              <w:top w:val="single" w:sz="6" w:space="0" w:color="auto"/>
              <w:left w:val="nil"/>
              <w:bottom w:val="nil"/>
              <w:right w:val="nil"/>
            </w:tcBorders>
            <w:vAlign w:val="center"/>
            <w:hideMark/>
          </w:tcPr>
          <w:p w14:paraId="02D55440" w14:textId="77777777" w:rsidR="005A34B8" w:rsidRPr="005A34B8" w:rsidRDefault="005A34B8">
            <w:pPr>
              <w:pStyle w:val="TableRightHeading"/>
            </w:pPr>
            <w:r w:rsidRPr="005A34B8">
              <w:t>2025 </w:t>
            </w:r>
          </w:p>
        </w:tc>
        <w:tc>
          <w:tcPr>
            <w:tcW w:w="931" w:type="dxa"/>
            <w:tcBorders>
              <w:top w:val="single" w:sz="6" w:space="0" w:color="auto"/>
              <w:left w:val="nil"/>
              <w:bottom w:val="nil"/>
              <w:right w:val="nil"/>
            </w:tcBorders>
            <w:vAlign w:val="center"/>
            <w:hideMark/>
          </w:tcPr>
          <w:p w14:paraId="4D0DBE04" w14:textId="77777777" w:rsidR="005A34B8" w:rsidRPr="005A34B8" w:rsidRDefault="005A34B8">
            <w:pPr>
              <w:pStyle w:val="TableRightHeading"/>
            </w:pPr>
            <w:r w:rsidRPr="005A34B8">
              <w:t>2026 </w:t>
            </w:r>
          </w:p>
        </w:tc>
        <w:tc>
          <w:tcPr>
            <w:tcW w:w="931" w:type="dxa"/>
            <w:tcBorders>
              <w:top w:val="single" w:sz="6" w:space="0" w:color="auto"/>
              <w:left w:val="nil"/>
              <w:bottom w:val="nil"/>
              <w:right w:val="nil"/>
            </w:tcBorders>
            <w:vAlign w:val="center"/>
            <w:hideMark/>
          </w:tcPr>
          <w:p w14:paraId="233F8416" w14:textId="77777777" w:rsidR="005A34B8" w:rsidRPr="005A34B8" w:rsidRDefault="005A34B8">
            <w:pPr>
              <w:pStyle w:val="TableRightHeading"/>
            </w:pPr>
            <w:bookmarkStart w:id="8" w:name="RANGE!P5"/>
            <w:r w:rsidRPr="005A34B8">
              <w:t>2027 </w:t>
            </w:r>
            <w:bookmarkEnd w:id="8"/>
          </w:p>
        </w:tc>
      </w:tr>
      <w:tr w:rsidR="005A34B8" w14:paraId="5BF0FEE4" w14:textId="77777777" w:rsidTr="005A34B8">
        <w:tc>
          <w:tcPr>
            <w:tcW w:w="3686" w:type="dxa"/>
            <w:vAlign w:val="center"/>
            <w:hideMark/>
          </w:tcPr>
          <w:p w14:paraId="603A3050" w14:textId="77777777" w:rsidR="005A34B8" w:rsidRPr="005A34B8" w:rsidRDefault="005A34B8" w:rsidP="00C044AD">
            <w:pPr>
              <w:pStyle w:val="TableRightHeading"/>
            </w:pPr>
          </w:p>
        </w:tc>
        <w:tc>
          <w:tcPr>
            <w:tcW w:w="1168" w:type="dxa"/>
            <w:vAlign w:val="center"/>
            <w:hideMark/>
          </w:tcPr>
          <w:p w14:paraId="335C4BB3" w14:textId="77777777" w:rsidR="005A34B8" w:rsidRPr="005A34B8" w:rsidRDefault="005A34B8" w:rsidP="00C044AD">
            <w:pPr>
              <w:pStyle w:val="TableRightHeading"/>
            </w:pPr>
          </w:p>
        </w:tc>
        <w:tc>
          <w:tcPr>
            <w:tcW w:w="1046" w:type="dxa"/>
            <w:vAlign w:val="center"/>
            <w:hideMark/>
          </w:tcPr>
          <w:p w14:paraId="76D0D54F" w14:textId="77777777" w:rsidR="005A34B8" w:rsidRPr="005A34B8" w:rsidRDefault="005A34B8" w:rsidP="00C044AD">
            <w:pPr>
              <w:pStyle w:val="TableRightHeading"/>
            </w:pPr>
            <w:r w:rsidRPr="005A34B8">
              <w:t>Estimated</w:t>
            </w:r>
          </w:p>
        </w:tc>
        <w:tc>
          <w:tcPr>
            <w:tcW w:w="888" w:type="dxa"/>
            <w:vAlign w:val="center"/>
            <w:hideMark/>
          </w:tcPr>
          <w:p w14:paraId="44943C3F" w14:textId="77777777" w:rsidR="005A34B8" w:rsidRPr="005A34B8" w:rsidRDefault="005A34B8" w:rsidP="00C044AD">
            <w:pPr>
              <w:pStyle w:val="TableRightHeading"/>
            </w:pPr>
          </w:p>
        </w:tc>
        <w:tc>
          <w:tcPr>
            <w:tcW w:w="931" w:type="dxa"/>
            <w:vAlign w:val="center"/>
            <w:hideMark/>
          </w:tcPr>
          <w:p w14:paraId="05D8232B" w14:textId="77777777" w:rsidR="005A34B8" w:rsidRPr="005A34B8" w:rsidRDefault="005A34B8" w:rsidP="00C044AD">
            <w:pPr>
              <w:pStyle w:val="TableRightHeading"/>
            </w:pPr>
            <w:r w:rsidRPr="005A34B8">
              <w:t>Forward </w:t>
            </w:r>
          </w:p>
        </w:tc>
        <w:tc>
          <w:tcPr>
            <w:tcW w:w="931" w:type="dxa"/>
            <w:vAlign w:val="center"/>
            <w:hideMark/>
          </w:tcPr>
          <w:p w14:paraId="4FC9D9C6" w14:textId="77777777" w:rsidR="005A34B8" w:rsidRPr="005A34B8" w:rsidRDefault="005A34B8" w:rsidP="00C044AD">
            <w:pPr>
              <w:pStyle w:val="TableRightHeading"/>
            </w:pPr>
            <w:r w:rsidRPr="005A34B8">
              <w:t>Forward </w:t>
            </w:r>
          </w:p>
        </w:tc>
        <w:tc>
          <w:tcPr>
            <w:tcW w:w="931" w:type="dxa"/>
            <w:vAlign w:val="center"/>
            <w:hideMark/>
          </w:tcPr>
          <w:p w14:paraId="0DB460C4" w14:textId="77777777" w:rsidR="005A34B8" w:rsidRPr="005A34B8" w:rsidRDefault="005A34B8" w:rsidP="00C044AD">
            <w:pPr>
              <w:pStyle w:val="TableRightHeading"/>
            </w:pPr>
            <w:r w:rsidRPr="005A34B8">
              <w:t>Forward </w:t>
            </w:r>
          </w:p>
        </w:tc>
      </w:tr>
      <w:tr w:rsidR="005A34B8" w14:paraId="00FA84E7" w14:textId="77777777" w:rsidTr="005A34B8">
        <w:tc>
          <w:tcPr>
            <w:tcW w:w="3686" w:type="dxa"/>
            <w:tcBorders>
              <w:top w:val="nil"/>
              <w:left w:val="nil"/>
              <w:bottom w:val="single" w:sz="6" w:space="0" w:color="auto"/>
              <w:right w:val="nil"/>
            </w:tcBorders>
            <w:vAlign w:val="center"/>
            <w:hideMark/>
          </w:tcPr>
          <w:p w14:paraId="476F59CD" w14:textId="77777777" w:rsidR="005A34B8" w:rsidRPr="005A34B8" w:rsidRDefault="005A34B8">
            <w:pPr>
              <w:pStyle w:val="TableLeft"/>
            </w:pPr>
            <w:r w:rsidRPr="005A34B8">
              <w:t> </w:t>
            </w:r>
          </w:p>
        </w:tc>
        <w:tc>
          <w:tcPr>
            <w:tcW w:w="1168" w:type="dxa"/>
            <w:tcBorders>
              <w:top w:val="nil"/>
              <w:left w:val="nil"/>
              <w:bottom w:val="single" w:sz="6" w:space="0" w:color="auto"/>
              <w:right w:val="nil"/>
            </w:tcBorders>
            <w:vAlign w:val="center"/>
            <w:hideMark/>
          </w:tcPr>
          <w:p w14:paraId="15D4F9AC" w14:textId="77777777" w:rsidR="005A34B8" w:rsidRPr="005A34B8" w:rsidRDefault="005A34B8">
            <w:pPr>
              <w:pStyle w:val="TableRightHeading"/>
            </w:pPr>
            <w:r w:rsidRPr="005A34B8">
              <w:t>Budget </w:t>
            </w:r>
          </w:p>
        </w:tc>
        <w:tc>
          <w:tcPr>
            <w:tcW w:w="1046" w:type="dxa"/>
            <w:tcBorders>
              <w:top w:val="nil"/>
              <w:left w:val="nil"/>
              <w:bottom w:val="single" w:sz="6" w:space="0" w:color="auto"/>
              <w:right w:val="nil"/>
            </w:tcBorders>
            <w:vAlign w:val="center"/>
            <w:hideMark/>
          </w:tcPr>
          <w:p w14:paraId="267AFA0D" w14:textId="77777777" w:rsidR="005A34B8" w:rsidRPr="005A34B8" w:rsidRDefault="005A34B8">
            <w:pPr>
              <w:pStyle w:val="TableRightHeading"/>
            </w:pPr>
            <w:r w:rsidRPr="005A34B8">
              <w:t>Outcome</w:t>
            </w:r>
          </w:p>
        </w:tc>
        <w:tc>
          <w:tcPr>
            <w:tcW w:w="888" w:type="dxa"/>
            <w:tcBorders>
              <w:top w:val="nil"/>
              <w:left w:val="nil"/>
              <w:bottom w:val="single" w:sz="6" w:space="0" w:color="auto"/>
              <w:right w:val="nil"/>
            </w:tcBorders>
            <w:vAlign w:val="center"/>
            <w:hideMark/>
          </w:tcPr>
          <w:p w14:paraId="56D791E6" w14:textId="39C95673" w:rsidR="005A34B8" w:rsidRPr="005A34B8" w:rsidRDefault="005A34B8">
            <w:pPr>
              <w:pStyle w:val="TableRightHeading"/>
            </w:pPr>
            <w:r w:rsidRPr="005A34B8">
              <w:t>Budget </w:t>
            </w:r>
          </w:p>
        </w:tc>
        <w:tc>
          <w:tcPr>
            <w:tcW w:w="931" w:type="dxa"/>
            <w:tcBorders>
              <w:top w:val="nil"/>
              <w:left w:val="nil"/>
              <w:bottom w:val="single" w:sz="6" w:space="0" w:color="auto"/>
              <w:right w:val="nil"/>
            </w:tcBorders>
            <w:vAlign w:val="center"/>
            <w:hideMark/>
          </w:tcPr>
          <w:p w14:paraId="270501D8" w14:textId="77777777" w:rsidR="005A34B8" w:rsidRPr="005A34B8" w:rsidRDefault="005A34B8">
            <w:pPr>
              <w:pStyle w:val="TableRightHeading"/>
            </w:pPr>
            <w:r w:rsidRPr="005A34B8">
              <w:t>Estimate </w:t>
            </w:r>
          </w:p>
        </w:tc>
        <w:tc>
          <w:tcPr>
            <w:tcW w:w="931" w:type="dxa"/>
            <w:tcBorders>
              <w:top w:val="nil"/>
              <w:left w:val="nil"/>
              <w:bottom w:val="single" w:sz="6" w:space="0" w:color="auto"/>
              <w:right w:val="nil"/>
            </w:tcBorders>
            <w:vAlign w:val="center"/>
            <w:hideMark/>
          </w:tcPr>
          <w:p w14:paraId="0624746B" w14:textId="77777777" w:rsidR="005A34B8" w:rsidRPr="005A34B8" w:rsidRDefault="005A34B8">
            <w:pPr>
              <w:pStyle w:val="TableRightHeading"/>
            </w:pPr>
            <w:r w:rsidRPr="005A34B8">
              <w:t>Estimate </w:t>
            </w:r>
          </w:p>
        </w:tc>
        <w:tc>
          <w:tcPr>
            <w:tcW w:w="931" w:type="dxa"/>
            <w:tcBorders>
              <w:top w:val="nil"/>
              <w:left w:val="nil"/>
              <w:bottom w:val="single" w:sz="6" w:space="0" w:color="auto"/>
              <w:right w:val="nil"/>
            </w:tcBorders>
            <w:vAlign w:val="center"/>
            <w:hideMark/>
          </w:tcPr>
          <w:p w14:paraId="3F92E225" w14:textId="77777777" w:rsidR="005A34B8" w:rsidRPr="005A34B8" w:rsidRDefault="005A34B8">
            <w:pPr>
              <w:pStyle w:val="TableRightHeading"/>
            </w:pPr>
            <w:r w:rsidRPr="005A34B8">
              <w:t>Estimate </w:t>
            </w:r>
          </w:p>
        </w:tc>
      </w:tr>
      <w:tr w:rsidR="005A34B8" w14:paraId="5D20D741" w14:textId="77777777" w:rsidTr="005A34B8">
        <w:tc>
          <w:tcPr>
            <w:tcW w:w="3686" w:type="dxa"/>
            <w:tcBorders>
              <w:top w:val="single" w:sz="6" w:space="0" w:color="auto"/>
              <w:left w:val="nil"/>
              <w:bottom w:val="nil"/>
              <w:right w:val="nil"/>
            </w:tcBorders>
            <w:vAlign w:val="center"/>
            <w:hideMark/>
          </w:tcPr>
          <w:p w14:paraId="25C95521" w14:textId="77777777" w:rsidR="005A34B8" w:rsidRPr="005A34B8" w:rsidRDefault="005A34B8" w:rsidP="00C67119">
            <w:pPr>
              <w:pStyle w:val="TableRightHeading"/>
            </w:pPr>
          </w:p>
        </w:tc>
        <w:tc>
          <w:tcPr>
            <w:tcW w:w="1168" w:type="dxa"/>
            <w:tcBorders>
              <w:top w:val="single" w:sz="6" w:space="0" w:color="auto"/>
              <w:left w:val="nil"/>
              <w:bottom w:val="nil"/>
              <w:right w:val="nil"/>
            </w:tcBorders>
            <w:vAlign w:val="center"/>
            <w:hideMark/>
          </w:tcPr>
          <w:p w14:paraId="37D3AA35" w14:textId="77777777" w:rsidR="005A34B8" w:rsidRPr="005A34B8" w:rsidRDefault="005A34B8" w:rsidP="00C67119">
            <w:pPr>
              <w:pStyle w:val="TableRightHeading"/>
            </w:pPr>
            <w:r w:rsidRPr="005A34B8">
              <w:t>$m </w:t>
            </w:r>
          </w:p>
        </w:tc>
        <w:tc>
          <w:tcPr>
            <w:tcW w:w="1046" w:type="dxa"/>
            <w:tcBorders>
              <w:top w:val="single" w:sz="6" w:space="0" w:color="auto"/>
              <w:left w:val="nil"/>
              <w:bottom w:val="nil"/>
              <w:right w:val="nil"/>
            </w:tcBorders>
            <w:vAlign w:val="center"/>
            <w:hideMark/>
          </w:tcPr>
          <w:p w14:paraId="4E3582B7" w14:textId="77777777" w:rsidR="005A34B8" w:rsidRPr="005A34B8" w:rsidRDefault="005A34B8" w:rsidP="00C67119">
            <w:pPr>
              <w:pStyle w:val="TableRightHeading"/>
            </w:pPr>
            <w:r w:rsidRPr="005A34B8">
              <w:t>$m </w:t>
            </w:r>
          </w:p>
        </w:tc>
        <w:tc>
          <w:tcPr>
            <w:tcW w:w="888" w:type="dxa"/>
            <w:tcBorders>
              <w:top w:val="single" w:sz="6" w:space="0" w:color="auto"/>
              <w:left w:val="nil"/>
              <w:bottom w:val="nil"/>
              <w:right w:val="nil"/>
            </w:tcBorders>
            <w:vAlign w:val="center"/>
            <w:hideMark/>
          </w:tcPr>
          <w:p w14:paraId="75E48556" w14:textId="77777777" w:rsidR="005A34B8" w:rsidRPr="005A34B8" w:rsidRDefault="005A34B8" w:rsidP="00C67119">
            <w:pPr>
              <w:pStyle w:val="TableRightHeading"/>
            </w:pPr>
            <w:r w:rsidRPr="005A34B8">
              <w:t>$m </w:t>
            </w:r>
          </w:p>
        </w:tc>
        <w:tc>
          <w:tcPr>
            <w:tcW w:w="931" w:type="dxa"/>
            <w:tcBorders>
              <w:top w:val="single" w:sz="6" w:space="0" w:color="auto"/>
              <w:left w:val="nil"/>
              <w:bottom w:val="nil"/>
              <w:right w:val="nil"/>
            </w:tcBorders>
            <w:vAlign w:val="center"/>
            <w:hideMark/>
          </w:tcPr>
          <w:p w14:paraId="5ADC32CB" w14:textId="77777777" w:rsidR="005A34B8" w:rsidRPr="005A34B8" w:rsidRDefault="005A34B8" w:rsidP="00C67119">
            <w:pPr>
              <w:pStyle w:val="TableRightHeading"/>
            </w:pPr>
            <w:r w:rsidRPr="005A34B8">
              <w:t>$m </w:t>
            </w:r>
          </w:p>
        </w:tc>
        <w:tc>
          <w:tcPr>
            <w:tcW w:w="931" w:type="dxa"/>
            <w:tcBorders>
              <w:top w:val="single" w:sz="6" w:space="0" w:color="auto"/>
              <w:left w:val="nil"/>
              <w:bottom w:val="nil"/>
              <w:right w:val="nil"/>
            </w:tcBorders>
            <w:vAlign w:val="center"/>
            <w:hideMark/>
          </w:tcPr>
          <w:p w14:paraId="4C958E01" w14:textId="77777777" w:rsidR="005A34B8" w:rsidRPr="005A34B8" w:rsidRDefault="005A34B8" w:rsidP="00C67119">
            <w:pPr>
              <w:pStyle w:val="TableRightHeading"/>
            </w:pPr>
            <w:r w:rsidRPr="005A34B8">
              <w:t>$m </w:t>
            </w:r>
          </w:p>
        </w:tc>
        <w:tc>
          <w:tcPr>
            <w:tcW w:w="931" w:type="dxa"/>
            <w:tcBorders>
              <w:top w:val="single" w:sz="6" w:space="0" w:color="auto"/>
              <w:left w:val="nil"/>
              <w:bottom w:val="nil"/>
              <w:right w:val="nil"/>
            </w:tcBorders>
            <w:vAlign w:val="center"/>
            <w:hideMark/>
          </w:tcPr>
          <w:p w14:paraId="2075AAA9" w14:textId="77777777" w:rsidR="005A34B8" w:rsidRPr="005A34B8" w:rsidRDefault="005A34B8" w:rsidP="00C67119">
            <w:pPr>
              <w:pStyle w:val="TableRightHeading"/>
            </w:pPr>
            <w:r w:rsidRPr="005A34B8">
              <w:t>$m </w:t>
            </w:r>
          </w:p>
        </w:tc>
      </w:tr>
      <w:tr w:rsidR="005A34B8" w14:paraId="455899DA" w14:textId="77777777" w:rsidTr="005A34B8">
        <w:tc>
          <w:tcPr>
            <w:tcW w:w="3686" w:type="dxa"/>
            <w:vAlign w:val="center"/>
            <w:hideMark/>
          </w:tcPr>
          <w:p w14:paraId="4FEECBDA" w14:textId="77777777" w:rsidR="005A34B8" w:rsidRPr="005A34B8" w:rsidRDefault="005A34B8" w:rsidP="00C67119">
            <w:pPr>
              <w:pStyle w:val="TableLeftHeading"/>
            </w:pPr>
            <w:r w:rsidRPr="005A34B8">
              <w:t>Assets</w:t>
            </w:r>
          </w:p>
        </w:tc>
        <w:tc>
          <w:tcPr>
            <w:tcW w:w="1168" w:type="dxa"/>
            <w:vAlign w:val="center"/>
            <w:hideMark/>
          </w:tcPr>
          <w:p w14:paraId="170F51F9" w14:textId="77777777" w:rsidR="005A34B8" w:rsidRPr="005A34B8" w:rsidRDefault="005A34B8" w:rsidP="00C67119">
            <w:pPr>
              <w:pStyle w:val="TableLeftHeading"/>
            </w:pPr>
          </w:p>
        </w:tc>
        <w:tc>
          <w:tcPr>
            <w:tcW w:w="1046" w:type="dxa"/>
            <w:vAlign w:val="center"/>
            <w:hideMark/>
          </w:tcPr>
          <w:p w14:paraId="41C886E3" w14:textId="77777777" w:rsidR="005A34B8" w:rsidRPr="005A34B8" w:rsidRDefault="005A34B8" w:rsidP="00C67119">
            <w:pPr>
              <w:pStyle w:val="TableLeftHeading"/>
            </w:pPr>
          </w:p>
        </w:tc>
        <w:tc>
          <w:tcPr>
            <w:tcW w:w="888" w:type="dxa"/>
            <w:vAlign w:val="center"/>
            <w:hideMark/>
          </w:tcPr>
          <w:p w14:paraId="44EB8C9B" w14:textId="77777777" w:rsidR="005A34B8" w:rsidRPr="005A34B8" w:rsidRDefault="005A34B8" w:rsidP="00C67119">
            <w:pPr>
              <w:pStyle w:val="TableLeftHeading"/>
            </w:pPr>
          </w:p>
        </w:tc>
        <w:tc>
          <w:tcPr>
            <w:tcW w:w="931" w:type="dxa"/>
            <w:vAlign w:val="center"/>
            <w:hideMark/>
          </w:tcPr>
          <w:p w14:paraId="1B7DDD7E" w14:textId="77777777" w:rsidR="005A34B8" w:rsidRPr="005A34B8" w:rsidRDefault="005A34B8" w:rsidP="00C67119">
            <w:pPr>
              <w:pStyle w:val="TableLeftHeading"/>
            </w:pPr>
          </w:p>
        </w:tc>
        <w:tc>
          <w:tcPr>
            <w:tcW w:w="931" w:type="dxa"/>
            <w:vAlign w:val="center"/>
            <w:hideMark/>
          </w:tcPr>
          <w:p w14:paraId="46A6F3AE" w14:textId="77777777" w:rsidR="005A34B8" w:rsidRPr="005A34B8" w:rsidRDefault="005A34B8" w:rsidP="00C67119">
            <w:pPr>
              <w:pStyle w:val="TableLeftHeading"/>
            </w:pPr>
          </w:p>
        </w:tc>
        <w:tc>
          <w:tcPr>
            <w:tcW w:w="931" w:type="dxa"/>
            <w:vAlign w:val="center"/>
            <w:hideMark/>
          </w:tcPr>
          <w:p w14:paraId="0DDF29F0" w14:textId="77777777" w:rsidR="005A34B8" w:rsidRPr="005A34B8" w:rsidRDefault="005A34B8" w:rsidP="00C67119">
            <w:pPr>
              <w:pStyle w:val="TableLeftHeading"/>
            </w:pPr>
          </w:p>
        </w:tc>
      </w:tr>
      <w:tr w:rsidR="005A34B8" w14:paraId="443FE22F" w14:textId="77777777" w:rsidTr="005A34B8">
        <w:tc>
          <w:tcPr>
            <w:tcW w:w="3686" w:type="dxa"/>
            <w:vAlign w:val="center"/>
            <w:hideMark/>
          </w:tcPr>
          <w:p w14:paraId="73132CD7" w14:textId="77777777" w:rsidR="005A34B8" w:rsidRPr="005A34B8" w:rsidRDefault="005A34B8" w:rsidP="00C67119">
            <w:pPr>
              <w:pStyle w:val="TableLeftHeading"/>
            </w:pPr>
            <w:r w:rsidRPr="005A34B8">
              <w:t>Financial assets</w:t>
            </w:r>
          </w:p>
        </w:tc>
        <w:tc>
          <w:tcPr>
            <w:tcW w:w="1168" w:type="dxa"/>
            <w:vAlign w:val="center"/>
            <w:hideMark/>
          </w:tcPr>
          <w:p w14:paraId="41AC1C7B" w14:textId="77777777" w:rsidR="005A34B8" w:rsidRPr="005A34B8" w:rsidRDefault="005A34B8" w:rsidP="00C67119">
            <w:pPr>
              <w:pStyle w:val="TableLeftHeading"/>
            </w:pPr>
          </w:p>
        </w:tc>
        <w:tc>
          <w:tcPr>
            <w:tcW w:w="1046" w:type="dxa"/>
            <w:vAlign w:val="center"/>
            <w:hideMark/>
          </w:tcPr>
          <w:p w14:paraId="02CD7593" w14:textId="77777777" w:rsidR="005A34B8" w:rsidRPr="005A34B8" w:rsidRDefault="005A34B8" w:rsidP="00C67119">
            <w:pPr>
              <w:pStyle w:val="TableLeftHeading"/>
            </w:pPr>
          </w:p>
        </w:tc>
        <w:tc>
          <w:tcPr>
            <w:tcW w:w="888" w:type="dxa"/>
            <w:vAlign w:val="center"/>
            <w:hideMark/>
          </w:tcPr>
          <w:p w14:paraId="1F24488B" w14:textId="77777777" w:rsidR="005A34B8" w:rsidRPr="005A34B8" w:rsidRDefault="005A34B8" w:rsidP="00C67119">
            <w:pPr>
              <w:pStyle w:val="TableLeftHeading"/>
            </w:pPr>
          </w:p>
        </w:tc>
        <w:tc>
          <w:tcPr>
            <w:tcW w:w="931" w:type="dxa"/>
            <w:vAlign w:val="center"/>
            <w:hideMark/>
          </w:tcPr>
          <w:p w14:paraId="4DFFC28E" w14:textId="77777777" w:rsidR="005A34B8" w:rsidRPr="005A34B8" w:rsidRDefault="005A34B8" w:rsidP="00C67119">
            <w:pPr>
              <w:pStyle w:val="TableLeftHeading"/>
            </w:pPr>
          </w:p>
        </w:tc>
        <w:tc>
          <w:tcPr>
            <w:tcW w:w="931" w:type="dxa"/>
            <w:vAlign w:val="center"/>
            <w:hideMark/>
          </w:tcPr>
          <w:p w14:paraId="67D7AC0F" w14:textId="77777777" w:rsidR="005A34B8" w:rsidRPr="005A34B8" w:rsidRDefault="005A34B8" w:rsidP="00C67119">
            <w:pPr>
              <w:pStyle w:val="TableLeftHeading"/>
            </w:pPr>
          </w:p>
        </w:tc>
        <w:tc>
          <w:tcPr>
            <w:tcW w:w="931" w:type="dxa"/>
            <w:vAlign w:val="center"/>
            <w:hideMark/>
          </w:tcPr>
          <w:p w14:paraId="57F0998F" w14:textId="77777777" w:rsidR="005A34B8" w:rsidRPr="005A34B8" w:rsidRDefault="005A34B8" w:rsidP="00C67119">
            <w:pPr>
              <w:pStyle w:val="TableLeftHeading"/>
            </w:pPr>
          </w:p>
        </w:tc>
      </w:tr>
      <w:tr w:rsidR="005A34B8" w14:paraId="5226011C" w14:textId="77777777" w:rsidTr="005A34B8">
        <w:tc>
          <w:tcPr>
            <w:tcW w:w="3686" w:type="dxa"/>
            <w:vAlign w:val="center"/>
            <w:hideMark/>
          </w:tcPr>
          <w:p w14:paraId="61D4F9BE" w14:textId="33E7F298" w:rsidR="005A34B8" w:rsidRPr="005A34B8" w:rsidRDefault="005A34B8">
            <w:pPr>
              <w:pStyle w:val="TableIndent"/>
            </w:pPr>
            <w:r w:rsidRPr="005A34B8">
              <w:t>Cash and deposits</w:t>
            </w:r>
            <w:r w:rsidR="00F01471" w:rsidRPr="00F01471">
              <w:rPr>
                <w:rStyle w:val="TableSuperscriptChar"/>
              </w:rPr>
              <w:t>2</w:t>
            </w:r>
          </w:p>
        </w:tc>
        <w:tc>
          <w:tcPr>
            <w:tcW w:w="1168" w:type="dxa"/>
            <w:hideMark/>
          </w:tcPr>
          <w:p w14:paraId="427DD19A" w14:textId="77777777" w:rsidR="005A34B8" w:rsidRPr="005A34B8" w:rsidRDefault="005A34B8">
            <w:pPr>
              <w:pStyle w:val="TableRight"/>
            </w:pPr>
            <w:r w:rsidRPr="005A34B8">
              <w:t xml:space="preserve"> 624.6 </w:t>
            </w:r>
          </w:p>
        </w:tc>
        <w:tc>
          <w:tcPr>
            <w:tcW w:w="1046" w:type="dxa"/>
            <w:hideMark/>
          </w:tcPr>
          <w:p w14:paraId="6FDEEA24" w14:textId="77777777" w:rsidR="005A34B8" w:rsidRPr="005A34B8" w:rsidRDefault="005A34B8">
            <w:pPr>
              <w:pStyle w:val="TableRight"/>
            </w:pPr>
            <w:r w:rsidRPr="005A34B8">
              <w:t xml:space="preserve"> 932.9 </w:t>
            </w:r>
          </w:p>
        </w:tc>
        <w:tc>
          <w:tcPr>
            <w:tcW w:w="888" w:type="dxa"/>
            <w:hideMark/>
          </w:tcPr>
          <w:p w14:paraId="55C9682E" w14:textId="77777777" w:rsidR="005A34B8" w:rsidRPr="005A34B8" w:rsidRDefault="005A34B8">
            <w:pPr>
              <w:pStyle w:val="TableRight"/>
            </w:pPr>
            <w:r w:rsidRPr="005A34B8">
              <w:t xml:space="preserve"> 937.6 </w:t>
            </w:r>
          </w:p>
        </w:tc>
        <w:tc>
          <w:tcPr>
            <w:tcW w:w="931" w:type="dxa"/>
            <w:hideMark/>
          </w:tcPr>
          <w:p w14:paraId="2AAE855A" w14:textId="77777777" w:rsidR="005A34B8" w:rsidRPr="005A34B8" w:rsidRDefault="005A34B8">
            <w:pPr>
              <w:pStyle w:val="TableRight"/>
            </w:pPr>
            <w:r w:rsidRPr="005A34B8">
              <w:t xml:space="preserve"> 891.2 </w:t>
            </w:r>
          </w:p>
        </w:tc>
        <w:tc>
          <w:tcPr>
            <w:tcW w:w="931" w:type="dxa"/>
            <w:hideMark/>
          </w:tcPr>
          <w:p w14:paraId="043EA2F8" w14:textId="77777777" w:rsidR="005A34B8" w:rsidRPr="005A34B8" w:rsidRDefault="005A34B8">
            <w:pPr>
              <w:pStyle w:val="TableRight"/>
            </w:pPr>
            <w:r w:rsidRPr="005A34B8">
              <w:t xml:space="preserve"> 916.9 </w:t>
            </w:r>
          </w:p>
        </w:tc>
        <w:tc>
          <w:tcPr>
            <w:tcW w:w="931" w:type="dxa"/>
            <w:hideMark/>
          </w:tcPr>
          <w:p w14:paraId="71FEAC54" w14:textId="77777777" w:rsidR="005A34B8" w:rsidRPr="005A34B8" w:rsidRDefault="005A34B8">
            <w:pPr>
              <w:pStyle w:val="TableRight"/>
            </w:pPr>
            <w:r w:rsidRPr="005A34B8">
              <w:t xml:space="preserve"> 887.9 </w:t>
            </w:r>
          </w:p>
        </w:tc>
      </w:tr>
      <w:tr w:rsidR="005A34B8" w14:paraId="2478D7BB" w14:textId="77777777" w:rsidTr="005A34B8">
        <w:tc>
          <w:tcPr>
            <w:tcW w:w="3686" w:type="dxa"/>
            <w:vAlign w:val="center"/>
            <w:hideMark/>
          </w:tcPr>
          <w:p w14:paraId="17056CE9" w14:textId="62BF0DCE" w:rsidR="005A34B8" w:rsidRPr="005A34B8" w:rsidRDefault="005A34B8">
            <w:pPr>
              <w:pStyle w:val="TableIndent"/>
            </w:pPr>
            <w:r w:rsidRPr="005A34B8">
              <w:t>Investments</w:t>
            </w:r>
          </w:p>
        </w:tc>
        <w:tc>
          <w:tcPr>
            <w:tcW w:w="1168" w:type="dxa"/>
            <w:hideMark/>
          </w:tcPr>
          <w:p w14:paraId="462FE309" w14:textId="77777777" w:rsidR="005A34B8" w:rsidRPr="005A34B8" w:rsidRDefault="005A34B8">
            <w:pPr>
              <w:pStyle w:val="TableRight"/>
            </w:pPr>
            <w:r w:rsidRPr="005A34B8">
              <w:t xml:space="preserve"> 867.2 </w:t>
            </w:r>
          </w:p>
        </w:tc>
        <w:tc>
          <w:tcPr>
            <w:tcW w:w="1046" w:type="dxa"/>
            <w:hideMark/>
          </w:tcPr>
          <w:p w14:paraId="3625B98B" w14:textId="77777777" w:rsidR="005A34B8" w:rsidRPr="005A34B8" w:rsidRDefault="005A34B8">
            <w:pPr>
              <w:pStyle w:val="TableRight"/>
            </w:pPr>
            <w:r w:rsidRPr="005A34B8">
              <w:t xml:space="preserve"> 852.3 </w:t>
            </w:r>
          </w:p>
        </w:tc>
        <w:tc>
          <w:tcPr>
            <w:tcW w:w="888" w:type="dxa"/>
            <w:hideMark/>
          </w:tcPr>
          <w:p w14:paraId="604BEB33" w14:textId="77777777" w:rsidR="005A34B8" w:rsidRPr="005A34B8" w:rsidRDefault="005A34B8">
            <w:pPr>
              <w:pStyle w:val="TableRight"/>
            </w:pPr>
            <w:r w:rsidRPr="005A34B8">
              <w:t xml:space="preserve"> 885.3 </w:t>
            </w:r>
          </w:p>
        </w:tc>
        <w:tc>
          <w:tcPr>
            <w:tcW w:w="931" w:type="dxa"/>
            <w:hideMark/>
          </w:tcPr>
          <w:p w14:paraId="5B8AFE55" w14:textId="77777777" w:rsidR="005A34B8" w:rsidRPr="005A34B8" w:rsidRDefault="005A34B8">
            <w:pPr>
              <w:pStyle w:val="TableRight"/>
            </w:pPr>
            <w:r w:rsidRPr="005A34B8">
              <w:t xml:space="preserve"> 843.1 </w:t>
            </w:r>
          </w:p>
        </w:tc>
        <w:tc>
          <w:tcPr>
            <w:tcW w:w="931" w:type="dxa"/>
            <w:hideMark/>
          </w:tcPr>
          <w:p w14:paraId="7E4BF7EA" w14:textId="77777777" w:rsidR="005A34B8" w:rsidRPr="005A34B8" w:rsidRDefault="005A34B8">
            <w:pPr>
              <w:pStyle w:val="TableRight"/>
            </w:pPr>
            <w:r w:rsidRPr="005A34B8">
              <w:t xml:space="preserve"> 843.1 </w:t>
            </w:r>
          </w:p>
        </w:tc>
        <w:tc>
          <w:tcPr>
            <w:tcW w:w="931" w:type="dxa"/>
            <w:hideMark/>
          </w:tcPr>
          <w:p w14:paraId="4372C192" w14:textId="77777777" w:rsidR="005A34B8" w:rsidRPr="005A34B8" w:rsidRDefault="005A34B8">
            <w:pPr>
              <w:pStyle w:val="TableRight"/>
            </w:pPr>
            <w:r w:rsidRPr="005A34B8">
              <w:t xml:space="preserve"> 847.0 </w:t>
            </w:r>
          </w:p>
        </w:tc>
      </w:tr>
      <w:tr w:rsidR="005A34B8" w14:paraId="6FAF9554" w14:textId="77777777" w:rsidTr="005A34B8">
        <w:tc>
          <w:tcPr>
            <w:tcW w:w="3686" w:type="dxa"/>
            <w:vAlign w:val="center"/>
            <w:hideMark/>
          </w:tcPr>
          <w:p w14:paraId="4AF8E4AB" w14:textId="3EBC2AD5" w:rsidR="005A34B8" w:rsidRPr="005A34B8" w:rsidRDefault="005A34B8">
            <w:pPr>
              <w:pStyle w:val="TableIndent"/>
            </w:pPr>
            <w:r w:rsidRPr="005A34B8">
              <w:t>Equity investment in PNFC and PFC sectors</w:t>
            </w:r>
            <w:r w:rsidR="00E4559C" w:rsidRPr="005F7211">
              <w:rPr>
                <w:rStyle w:val="TableSuperscriptChar"/>
              </w:rPr>
              <w:t>3</w:t>
            </w:r>
          </w:p>
        </w:tc>
        <w:tc>
          <w:tcPr>
            <w:tcW w:w="1168" w:type="dxa"/>
            <w:hideMark/>
          </w:tcPr>
          <w:p w14:paraId="496955C1" w14:textId="77777777" w:rsidR="005A34B8" w:rsidRPr="005A34B8" w:rsidRDefault="005A34B8">
            <w:pPr>
              <w:pStyle w:val="TableRight"/>
            </w:pPr>
            <w:r w:rsidRPr="005A34B8">
              <w:t>5 445.2 </w:t>
            </w:r>
          </w:p>
        </w:tc>
        <w:tc>
          <w:tcPr>
            <w:tcW w:w="1046" w:type="dxa"/>
            <w:hideMark/>
          </w:tcPr>
          <w:p w14:paraId="690B9A96" w14:textId="77777777" w:rsidR="005A34B8" w:rsidRPr="005A34B8" w:rsidRDefault="005A34B8">
            <w:pPr>
              <w:pStyle w:val="TableRight"/>
            </w:pPr>
            <w:r w:rsidRPr="005A34B8">
              <w:t>10 526.4 </w:t>
            </w:r>
          </w:p>
        </w:tc>
        <w:tc>
          <w:tcPr>
            <w:tcW w:w="888" w:type="dxa"/>
            <w:hideMark/>
          </w:tcPr>
          <w:p w14:paraId="7D3665A6" w14:textId="77777777" w:rsidR="005A34B8" w:rsidRPr="005A34B8" w:rsidRDefault="005A34B8">
            <w:pPr>
              <w:pStyle w:val="TableRight"/>
            </w:pPr>
            <w:r w:rsidRPr="005A34B8">
              <w:t>11 013.6 </w:t>
            </w:r>
          </w:p>
        </w:tc>
        <w:tc>
          <w:tcPr>
            <w:tcW w:w="931" w:type="dxa"/>
            <w:hideMark/>
          </w:tcPr>
          <w:p w14:paraId="2AE6867F" w14:textId="77777777" w:rsidR="005A34B8" w:rsidRPr="005A34B8" w:rsidRDefault="005A34B8">
            <w:pPr>
              <w:pStyle w:val="TableRight"/>
            </w:pPr>
            <w:r w:rsidRPr="005A34B8">
              <w:t>11 523.1 </w:t>
            </w:r>
          </w:p>
        </w:tc>
        <w:tc>
          <w:tcPr>
            <w:tcW w:w="931" w:type="dxa"/>
            <w:hideMark/>
          </w:tcPr>
          <w:p w14:paraId="68C26CE8" w14:textId="77777777" w:rsidR="005A34B8" w:rsidRPr="005A34B8" w:rsidRDefault="005A34B8">
            <w:pPr>
              <w:pStyle w:val="TableRight"/>
            </w:pPr>
            <w:r w:rsidRPr="005A34B8">
              <w:t>11 930.1 </w:t>
            </w:r>
          </w:p>
        </w:tc>
        <w:tc>
          <w:tcPr>
            <w:tcW w:w="931" w:type="dxa"/>
            <w:hideMark/>
          </w:tcPr>
          <w:p w14:paraId="05D8F805" w14:textId="77777777" w:rsidR="005A34B8" w:rsidRPr="005A34B8" w:rsidRDefault="005A34B8">
            <w:pPr>
              <w:pStyle w:val="TableRight"/>
            </w:pPr>
            <w:r w:rsidRPr="005A34B8">
              <w:t>12 545.6 </w:t>
            </w:r>
          </w:p>
        </w:tc>
      </w:tr>
      <w:tr w:rsidR="005A34B8" w14:paraId="0BABEF81" w14:textId="77777777" w:rsidTr="005A34B8">
        <w:tc>
          <w:tcPr>
            <w:tcW w:w="3686" w:type="dxa"/>
            <w:vAlign w:val="center"/>
            <w:hideMark/>
          </w:tcPr>
          <w:p w14:paraId="3E00BC97" w14:textId="338476FE" w:rsidR="005A34B8" w:rsidRPr="005A34B8" w:rsidRDefault="005A34B8">
            <w:pPr>
              <w:pStyle w:val="TableIndent"/>
            </w:pPr>
            <w:r w:rsidRPr="005A34B8">
              <w:t>Other equity investments</w:t>
            </w:r>
          </w:p>
        </w:tc>
        <w:tc>
          <w:tcPr>
            <w:tcW w:w="1168" w:type="dxa"/>
            <w:hideMark/>
          </w:tcPr>
          <w:p w14:paraId="3D4FB71C" w14:textId="77777777" w:rsidR="005A34B8" w:rsidRPr="005A34B8" w:rsidRDefault="005A34B8">
            <w:pPr>
              <w:pStyle w:val="TableRight"/>
            </w:pPr>
            <w:r w:rsidRPr="005A34B8">
              <w:t xml:space="preserve"> 201.4 </w:t>
            </w:r>
          </w:p>
        </w:tc>
        <w:tc>
          <w:tcPr>
            <w:tcW w:w="1046" w:type="dxa"/>
            <w:hideMark/>
          </w:tcPr>
          <w:p w14:paraId="3630873D" w14:textId="77777777" w:rsidR="005A34B8" w:rsidRPr="005A34B8" w:rsidRDefault="005A34B8">
            <w:pPr>
              <w:pStyle w:val="TableRight"/>
            </w:pPr>
            <w:r w:rsidRPr="005A34B8">
              <w:t xml:space="preserve"> 139.9 </w:t>
            </w:r>
          </w:p>
        </w:tc>
        <w:tc>
          <w:tcPr>
            <w:tcW w:w="888" w:type="dxa"/>
            <w:hideMark/>
          </w:tcPr>
          <w:p w14:paraId="7EC0EF5F" w14:textId="77777777" w:rsidR="005A34B8" w:rsidRPr="005A34B8" w:rsidRDefault="005A34B8">
            <w:pPr>
              <w:pStyle w:val="TableRight"/>
            </w:pPr>
            <w:r w:rsidRPr="005A34B8">
              <w:t xml:space="preserve"> 189.9 </w:t>
            </w:r>
          </w:p>
        </w:tc>
        <w:tc>
          <w:tcPr>
            <w:tcW w:w="931" w:type="dxa"/>
            <w:hideMark/>
          </w:tcPr>
          <w:p w14:paraId="4AAC02E7" w14:textId="77777777" w:rsidR="005A34B8" w:rsidRPr="005A34B8" w:rsidRDefault="005A34B8">
            <w:pPr>
              <w:pStyle w:val="TableRight"/>
            </w:pPr>
            <w:r w:rsidRPr="005A34B8">
              <w:t xml:space="preserve"> 190.0 </w:t>
            </w:r>
          </w:p>
        </w:tc>
        <w:tc>
          <w:tcPr>
            <w:tcW w:w="931" w:type="dxa"/>
            <w:hideMark/>
          </w:tcPr>
          <w:p w14:paraId="43F82744" w14:textId="77777777" w:rsidR="005A34B8" w:rsidRPr="005A34B8" w:rsidRDefault="005A34B8">
            <w:pPr>
              <w:pStyle w:val="TableRight"/>
            </w:pPr>
            <w:r w:rsidRPr="005A34B8">
              <w:t xml:space="preserve"> 190.0 </w:t>
            </w:r>
          </w:p>
        </w:tc>
        <w:tc>
          <w:tcPr>
            <w:tcW w:w="931" w:type="dxa"/>
            <w:hideMark/>
          </w:tcPr>
          <w:p w14:paraId="22074342" w14:textId="77777777" w:rsidR="005A34B8" w:rsidRPr="005A34B8" w:rsidRDefault="005A34B8">
            <w:pPr>
              <w:pStyle w:val="TableRight"/>
            </w:pPr>
            <w:r w:rsidRPr="005A34B8">
              <w:t xml:space="preserve"> 190.0 </w:t>
            </w:r>
          </w:p>
        </w:tc>
      </w:tr>
      <w:tr w:rsidR="005A34B8" w14:paraId="1DC90C6C" w14:textId="77777777" w:rsidTr="005A34B8">
        <w:tc>
          <w:tcPr>
            <w:tcW w:w="3686" w:type="dxa"/>
            <w:vAlign w:val="center"/>
            <w:hideMark/>
          </w:tcPr>
          <w:p w14:paraId="5E0FE800" w14:textId="77777777" w:rsidR="005A34B8" w:rsidRPr="005A34B8" w:rsidRDefault="005A34B8">
            <w:pPr>
              <w:pStyle w:val="TableIndent"/>
            </w:pPr>
            <w:r w:rsidRPr="005A34B8">
              <w:t>Receivables</w:t>
            </w:r>
          </w:p>
        </w:tc>
        <w:tc>
          <w:tcPr>
            <w:tcW w:w="1168" w:type="dxa"/>
            <w:hideMark/>
          </w:tcPr>
          <w:p w14:paraId="2344346C" w14:textId="77777777" w:rsidR="005A34B8" w:rsidRPr="005A34B8" w:rsidRDefault="005A34B8">
            <w:pPr>
              <w:pStyle w:val="TableRight"/>
            </w:pPr>
            <w:r w:rsidRPr="005A34B8">
              <w:t xml:space="preserve"> 407.3 </w:t>
            </w:r>
          </w:p>
        </w:tc>
        <w:tc>
          <w:tcPr>
            <w:tcW w:w="1046" w:type="dxa"/>
            <w:hideMark/>
          </w:tcPr>
          <w:p w14:paraId="0A9BE6B5" w14:textId="77777777" w:rsidR="005A34B8" w:rsidRPr="005A34B8" w:rsidRDefault="005A34B8">
            <w:pPr>
              <w:pStyle w:val="TableRight"/>
            </w:pPr>
            <w:r w:rsidRPr="005A34B8">
              <w:t xml:space="preserve"> 380.3 </w:t>
            </w:r>
          </w:p>
        </w:tc>
        <w:tc>
          <w:tcPr>
            <w:tcW w:w="888" w:type="dxa"/>
            <w:hideMark/>
          </w:tcPr>
          <w:p w14:paraId="19EE6E92" w14:textId="77777777" w:rsidR="005A34B8" w:rsidRPr="005A34B8" w:rsidRDefault="005A34B8">
            <w:pPr>
              <w:pStyle w:val="TableRight"/>
            </w:pPr>
            <w:r w:rsidRPr="005A34B8">
              <w:t xml:space="preserve"> 381.7 </w:t>
            </w:r>
          </w:p>
        </w:tc>
        <w:tc>
          <w:tcPr>
            <w:tcW w:w="931" w:type="dxa"/>
            <w:hideMark/>
          </w:tcPr>
          <w:p w14:paraId="6B148F15" w14:textId="77777777" w:rsidR="005A34B8" w:rsidRPr="005A34B8" w:rsidRDefault="005A34B8">
            <w:pPr>
              <w:pStyle w:val="TableRight"/>
            </w:pPr>
            <w:r w:rsidRPr="005A34B8">
              <w:t xml:space="preserve"> 380.0 </w:t>
            </w:r>
          </w:p>
        </w:tc>
        <w:tc>
          <w:tcPr>
            <w:tcW w:w="931" w:type="dxa"/>
            <w:hideMark/>
          </w:tcPr>
          <w:p w14:paraId="0EC213BD" w14:textId="77777777" w:rsidR="005A34B8" w:rsidRPr="005A34B8" w:rsidRDefault="005A34B8">
            <w:pPr>
              <w:pStyle w:val="TableRight"/>
            </w:pPr>
            <w:r w:rsidRPr="005A34B8">
              <w:t xml:space="preserve"> 382.4 </w:t>
            </w:r>
          </w:p>
        </w:tc>
        <w:tc>
          <w:tcPr>
            <w:tcW w:w="931" w:type="dxa"/>
            <w:hideMark/>
          </w:tcPr>
          <w:p w14:paraId="467BFDEB" w14:textId="77777777" w:rsidR="005A34B8" w:rsidRPr="005A34B8" w:rsidRDefault="005A34B8">
            <w:pPr>
              <w:pStyle w:val="TableRight"/>
            </w:pPr>
            <w:r w:rsidRPr="005A34B8">
              <w:t xml:space="preserve"> 381.8 </w:t>
            </w:r>
          </w:p>
        </w:tc>
      </w:tr>
      <w:tr w:rsidR="005A34B8" w14:paraId="5805FF81" w14:textId="77777777" w:rsidTr="005A34B8">
        <w:tc>
          <w:tcPr>
            <w:tcW w:w="3686" w:type="dxa"/>
            <w:vAlign w:val="center"/>
            <w:hideMark/>
          </w:tcPr>
          <w:p w14:paraId="44EE3BDD" w14:textId="77777777" w:rsidR="005A34B8" w:rsidRPr="005A34B8" w:rsidRDefault="005A34B8">
            <w:pPr>
              <w:pStyle w:val="TableIndent"/>
            </w:pPr>
            <w:r w:rsidRPr="005A34B8">
              <w:t>Other financial assets</w:t>
            </w:r>
          </w:p>
        </w:tc>
        <w:tc>
          <w:tcPr>
            <w:tcW w:w="1168" w:type="dxa"/>
            <w:tcBorders>
              <w:top w:val="nil"/>
              <w:left w:val="nil"/>
              <w:bottom w:val="single" w:sz="6" w:space="0" w:color="auto"/>
              <w:right w:val="nil"/>
            </w:tcBorders>
            <w:hideMark/>
          </w:tcPr>
          <w:p w14:paraId="027B62B5" w14:textId="77777777" w:rsidR="005A34B8" w:rsidRPr="005A34B8" w:rsidRDefault="005A34B8">
            <w:pPr>
              <w:pStyle w:val="TableRight"/>
            </w:pPr>
            <w:r w:rsidRPr="005A34B8">
              <w:t xml:space="preserve"> 596.5 </w:t>
            </w:r>
          </w:p>
        </w:tc>
        <w:tc>
          <w:tcPr>
            <w:tcW w:w="1046" w:type="dxa"/>
            <w:tcBorders>
              <w:top w:val="nil"/>
              <w:left w:val="nil"/>
              <w:bottom w:val="single" w:sz="6" w:space="0" w:color="auto"/>
              <w:right w:val="nil"/>
            </w:tcBorders>
            <w:hideMark/>
          </w:tcPr>
          <w:p w14:paraId="52866FED" w14:textId="77777777" w:rsidR="005A34B8" w:rsidRPr="005A34B8" w:rsidRDefault="005A34B8">
            <w:pPr>
              <w:pStyle w:val="TableRight"/>
            </w:pPr>
            <w:r w:rsidRPr="005A34B8">
              <w:t xml:space="preserve"> 677.9 </w:t>
            </w:r>
          </w:p>
        </w:tc>
        <w:tc>
          <w:tcPr>
            <w:tcW w:w="888" w:type="dxa"/>
            <w:tcBorders>
              <w:top w:val="nil"/>
              <w:left w:val="nil"/>
              <w:bottom w:val="single" w:sz="6" w:space="0" w:color="auto"/>
              <w:right w:val="nil"/>
            </w:tcBorders>
            <w:hideMark/>
          </w:tcPr>
          <w:p w14:paraId="0A80BD75" w14:textId="77777777" w:rsidR="005A34B8" w:rsidRPr="005A34B8" w:rsidRDefault="005A34B8">
            <w:pPr>
              <w:pStyle w:val="TableRight"/>
            </w:pPr>
            <w:r w:rsidRPr="005A34B8">
              <w:t xml:space="preserve"> 640.1 </w:t>
            </w:r>
          </w:p>
        </w:tc>
        <w:tc>
          <w:tcPr>
            <w:tcW w:w="931" w:type="dxa"/>
            <w:tcBorders>
              <w:top w:val="nil"/>
              <w:left w:val="nil"/>
              <w:bottom w:val="single" w:sz="6" w:space="0" w:color="auto"/>
              <w:right w:val="nil"/>
            </w:tcBorders>
            <w:hideMark/>
          </w:tcPr>
          <w:p w14:paraId="07F0DA45" w14:textId="77777777" w:rsidR="005A34B8" w:rsidRPr="005A34B8" w:rsidRDefault="005A34B8">
            <w:pPr>
              <w:pStyle w:val="TableRight"/>
            </w:pPr>
            <w:r w:rsidRPr="005A34B8">
              <w:t xml:space="preserve"> 602.8 </w:t>
            </w:r>
          </w:p>
        </w:tc>
        <w:tc>
          <w:tcPr>
            <w:tcW w:w="931" w:type="dxa"/>
            <w:tcBorders>
              <w:top w:val="nil"/>
              <w:left w:val="nil"/>
              <w:bottom w:val="single" w:sz="6" w:space="0" w:color="auto"/>
              <w:right w:val="nil"/>
            </w:tcBorders>
            <w:hideMark/>
          </w:tcPr>
          <w:p w14:paraId="3DF23559" w14:textId="77777777" w:rsidR="005A34B8" w:rsidRPr="005A34B8" w:rsidRDefault="005A34B8">
            <w:pPr>
              <w:pStyle w:val="TableRight"/>
            </w:pPr>
            <w:r w:rsidRPr="005A34B8">
              <w:t xml:space="preserve"> 568.7 </w:t>
            </w:r>
          </w:p>
        </w:tc>
        <w:tc>
          <w:tcPr>
            <w:tcW w:w="931" w:type="dxa"/>
            <w:tcBorders>
              <w:top w:val="nil"/>
              <w:left w:val="nil"/>
              <w:bottom w:val="single" w:sz="6" w:space="0" w:color="auto"/>
              <w:right w:val="nil"/>
            </w:tcBorders>
            <w:hideMark/>
          </w:tcPr>
          <w:p w14:paraId="0FF57E96" w14:textId="77777777" w:rsidR="005A34B8" w:rsidRPr="005A34B8" w:rsidRDefault="005A34B8">
            <w:pPr>
              <w:pStyle w:val="TableRight"/>
            </w:pPr>
            <w:r w:rsidRPr="005A34B8">
              <w:t xml:space="preserve"> 543.1 </w:t>
            </w:r>
          </w:p>
        </w:tc>
      </w:tr>
      <w:tr w:rsidR="005A34B8" w14:paraId="1923018B" w14:textId="77777777" w:rsidTr="005A34B8">
        <w:tc>
          <w:tcPr>
            <w:tcW w:w="3686" w:type="dxa"/>
            <w:vAlign w:val="center"/>
            <w:hideMark/>
          </w:tcPr>
          <w:p w14:paraId="7927EED9" w14:textId="77777777" w:rsidR="005A34B8" w:rsidRPr="005A34B8" w:rsidRDefault="005A34B8" w:rsidP="00C67119">
            <w:pPr>
              <w:pStyle w:val="TableRightHeading"/>
            </w:pPr>
          </w:p>
        </w:tc>
        <w:tc>
          <w:tcPr>
            <w:tcW w:w="1168" w:type="dxa"/>
            <w:tcBorders>
              <w:top w:val="single" w:sz="6" w:space="0" w:color="auto"/>
              <w:left w:val="nil"/>
              <w:bottom w:val="nil"/>
              <w:right w:val="nil"/>
            </w:tcBorders>
            <w:hideMark/>
          </w:tcPr>
          <w:p w14:paraId="0C02E5C2" w14:textId="77777777" w:rsidR="005A34B8" w:rsidRPr="005A34B8" w:rsidRDefault="005A34B8" w:rsidP="00C67119">
            <w:pPr>
              <w:pStyle w:val="TableRightHeading"/>
            </w:pPr>
            <w:r w:rsidRPr="005A34B8">
              <w:t>8 142.2 </w:t>
            </w:r>
          </w:p>
        </w:tc>
        <w:tc>
          <w:tcPr>
            <w:tcW w:w="1046" w:type="dxa"/>
            <w:tcBorders>
              <w:top w:val="single" w:sz="6" w:space="0" w:color="auto"/>
              <w:left w:val="nil"/>
              <w:bottom w:val="nil"/>
              <w:right w:val="nil"/>
            </w:tcBorders>
            <w:hideMark/>
          </w:tcPr>
          <w:p w14:paraId="6634FEBE" w14:textId="77777777" w:rsidR="005A34B8" w:rsidRPr="005A34B8" w:rsidRDefault="005A34B8" w:rsidP="00C67119">
            <w:pPr>
              <w:pStyle w:val="TableRightHeading"/>
            </w:pPr>
            <w:r w:rsidRPr="005A34B8">
              <w:t>13 509.7 </w:t>
            </w:r>
          </w:p>
        </w:tc>
        <w:tc>
          <w:tcPr>
            <w:tcW w:w="888" w:type="dxa"/>
            <w:tcBorders>
              <w:top w:val="single" w:sz="6" w:space="0" w:color="auto"/>
              <w:left w:val="nil"/>
              <w:bottom w:val="nil"/>
              <w:right w:val="nil"/>
            </w:tcBorders>
            <w:hideMark/>
          </w:tcPr>
          <w:p w14:paraId="1A1DB2DD" w14:textId="77777777" w:rsidR="005A34B8" w:rsidRPr="005A34B8" w:rsidRDefault="005A34B8" w:rsidP="00C67119">
            <w:pPr>
              <w:pStyle w:val="TableRightHeading"/>
            </w:pPr>
            <w:r w:rsidRPr="005A34B8">
              <w:t>14 048.4 </w:t>
            </w:r>
          </w:p>
        </w:tc>
        <w:tc>
          <w:tcPr>
            <w:tcW w:w="931" w:type="dxa"/>
            <w:tcBorders>
              <w:top w:val="single" w:sz="6" w:space="0" w:color="auto"/>
              <w:left w:val="nil"/>
              <w:bottom w:val="nil"/>
              <w:right w:val="nil"/>
            </w:tcBorders>
            <w:hideMark/>
          </w:tcPr>
          <w:p w14:paraId="00639B16" w14:textId="77777777" w:rsidR="005A34B8" w:rsidRPr="005A34B8" w:rsidRDefault="005A34B8" w:rsidP="00C67119">
            <w:pPr>
              <w:pStyle w:val="TableRightHeading"/>
            </w:pPr>
            <w:r w:rsidRPr="005A34B8">
              <w:t>14 430.2 </w:t>
            </w:r>
          </w:p>
        </w:tc>
        <w:tc>
          <w:tcPr>
            <w:tcW w:w="931" w:type="dxa"/>
            <w:tcBorders>
              <w:top w:val="single" w:sz="6" w:space="0" w:color="auto"/>
              <w:left w:val="nil"/>
              <w:bottom w:val="nil"/>
              <w:right w:val="nil"/>
            </w:tcBorders>
            <w:hideMark/>
          </w:tcPr>
          <w:p w14:paraId="08414375" w14:textId="77777777" w:rsidR="005A34B8" w:rsidRPr="005A34B8" w:rsidRDefault="005A34B8" w:rsidP="00C67119">
            <w:pPr>
              <w:pStyle w:val="TableRightHeading"/>
            </w:pPr>
            <w:r w:rsidRPr="005A34B8">
              <w:t>14 831.3 </w:t>
            </w:r>
          </w:p>
        </w:tc>
        <w:tc>
          <w:tcPr>
            <w:tcW w:w="931" w:type="dxa"/>
            <w:tcBorders>
              <w:top w:val="single" w:sz="6" w:space="0" w:color="auto"/>
              <w:left w:val="nil"/>
              <w:bottom w:val="nil"/>
              <w:right w:val="nil"/>
            </w:tcBorders>
            <w:hideMark/>
          </w:tcPr>
          <w:p w14:paraId="4AC59647" w14:textId="77777777" w:rsidR="005A34B8" w:rsidRPr="005A34B8" w:rsidRDefault="005A34B8" w:rsidP="00C67119">
            <w:pPr>
              <w:pStyle w:val="TableRightHeading"/>
            </w:pPr>
            <w:r w:rsidRPr="005A34B8">
              <w:t>15 395.4 </w:t>
            </w:r>
          </w:p>
        </w:tc>
      </w:tr>
      <w:tr w:rsidR="005A34B8" w14:paraId="502721C4" w14:textId="77777777" w:rsidTr="005A34B8">
        <w:tc>
          <w:tcPr>
            <w:tcW w:w="3686" w:type="dxa"/>
            <w:vAlign w:val="center"/>
            <w:hideMark/>
          </w:tcPr>
          <w:p w14:paraId="6EFF014B" w14:textId="77777777" w:rsidR="005A34B8" w:rsidRPr="005A34B8" w:rsidRDefault="005A34B8" w:rsidP="00C67119">
            <w:pPr>
              <w:pStyle w:val="TableLeftHeading"/>
            </w:pPr>
          </w:p>
        </w:tc>
        <w:tc>
          <w:tcPr>
            <w:tcW w:w="1168" w:type="dxa"/>
            <w:hideMark/>
          </w:tcPr>
          <w:p w14:paraId="47E1853E" w14:textId="77777777" w:rsidR="005A34B8" w:rsidRPr="005A34B8" w:rsidRDefault="005A34B8" w:rsidP="00C67119">
            <w:pPr>
              <w:pStyle w:val="TableLeftHeading"/>
            </w:pPr>
          </w:p>
        </w:tc>
        <w:tc>
          <w:tcPr>
            <w:tcW w:w="1046" w:type="dxa"/>
          </w:tcPr>
          <w:p w14:paraId="31C1840D" w14:textId="77777777" w:rsidR="005A34B8" w:rsidRPr="005A34B8" w:rsidRDefault="005A34B8" w:rsidP="00C67119">
            <w:pPr>
              <w:pStyle w:val="TableLeftHeading"/>
            </w:pPr>
          </w:p>
        </w:tc>
        <w:tc>
          <w:tcPr>
            <w:tcW w:w="888" w:type="dxa"/>
          </w:tcPr>
          <w:p w14:paraId="67F3A91B" w14:textId="77777777" w:rsidR="005A34B8" w:rsidRPr="005A34B8" w:rsidRDefault="005A34B8" w:rsidP="00C67119">
            <w:pPr>
              <w:pStyle w:val="TableLeftHeading"/>
            </w:pPr>
          </w:p>
        </w:tc>
        <w:tc>
          <w:tcPr>
            <w:tcW w:w="931" w:type="dxa"/>
          </w:tcPr>
          <w:p w14:paraId="09AB6E78" w14:textId="77777777" w:rsidR="005A34B8" w:rsidRPr="005A34B8" w:rsidRDefault="005A34B8" w:rsidP="00C67119">
            <w:pPr>
              <w:pStyle w:val="TableLeftHeading"/>
            </w:pPr>
          </w:p>
        </w:tc>
        <w:tc>
          <w:tcPr>
            <w:tcW w:w="931" w:type="dxa"/>
          </w:tcPr>
          <w:p w14:paraId="10B99629" w14:textId="77777777" w:rsidR="005A34B8" w:rsidRPr="005A34B8" w:rsidRDefault="005A34B8" w:rsidP="00C67119">
            <w:pPr>
              <w:pStyle w:val="TableLeftHeading"/>
            </w:pPr>
          </w:p>
        </w:tc>
        <w:tc>
          <w:tcPr>
            <w:tcW w:w="931" w:type="dxa"/>
          </w:tcPr>
          <w:p w14:paraId="3AC26EF3" w14:textId="77777777" w:rsidR="005A34B8" w:rsidRPr="005A34B8" w:rsidRDefault="005A34B8" w:rsidP="00C67119">
            <w:pPr>
              <w:pStyle w:val="TableLeftHeading"/>
            </w:pPr>
          </w:p>
        </w:tc>
      </w:tr>
      <w:tr w:rsidR="005A34B8" w14:paraId="583DE4FF" w14:textId="77777777" w:rsidTr="005A34B8">
        <w:tc>
          <w:tcPr>
            <w:tcW w:w="3686" w:type="dxa"/>
            <w:vAlign w:val="center"/>
            <w:hideMark/>
          </w:tcPr>
          <w:p w14:paraId="08472C9B" w14:textId="77777777" w:rsidR="005A34B8" w:rsidRPr="005A34B8" w:rsidRDefault="005A34B8" w:rsidP="00C044AD">
            <w:pPr>
              <w:pStyle w:val="TableLeftHeading"/>
            </w:pPr>
            <w:r w:rsidRPr="005A34B8">
              <w:t>Non-financial assets</w:t>
            </w:r>
          </w:p>
        </w:tc>
        <w:tc>
          <w:tcPr>
            <w:tcW w:w="1168" w:type="dxa"/>
            <w:hideMark/>
          </w:tcPr>
          <w:p w14:paraId="2D86E5F7" w14:textId="77777777" w:rsidR="005A34B8" w:rsidRPr="005A34B8" w:rsidRDefault="005A34B8" w:rsidP="00C67119">
            <w:pPr>
              <w:pStyle w:val="TableLeftHeading"/>
            </w:pPr>
          </w:p>
        </w:tc>
        <w:tc>
          <w:tcPr>
            <w:tcW w:w="1046" w:type="dxa"/>
          </w:tcPr>
          <w:p w14:paraId="2B30FC4A" w14:textId="77777777" w:rsidR="005A34B8" w:rsidRPr="005A34B8" w:rsidRDefault="005A34B8" w:rsidP="00C67119">
            <w:pPr>
              <w:pStyle w:val="TableLeftHeading"/>
            </w:pPr>
          </w:p>
        </w:tc>
        <w:tc>
          <w:tcPr>
            <w:tcW w:w="888" w:type="dxa"/>
          </w:tcPr>
          <w:p w14:paraId="114B6845" w14:textId="77777777" w:rsidR="005A34B8" w:rsidRPr="005A34B8" w:rsidRDefault="005A34B8" w:rsidP="00C67119">
            <w:pPr>
              <w:pStyle w:val="TableLeftHeading"/>
            </w:pPr>
          </w:p>
        </w:tc>
        <w:tc>
          <w:tcPr>
            <w:tcW w:w="931" w:type="dxa"/>
          </w:tcPr>
          <w:p w14:paraId="14EBDA30" w14:textId="77777777" w:rsidR="005A34B8" w:rsidRPr="005A34B8" w:rsidRDefault="005A34B8" w:rsidP="00C67119">
            <w:pPr>
              <w:pStyle w:val="TableLeftHeading"/>
            </w:pPr>
          </w:p>
        </w:tc>
        <w:tc>
          <w:tcPr>
            <w:tcW w:w="931" w:type="dxa"/>
          </w:tcPr>
          <w:p w14:paraId="371E22FA" w14:textId="77777777" w:rsidR="005A34B8" w:rsidRPr="005A34B8" w:rsidRDefault="005A34B8" w:rsidP="00C67119">
            <w:pPr>
              <w:pStyle w:val="TableLeftHeading"/>
            </w:pPr>
          </w:p>
        </w:tc>
        <w:tc>
          <w:tcPr>
            <w:tcW w:w="931" w:type="dxa"/>
          </w:tcPr>
          <w:p w14:paraId="1A30ABDC" w14:textId="77777777" w:rsidR="005A34B8" w:rsidRPr="005A34B8" w:rsidRDefault="005A34B8" w:rsidP="00C67119">
            <w:pPr>
              <w:pStyle w:val="TableLeftHeading"/>
            </w:pPr>
          </w:p>
        </w:tc>
      </w:tr>
      <w:tr w:rsidR="005A34B8" w14:paraId="4E66C53C" w14:textId="77777777" w:rsidTr="005A34B8">
        <w:tc>
          <w:tcPr>
            <w:tcW w:w="3686" w:type="dxa"/>
            <w:vAlign w:val="center"/>
            <w:hideMark/>
          </w:tcPr>
          <w:p w14:paraId="5986EED1" w14:textId="7BD5B4ED" w:rsidR="005A34B8" w:rsidRPr="005A34B8" w:rsidRDefault="005A34B8">
            <w:pPr>
              <w:pStyle w:val="TableIndent"/>
            </w:pPr>
            <w:r w:rsidRPr="005A34B8">
              <w:t>Land and buildings</w:t>
            </w:r>
          </w:p>
        </w:tc>
        <w:tc>
          <w:tcPr>
            <w:tcW w:w="1168" w:type="dxa"/>
            <w:hideMark/>
          </w:tcPr>
          <w:p w14:paraId="28849C26" w14:textId="77777777" w:rsidR="005A34B8" w:rsidRPr="005A34B8" w:rsidRDefault="005A34B8">
            <w:pPr>
              <w:pStyle w:val="TableRight"/>
            </w:pPr>
            <w:r w:rsidRPr="005A34B8">
              <w:t>8 205.7 </w:t>
            </w:r>
          </w:p>
        </w:tc>
        <w:tc>
          <w:tcPr>
            <w:tcW w:w="1046" w:type="dxa"/>
            <w:hideMark/>
          </w:tcPr>
          <w:p w14:paraId="02671794" w14:textId="77777777" w:rsidR="005A34B8" w:rsidRPr="005A34B8" w:rsidRDefault="005A34B8">
            <w:pPr>
              <w:pStyle w:val="TableRight"/>
            </w:pPr>
            <w:r w:rsidRPr="005A34B8">
              <w:t>6 790.0 </w:t>
            </w:r>
          </w:p>
        </w:tc>
        <w:tc>
          <w:tcPr>
            <w:tcW w:w="888" w:type="dxa"/>
            <w:hideMark/>
          </w:tcPr>
          <w:p w14:paraId="48003DF7" w14:textId="77777777" w:rsidR="005A34B8" w:rsidRPr="005A34B8" w:rsidRDefault="005A34B8">
            <w:pPr>
              <w:pStyle w:val="TableRight"/>
            </w:pPr>
            <w:r w:rsidRPr="005A34B8">
              <w:t>7 022.7 </w:t>
            </w:r>
          </w:p>
        </w:tc>
        <w:tc>
          <w:tcPr>
            <w:tcW w:w="931" w:type="dxa"/>
            <w:hideMark/>
          </w:tcPr>
          <w:p w14:paraId="4C560539" w14:textId="77777777" w:rsidR="005A34B8" w:rsidRPr="005A34B8" w:rsidRDefault="005A34B8">
            <w:pPr>
              <w:pStyle w:val="TableRight"/>
            </w:pPr>
            <w:r w:rsidRPr="005A34B8">
              <w:t>7 296.9 </w:t>
            </w:r>
          </w:p>
        </w:tc>
        <w:tc>
          <w:tcPr>
            <w:tcW w:w="931" w:type="dxa"/>
            <w:hideMark/>
          </w:tcPr>
          <w:p w14:paraId="1B133A0B" w14:textId="77777777" w:rsidR="005A34B8" w:rsidRPr="005A34B8" w:rsidRDefault="005A34B8">
            <w:pPr>
              <w:pStyle w:val="TableRight"/>
            </w:pPr>
            <w:r w:rsidRPr="005A34B8">
              <w:t>7 510.7 </w:t>
            </w:r>
          </w:p>
        </w:tc>
        <w:tc>
          <w:tcPr>
            <w:tcW w:w="931" w:type="dxa"/>
            <w:hideMark/>
          </w:tcPr>
          <w:p w14:paraId="4BA685C5" w14:textId="77777777" w:rsidR="005A34B8" w:rsidRPr="005A34B8" w:rsidRDefault="005A34B8">
            <w:pPr>
              <w:pStyle w:val="TableRight"/>
            </w:pPr>
            <w:r w:rsidRPr="005A34B8">
              <w:t>7 610.9 </w:t>
            </w:r>
          </w:p>
        </w:tc>
      </w:tr>
      <w:tr w:rsidR="005A34B8" w14:paraId="45CD51E8" w14:textId="77777777" w:rsidTr="005A34B8">
        <w:tc>
          <w:tcPr>
            <w:tcW w:w="3686" w:type="dxa"/>
            <w:vAlign w:val="center"/>
            <w:hideMark/>
          </w:tcPr>
          <w:p w14:paraId="57A97380" w14:textId="18DCB06B" w:rsidR="005A34B8" w:rsidRPr="005A34B8" w:rsidRDefault="00E4559C">
            <w:pPr>
              <w:pStyle w:val="TableIndent"/>
            </w:pPr>
            <w:r w:rsidRPr="005A34B8">
              <w:t>Infrastructure</w:t>
            </w:r>
            <w:r>
              <w:rPr>
                <w:rStyle w:val="TableSuperscriptChar"/>
              </w:rPr>
              <w:t>4</w:t>
            </w:r>
          </w:p>
        </w:tc>
        <w:tc>
          <w:tcPr>
            <w:tcW w:w="1168" w:type="dxa"/>
            <w:hideMark/>
          </w:tcPr>
          <w:p w14:paraId="1AC0D423" w14:textId="77777777" w:rsidR="005A34B8" w:rsidRPr="005A34B8" w:rsidRDefault="005A34B8">
            <w:pPr>
              <w:pStyle w:val="TableRight"/>
            </w:pPr>
            <w:r w:rsidRPr="005A34B8">
              <w:t>6 938.9 </w:t>
            </w:r>
          </w:p>
        </w:tc>
        <w:tc>
          <w:tcPr>
            <w:tcW w:w="1046" w:type="dxa"/>
            <w:hideMark/>
          </w:tcPr>
          <w:p w14:paraId="729705FF" w14:textId="77777777" w:rsidR="005A34B8" w:rsidRPr="005A34B8" w:rsidRDefault="005A34B8">
            <w:pPr>
              <w:pStyle w:val="TableRight"/>
            </w:pPr>
            <w:r w:rsidRPr="005A34B8">
              <w:t>6 846.2 </w:t>
            </w:r>
          </w:p>
        </w:tc>
        <w:tc>
          <w:tcPr>
            <w:tcW w:w="888" w:type="dxa"/>
            <w:hideMark/>
          </w:tcPr>
          <w:p w14:paraId="26CE0C30" w14:textId="77777777" w:rsidR="005A34B8" w:rsidRPr="005A34B8" w:rsidRDefault="005A34B8">
            <w:pPr>
              <w:pStyle w:val="TableRight"/>
            </w:pPr>
            <w:r w:rsidRPr="005A34B8">
              <w:t>7 591.4 </w:t>
            </w:r>
          </w:p>
        </w:tc>
        <w:tc>
          <w:tcPr>
            <w:tcW w:w="931" w:type="dxa"/>
            <w:hideMark/>
          </w:tcPr>
          <w:p w14:paraId="49B64D5A" w14:textId="77777777" w:rsidR="005A34B8" w:rsidRPr="005A34B8" w:rsidRDefault="005A34B8">
            <w:pPr>
              <w:pStyle w:val="TableRight"/>
            </w:pPr>
            <w:r w:rsidRPr="005A34B8">
              <w:t>8 255.2 </w:t>
            </w:r>
          </w:p>
        </w:tc>
        <w:tc>
          <w:tcPr>
            <w:tcW w:w="931" w:type="dxa"/>
            <w:hideMark/>
          </w:tcPr>
          <w:p w14:paraId="71C24D35" w14:textId="77777777" w:rsidR="005A34B8" w:rsidRPr="005A34B8" w:rsidRDefault="005A34B8">
            <w:pPr>
              <w:pStyle w:val="TableRight"/>
            </w:pPr>
            <w:r w:rsidRPr="005A34B8">
              <w:t>8 793.1 </w:t>
            </w:r>
          </w:p>
        </w:tc>
        <w:tc>
          <w:tcPr>
            <w:tcW w:w="931" w:type="dxa"/>
            <w:hideMark/>
          </w:tcPr>
          <w:p w14:paraId="4618F073" w14:textId="77777777" w:rsidR="005A34B8" w:rsidRPr="005A34B8" w:rsidRDefault="005A34B8">
            <w:pPr>
              <w:pStyle w:val="TableRight"/>
            </w:pPr>
            <w:r w:rsidRPr="005A34B8">
              <w:t>9 257.3 </w:t>
            </w:r>
          </w:p>
        </w:tc>
      </w:tr>
      <w:tr w:rsidR="005A34B8" w14:paraId="40BE1649" w14:textId="77777777" w:rsidTr="005A34B8">
        <w:tc>
          <w:tcPr>
            <w:tcW w:w="3686" w:type="dxa"/>
            <w:vAlign w:val="center"/>
            <w:hideMark/>
          </w:tcPr>
          <w:p w14:paraId="70CBFADC" w14:textId="77777777" w:rsidR="005A34B8" w:rsidRPr="005A34B8" w:rsidRDefault="005A34B8">
            <w:pPr>
              <w:pStyle w:val="TableIndent"/>
            </w:pPr>
            <w:r w:rsidRPr="005A34B8">
              <w:t>Plant and equipment</w:t>
            </w:r>
          </w:p>
        </w:tc>
        <w:tc>
          <w:tcPr>
            <w:tcW w:w="1168" w:type="dxa"/>
            <w:hideMark/>
          </w:tcPr>
          <w:p w14:paraId="5C63B1FF" w14:textId="77777777" w:rsidR="005A34B8" w:rsidRPr="005A34B8" w:rsidRDefault="005A34B8">
            <w:pPr>
              <w:pStyle w:val="TableRight"/>
            </w:pPr>
            <w:r w:rsidRPr="005A34B8">
              <w:t xml:space="preserve"> 342.9 </w:t>
            </w:r>
          </w:p>
        </w:tc>
        <w:tc>
          <w:tcPr>
            <w:tcW w:w="1046" w:type="dxa"/>
            <w:hideMark/>
          </w:tcPr>
          <w:p w14:paraId="77B06903" w14:textId="77777777" w:rsidR="005A34B8" w:rsidRPr="005A34B8" w:rsidRDefault="005A34B8">
            <w:pPr>
              <w:pStyle w:val="TableRight"/>
            </w:pPr>
            <w:r w:rsidRPr="005A34B8">
              <w:t xml:space="preserve"> 347.1 </w:t>
            </w:r>
          </w:p>
        </w:tc>
        <w:tc>
          <w:tcPr>
            <w:tcW w:w="888" w:type="dxa"/>
            <w:hideMark/>
          </w:tcPr>
          <w:p w14:paraId="45B98F13" w14:textId="77777777" w:rsidR="005A34B8" w:rsidRPr="005A34B8" w:rsidRDefault="005A34B8">
            <w:pPr>
              <w:pStyle w:val="TableRight"/>
            </w:pPr>
            <w:r w:rsidRPr="005A34B8">
              <w:t xml:space="preserve"> 388.2 </w:t>
            </w:r>
          </w:p>
        </w:tc>
        <w:tc>
          <w:tcPr>
            <w:tcW w:w="931" w:type="dxa"/>
            <w:hideMark/>
          </w:tcPr>
          <w:p w14:paraId="7AB2B6D2" w14:textId="77777777" w:rsidR="005A34B8" w:rsidRPr="005A34B8" w:rsidRDefault="005A34B8">
            <w:pPr>
              <w:pStyle w:val="TableRight"/>
            </w:pPr>
            <w:r w:rsidRPr="005A34B8">
              <w:t xml:space="preserve"> 394.3 </w:t>
            </w:r>
          </w:p>
        </w:tc>
        <w:tc>
          <w:tcPr>
            <w:tcW w:w="931" w:type="dxa"/>
            <w:hideMark/>
          </w:tcPr>
          <w:p w14:paraId="351C9E36" w14:textId="77777777" w:rsidR="005A34B8" w:rsidRPr="005A34B8" w:rsidRDefault="005A34B8">
            <w:pPr>
              <w:pStyle w:val="TableRight"/>
            </w:pPr>
            <w:r w:rsidRPr="005A34B8">
              <w:t xml:space="preserve"> 406.5 </w:t>
            </w:r>
          </w:p>
        </w:tc>
        <w:tc>
          <w:tcPr>
            <w:tcW w:w="931" w:type="dxa"/>
            <w:hideMark/>
          </w:tcPr>
          <w:p w14:paraId="25EE4447" w14:textId="77777777" w:rsidR="005A34B8" w:rsidRPr="005A34B8" w:rsidRDefault="005A34B8">
            <w:pPr>
              <w:pStyle w:val="TableRight"/>
            </w:pPr>
            <w:r w:rsidRPr="005A34B8">
              <w:t xml:space="preserve"> 414.7 </w:t>
            </w:r>
          </w:p>
        </w:tc>
      </w:tr>
      <w:tr w:rsidR="005A34B8" w14:paraId="48FFA794" w14:textId="77777777" w:rsidTr="005A34B8">
        <w:tc>
          <w:tcPr>
            <w:tcW w:w="3686" w:type="dxa"/>
            <w:vAlign w:val="center"/>
            <w:hideMark/>
          </w:tcPr>
          <w:p w14:paraId="5769B4BA" w14:textId="77777777" w:rsidR="005A34B8" w:rsidRPr="005A34B8" w:rsidRDefault="005A34B8">
            <w:pPr>
              <w:pStyle w:val="TableIndent"/>
            </w:pPr>
            <w:r w:rsidRPr="005A34B8">
              <w:t>Heritage and cultural assets</w:t>
            </w:r>
          </w:p>
        </w:tc>
        <w:tc>
          <w:tcPr>
            <w:tcW w:w="1168" w:type="dxa"/>
            <w:hideMark/>
          </w:tcPr>
          <w:p w14:paraId="0D4724FB" w14:textId="77777777" w:rsidR="005A34B8" w:rsidRPr="005A34B8" w:rsidRDefault="005A34B8">
            <w:pPr>
              <w:pStyle w:val="TableRight"/>
            </w:pPr>
            <w:r w:rsidRPr="005A34B8">
              <w:t xml:space="preserve"> 478.7 </w:t>
            </w:r>
          </w:p>
        </w:tc>
        <w:tc>
          <w:tcPr>
            <w:tcW w:w="1046" w:type="dxa"/>
            <w:hideMark/>
          </w:tcPr>
          <w:p w14:paraId="7D6269C0" w14:textId="77777777" w:rsidR="005A34B8" w:rsidRPr="005A34B8" w:rsidRDefault="005A34B8">
            <w:pPr>
              <w:pStyle w:val="TableRight"/>
            </w:pPr>
            <w:r w:rsidRPr="005A34B8">
              <w:t xml:space="preserve"> 493.1 </w:t>
            </w:r>
          </w:p>
        </w:tc>
        <w:tc>
          <w:tcPr>
            <w:tcW w:w="888" w:type="dxa"/>
            <w:hideMark/>
          </w:tcPr>
          <w:p w14:paraId="437FF046" w14:textId="77777777" w:rsidR="005A34B8" w:rsidRPr="005A34B8" w:rsidRDefault="005A34B8">
            <w:pPr>
              <w:pStyle w:val="TableRight"/>
            </w:pPr>
            <w:r w:rsidRPr="005A34B8">
              <w:t xml:space="preserve"> 505.4 </w:t>
            </w:r>
          </w:p>
        </w:tc>
        <w:tc>
          <w:tcPr>
            <w:tcW w:w="931" w:type="dxa"/>
            <w:hideMark/>
          </w:tcPr>
          <w:p w14:paraId="1E317B48" w14:textId="77777777" w:rsidR="005A34B8" w:rsidRPr="005A34B8" w:rsidRDefault="005A34B8">
            <w:pPr>
              <w:pStyle w:val="TableRight"/>
            </w:pPr>
            <w:r w:rsidRPr="005A34B8">
              <w:t xml:space="preserve"> 517.7 </w:t>
            </w:r>
          </w:p>
        </w:tc>
        <w:tc>
          <w:tcPr>
            <w:tcW w:w="931" w:type="dxa"/>
            <w:hideMark/>
          </w:tcPr>
          <w:p w14:paraId="6B53486E" w14:textId="77777777" w:rsidR="005A34B8" w:rsidRPr="005A34B8" w:rsidRDefault="005A34B8">
            <w:pPr>
              <w:pStyle w:val="TableRight"/>
            </w:pPr>
            <w:r w:rsidRPr="005A34B8">
              <w:t xml:space="preserve"> 530.0 </w:t>
            </w:r>
          </w:p>
        </w:tc>
        <w:tc>
          <w:tcPr>
            <w:tcW w:w="931" w:type="dxa"/>
            <w:hideMark/>
          </w:tcPr>
          <w:p w14:paraId="750E848A" w14:textId="77777777" w:rsidR="005A34B8" w:rsidRPr="005A34B8" w:rsidRDefault="005A34B8">
            <w:pPr>
              <w:pStyle w:val="TableRight"/>
            </w:pPr>
            <w:r w:rsidRPr="005A34B8">
              <w:t xml:space="preserve"> 542.3 </w:t>
            </w:r>
          </w:p>
        </w:tc>
      </w:tr>
      <w:tr w:rsidR="005A34B8" w14:paraId="446B592C" w14:textId="77777777" w:rsidTr="005A34B8">
        <w:tc>
          <w:tcPr>
            <w:tcW w:w="3686" w:type="dxa"/>
            <w:vAlign w:val="center"/>
            <w:hideMark/>
          </w:tcPr>
          <w:p w14:paraId="12CCC5F0" w14:textId="77777777" w:rsidR="005A34B8" w:rsidRPr="005A34B8" w:rsidRDefault="005A34B8">
            <w:pPr>
              <w:pStyle w:val="TableIndent"/>
            </w:pPr>
            <w:r w:rsidRPr="005A34B8">
              <w:t>Investment property</w:t>
            </w:r>
          </w:p>
        </w:tc>
        <w:tc>
          <w:tcPr>
            <w:tcW w:w="1168" w:type="dxa"/>
            <w:hideMark/>
          </w:tcPr>
          <w:p w14:paraId="54D2549D" w14:textId="77777777" w:rsidR="005A34B8" w:rsidRPr="005A34B8" w:rsidRDefault="005A34B8">
            <w:pPr>
              <w:pStyle w:val="TableRight"/>
            </w:pPr>
            <w:r w:rsidRPr="005A34B8">
              <w:t xml:space="preserve"> 3.2 </w:t>
            </w:r>
          </w:p>
        </w:tc>
        <w:tc>
          <w:tcPr>
            <w:tcW w:w="1046" w:type="dxa"/>
            <w:hideMark/>
          </w:tcPr>
          <w:p w14:paraId="2404EF5E" w14:textId="77777777" w:rsidR="005A34B8" w:rsidRPr="005A34B8" w:rsidRDefault="005A34B8">
            <w:pPr>
              <w:pStyle w:val="TableRight"/>
            </w:pPr>
            <w:r w:rsidRPr="005A34B8">
              <w:t xml:space="preserve"> 3.8 </w:t>
            </w:r>
          </w:p>
        </w:tc>
        <w:tc>
          <w:tcPr>
            <w:tcW w:w="888" w:type="dxa"/>
            <w:hideMark/>
          </w:tcPr>
          <w:p w14:paraId="6C5FA4F0" w14:textId="77777777" w:rsidR="005A34B8" w:rsidRPr="005A34B8" w:rsidRDefault="005A34B8">
            <w:pPr>
              <w:pStyle w:val="TableRight"/>
            </w:pPr>
            <w:r w:rsidRPr="005A34B8">
              <w:t xml:space="preserve"> 3.9 </w:t>
            </w:r>
          </w:p>
        </w:tc>
        <w:tc>
          <w:tcPr>
            <w:tcW w:w="931" w:type="dxa"/>
            <w:hideMark/>
          </w:tcPr>
          <w:p w14:paraId="2C478971" w14:textId="77777777" w:rsidR="005A34B8" w:rsidRPr="005A34B8" w:rsidRDefault="005A34B8">
            <w:pPr>
              <w:pStyle w:val="TableRight"/>
            </w:pPr>
            <w:r w:rsidRPr="005A34B8">
              <w:t xml:space="preserve"> 3.9 </w:t>
            </w:r>
          </w:p>
        </w:tc>
        <w:tc>
          <w:tcPr>
            <w:tcW w:w="931" w:type="dxa"/>
            <w:hideMark/>
          </w:tcPr>
          <w:p w14:paraId="4F709070" w14:textId="77777777" w:rsidR="005A34B8" w:rsidRPr="005A34B8" w:rsidRDefault="005A34B8">
            <w:pPr>
              <w:pStyle w:val="TableRight"/>
            </w:pPr>
            <w:r w:rsidRPr="005A34B8">
              <w:t xml:space="preserve"> 3.9 </w:t>
            </w:r>
          </w:p>
        </w:tc>
        <w:tc>
          <w:tcPr>
            <w:tcW w:w="931" w:type="dxa"/>
            <w:hideMark/>
          </w:tcPr>
          <w:p w14:paraId="2C61F11B" w14:textId="77777777" w:rsidR="005A34B8" w:rsidRPr="005A34B8" w:rsidRDefault="005A34B8">
            <w:pPr>
              <w:pStyle w:val="TableRight"/>
            </w:pPr>
            <w:r w:rsidRPr="005A34B8">
              <w:t xml:space="preserve"> 3.9 </w:t>
            </w:r>
          </w:p>
        </w:tc>
      </w:tr>
      <w:tr w:rsidR="005A34B8" w14:paraId="771FB7FE" w14:textId="77777777" w:rsidTr="005A34B8">
        <w:tc>
          <w:tcPr>
            <w:tcW w:w="3686" w:type="dxa"/>
            <w:vAlign w:val="center"/>
            <w:hideMark/>
          </w:tcPr>
          <w:p w14:paraId="6548C7F2" w14:textId="77777777" w:rsidR="005A34B8" w:rsidRPr="005A34B8" w:rsidRDefault="005A34B8">
            <w:pPr>
              <w:pStyle w:val="TableIndent"/>
            </w:pPr>
            <w:r w:rsidRPr="005A34B8">
              <w:t>Intangibles</w:t>
            </w:r>
          </w:p>
        </w:tc>
        <w:tc>
          <w:tcPr>
            <w:tcW w:w="1168" w:type="dxa"/>
            <w:hideMark/>
          </w:tcPr>
          <w:p w14:paraId="342B7C63" w14:textId="77777777" w:rsidR="005A34B8" w:rsidRPr="005A34B8" w:rsidRDefault="005A34B8">
            <w:pPr>
              <w:pStyle w:val="TableRight"/>
            </w:pPr>
            <w:r w:rsidRPr="005A34B8">
              <w:t xml:space="preserve"> 136.9 </w:t>
            </w:r>
          </w:p>
        </w:tc>
        <w:tc>
          <w:tcPr>
            <w:tcW w:w="1046" w:type="dxa"/>
            <w:hideMark/>
          </w:tcPr>
          <w:p w14:paraId="034FA3E8" w14:textId="77777777" w:rsidR="005A34B8" w:rsidRPr="005A34B8" w:rsidRDefault="005A34B8">
            <w:pPr>
              <w:pStyle w:val="TableRight"/>
            </w:pPr>
            <w:r w:rsidRPr="005A34B8">
              <w:t xml:space="preserve"> 133.8 </w:t>
            </w:r>
          </w:p>
        </w:tc>
        <w:tc>
          <w:tcPr>
            <w:tcW w:w="888" w:type="dxa"/>
            <w:hideMark/>
          </w:tcPr>
          <w:p w14:paraId="214FA8C4" w14:textId="77777777" w:rsidR="005A34B8" w:rsidRPr="005A34B8" w:rsidRDefault="005A34B8">
            <w:pPr>
              <w:pStyle w:val="TableRight"/>
            </w:pPr>
            <w:r w:rsidRPr="005A34B8">
              <w:t xml:space="preserve"> 201.6 </w:t>
            </w:r>
          </w:p>
        </w:tc>
        <w:tc>
          <w:tcPr>
            <w:tcW w:w="931" w:type="dxa"/>
            <w:hideMark/>
          </w:tcPr>
          <w:p w14:paraId="080A2480" w14:textId="77777777" w:rsidR="005A34B8" w:rsidRPr="005A34B8" w:rsidRDefault="005A34B8">
            <w:pPr>
              <w:pStyle w:val="TableRight"/>
            </w:pPr>
            <w:r w:rsidRPr="005A34B8">
              <w:t xml:space="preserve"> 255.6 </w:t>
            </w:r>
          </w:p>
        </w:tc>
        <w:tc>
          <w:tcPr>
            <w:tcW w:w="931" w:type="dxa"/>
            <w:hideMark/>
          </w:tcPr>
          <w:p w14:paraId="0826FCF3" w14:textId="77777777" w:rsidR="005A34B8" w:rsidRPr="005A34B8" w:rsidRDefault="005A34B8">
            <w:pPr>
              <w:pStyle w:val="TableRight"/>
            </w:pPr>
            <w:r w:rsidRPr="005A34B8">
              <w:t xml:space="preserve"> 295.4 </w:t>
            </w:r>
          </w:p>
        </w:tc>
        <w:tc>
          <w:tcPr>
            <w:tcW w:w="931" w:type="dxa"/>
            <w:hideMark/>
          </w:tcPr>
          <w:p w14:paraId="5AC29D77" w14:textId="77777777" w:rsidR="005A34B8" w:rsidRPr="005A34B8" w:rsidRDefault="005A34B8">
            <w:pPr>
              <w:pStyle w:val="TableRight"/>
            </w:pPr>
            <w:r w:rsidRPr="005A34B8">
              <w:t xml:space="preserve"> 345.7 </w:t>
            </w:r>
          </w:p>
        </w:tc>
      </w:tr>
      <w:tr w:rsidR="005A34B8" w14:paraId="2E92E24E" w14:textId="77777777" w:rsidTr="005A34B8">
        <w:tc>
          <w:tcPr>
            <w:tcW w:w="3686" w:type="dxa"/>
            <w:vAlign w:val="center"/>
            <w:hideMark/>
          </w:tcPr>
          <w:p w14:paraId="16E27C58" w14:textId="77777777" w:rsidR="005A34B8" w:rsidRPr="005A34B8" w:rsidRDefault="005A34B8">
            <w:pPr>
              <w:pStyle w:val="TableIndent"/>
            </w:pPr>
            <w:r w:rsidRPr="005A34B8">
              <w:t>Assets held for sale</w:t>
            </w:r>
          </w:p>
        </w:tc>
        <w:tc>
          <w:tcPr>
            <w:tcW w:w="1168" w:type="dxa"/>
            <w:hideMark/>
          </w:tcPr>
          <w:p w14:paraId="09C8F332" w14:textId="77777777" w:rsidR="005A34B8" w:rsidRPr="005A34B8" w:rsidRDefault="005A34B8">
            <w:pPr>
              <w:pStyle w:val="TableRight"/>
            </w:pPr>
            <w:r w:rsidRPr="005A34B8">
              <w:t xml:space="preserve"> 2.8 </w:t>
            </w:r>
          </w:p>
        </w:tc>
        <w:tc>
          <w:tcPr>
            <w:tcW w:w="1046" w:type="dxa"/>
            <w:hideMark/>
          </w:tcPr>
          <w:p w14:paraId="7D26739E" w14:textId="77777777" w:rsidR="005A34B8" w:rsidRPr="005A34B8" w:rsidRDefault="005A34B8">
            <w:pPr>
              <w:pStyle w:val="TableRight"/>
            </w:pPr>
            <w:r w:rsidRPr="005A34B8">
              <w:t xml:space="preserve"> 9.7 </w:t>
            </w:r>
          </w:p>
        </w:tc>
        <w:tc>
          <w:tcPr>
            <w:tcW w:w="888" w:type="dxa"/>
            <w:hideMark/>
          </w:tcPr>
          <w:p w14:paraId="472E65EA" w14:textId="77777777" w:rsidR="005A34B8" w:rsidRPr="005A34B8" w:rsidRDefault="005A34B8">
            <w:pPr>
              <w:pStyle w:val="TableRight"/>
            </w:pPr>
            <w:r w:rsidRPr="005A34B8">
              <w:t xml:space="preserve"> 10.9 </w:t>
            </w:r>
          </w:p>
        </w:tc>
        <w:tc>
          <w:tcPr>
            <w:tcW w:w="931" w:type="dxa"/>
            <w:hideMark/>
          </w:tcPr>
          <w:p w14:paraId="5A08A30A" w14:textId="77777777" w:rsidR="005A34B8" w:rsidRPr="005A34B8" w:rsidRDefault="005A34B8">
            <w:pPr>
              <w:pStyle w:val="TableRight"/>
            </w:pPr>
            <w:r w:rsidRPr="005A34B8">
              <w:t xml:space="preserve"> 12.4 </w:t>
            </w:r>
          </w:p>
        </w:tc>
        <w:tc>
          <w:tcPr>
            <w:tcW w:w="931" w:type="dxa"/>
            <w:hideMark/>
          </w:tcPr>
          <w:p w14:paraId="18639917" w14:textId="77777777" w:rsidR="005A34B8" w:rsidRPr="005A34B8" w:rsidRDefault="005A34B8">
            <w:pPr>
              <w:pStyle w:val="TableRight"/>
            </w:pPr>
            <w:r w:rsidRPr="005A34B8">
              <w:t xml:space="preserve"> 10.8 </w:t>
            </w:r>
          </w:p>
        </w:tc>
        <w:tc>
          <w:tcPr>
            <w:tcW w:w="931" w:type="dxa"/>
            <w:hideMark/>
          </w:tcPr>
          <w:p w14:paraId="3FF4D4C2" w14:textId="77777777" w:rsidR="005A34B8" w:rsidRPr="005A34B8" w:rsidRDefault="005A34B8">
            <w:pPr>
              <w:pStyle w:val="TableRight"/>
            </w:pPr>
            <w:r w:rsidRPr="005A34B8">
              <w:t xml:space="preserve"> 10.3 </w:t>
            </w:r>
          </w:p>
        </w:tc>
      </w:tr>
      <w:tr w:rsidR="005A34B8" w14:paraId="2A9AAC72" w14:textId="77777777" w:rsidTr="005A34B8">
        <w:tc>
          <w:tcPr>
            <w:tcW w:w="3686" w:type="dxa"/>
            <w:vAlign w:val="center"/>
            <w:hideMark/>
          </w:tcPr>
          <w:p w14:paraId="54009D48" w14:textId="7F06FD34" w:rsidR="005A34B8" w:rsidRPr="005A34B8" w:rsidRDefault="005A34B8">
            <w:pPr>
              <w:pStyle w:val="TableIndent"/>
            </w:pPr>
            <w:r w:rsidRPr="005A34B8">
              <w:t xml:space="preserve">Lease </w:t>
            </w:r>
            <w:r w:rsidRPr="005A34B8">
              <w:noBreakHyphen/>
              <w:t xml:space="preserve"> right</w:t>
            </w:r>
            <w:r w:rsidRPr="005A34B8">
              <w:noBreakHyphen/>
              <w:t>of</w:t>
            </w:r>
            <w:r w:rsidRPr="005A34B8">
              <w:noBreakHyphen/>
              <w:t xml:space="preserve">use </w:t>
            </w:r>
            <w:r w:rsidR="00E4559C" w:rsidRPr="005A34B8">
              <w:t>assets</w:t>
            </w:r>
            <w:r w:rsidR="00E4559C">
              <w:rPr>
                <w:rStyle w:val="TableSuperscriptChar"/>
              </w:rPr>
              <w:t>5</w:t>
            </w:r>
          </w:p>
        </w:tc>
        <w:tc>
          <w:tcPr>
            <w:tcW w:w="1168" w:type="dxa"/>
            <w:hideMark/>
          </w:tcPr>
          <w:p w14:paraId="369EAFEB" w14:textId="77777777" w:rsidR="005A34B8" w:rsidRPr="005A34B8" w:rsidRDefault="005A34B8">
            <w:pPr>
              <w:pStyle w:val="TableRight"/>
            </w:pPr>
            <w:r w:rsidRPr="005A34B8">
              <w:t xml:space="preserve"> 335.7 </w:t>
            </w:r>
          </w:p>
        </w:tc>
        <w:tc>
          <w:tcPr>
            <w:tcW w:w="1046" w:type="dxa"/>
            <w:hideMark/>
          </w:tcPr>
          <w:p w14:paraId="00CF9F45" w14:textId="77777777" w:rsidR="005A34B8" w:rsidRPr="005A34B8" w:rsidRDefault="005A34B8">
            <w:pPr>
              <w:pStyle w:val="TableRight"/>
            </w:pPr>
            <w:r w:rsidRPr="005A34B8">
              <w:t xml:space="preserve"> 743.9 </w:t>
            </w:r>
          </w:p>
        </w:tc>
        <w:tc>
          <w:tcPr>
            <w:tcW w:w="888" w:type="dxa"/>
            <w:hideMark/>
          </w:tcPr>
          <w:p w14:paraId="381DC5D3" w14:textId="77777777" w:rsidR="005A34B8" w:rsidRPr="005A34B8" w:rsidRDefault="005A34B8">
            <w:pPr>
              <w:pStyle w:val="TableRight"/>
            </w:pPr>
            <w:r w:rsidRPr="005A34B8">
              <w:t xml:space="preserve"> 687.8 </w:t>
            </w:r>
          </w:p>
        </w:tc>
        <w:tc>
          <w:tcPr>
            <w:tcW w:w="931" w:type="dxa"/>
            <w:hideMark/>
          </w:tcPr>
          <w:p w14:paraId="693B0C7D" w14:textId="77777777" w:rsidR="005A34B8" w:rsidRPr="005A34B8" w:rsidRDefault="005A34B8">
            <w:pPr>
              <w:pStyle w:val="TableRight"/>
            </w:pPr>
            <w:r w:rsidRPr="005A34B8">
              <w:t xml:space="preserve"> 618.7 </w:t>
            </w:r>
          </w:p>
        </w:tc>
        <w:tc>
          <w:tcPr>
            <w:tcW w:w="931" w:type="dxa"/>
            <w:hideMark/>
          </w:tcPr>
          <w:p w14:paraId="195AFEBD" w14:textId="77777777" w:rsidR="005A34B8" w:rsidRPr="005A34B8" w:rsidRDefault="005A34B8">
            <w:pPr>
              <w:pStyle w:val="TableRight"/>
            </w:pPr>
            <w:r w:rsidRPr="005A34B8">
              <w:t xml:space="preserve"> 550.2 </w:t>
            </w:r>
          </w:p>
        </w:tc>
        <w:tc>
          <w:tcPr>
            <w:tcW w:w="931" w:type="dxa"/>
            <w:hideMark/>
          </w:tcPr>
          <w:p w14:paraId="52EB5EA4" w14:textId="77777777" w:rsidR="005A34B8" w:rsidRPr="005A34B8" w:rsidRDefault="005A34B8">
            <w:pPr>
              <w:pStyle w:val="TableRight"/>
            </w:pPr>
            <w:r w:rsidRPr="005A34B8">
              <w:t xml:space="preserve"> 484.2 </w:t>
            </w:r>
          </w:p>
        </w:tc>
      </w:tr>
      <w:tr w:rsidR="005A34B8" w14:paraId="240A9332" w14:textId="77777777" w:rsidTr="005A34B8">
        <w:tc>
          <w:tcPr>
            <w:tcW w:w="3686" w:type="dxa"/>
            <w:vAlign w:val="center"/>
            <w:hideMark/>
          </w:tcPr>
          <w:p w14:paraId="0AD6565A" w14:textId="7FE5DD8A" w:rsidR="005A34B8" w:rsidRPr="005A34B8" w:rsidRDefault="005A34B8">
            <w:pPr>
              <w:pStyle w:val="TableIndent"/>
            </w:pPr>
            <w:r w:rsidRPr="005A34B8">
              <w:t>Other non-financial assets</w:t>
            </w:r>
            <w:r w:rsidR="00434AE9" w:rsidRPr="005F7211">
              <w:rPr>
                <w:rStyle w:val="TableSuperscriptChar"/>
              </w:rPr>
              <w:t>6</w:t>
            </w:r>
          </w:p>
        </w:tc>
        <w:tc>
          <w:tcPr>
            <w:tcW w:w="1168" w:type="dxa"/>
            <w:tcBorders>
              <w:top w:val="nil"/>
              <w:left w:val="nil"/>
              <w:bottom w:val="single" w:sz="6" w:space="0" w:color="auto"/>
              <w:right w:val="nil"/>
            </w:tcBorders>
            <w:hideMark/>
          </w:tcPr>
          <w:p w14:paraId="5BBB725E" w14:textId="77777777" w:rsidR="005A34B8" w:rsidRPr="005A34B8" w:rsidRDefault="005A34B8">
            <w:pPr>
              <w:pStyle w:val="TableRight"/>
            </w:pPr>
            <w:r w:rsidRPr="005A34B8">
              <w:t xml:space="preserve"> 910.8 </w:t>
            </w:r>
          </w:p>
        </w:tc>
        <w:tc>
          <w:tcPr>
            <w:tcW w:w="1046" w:type="dxa"/>
            <w:tcBorders>
              <w:top w:val="nil"/>
              <w:left w:val="nil"/>
              <w:bottom w:val="single" w:sz="6" w:space="0" w:color="auto"/>
              <w:right w:val="nil"/>
            </w:tcBorders>
            <w:hideMark/>
          </w:tcPr>
          <w:p w14:paraId="411F586A" w14:textId="77777777" w:rsidR="005A34B8" w:rsidRPr="005A34B8" w:rsidRDefault="005A34B8">
            <w:pPr>
              <w:pStyle w:val="TableRight"/>
            </w:pPr>
            <w:r w:rsidRPr="005A34B8">
              <w:t xml:space="preserve"> 101.4 </w:t>
            </w:r>
          </w:p>
        </w:tc>
        <w:tc>
          <w:tcPr>
            <w:tcW w:w="888" w:type="dxa"/>
            <w:tcBorders>
              <w:top w:val="nil"/>
              <w:left w:val="nil"/>
              <w:bottom w:val="single" w:sz="6" w:space="0" w:color="auto"/>
              <w:right w:val="nil"/>
            </w:tcBorders>
            <w:hideMark/>
          </w:tcPr>
          <w:p w14:paraId="6A8FB34C" w14:textId="77777777" w:rsidR="005A34B8" w:rsidRPr="005A34B8" w:rsidRDefault="005A34B8">
            <w:pPr>
              <w:pStyle w:val="TableRight"/>
            </w:pPr>
            <w:r w:rsidRPr="005A34B8">
              <w:t xml:space="preserve"> 99.6 </w:t>
            </w:r>
          </w:p>
        </w:tc>
        <w:tc>
          <w:tcPr>
            <w:tcW w:w="931" w:type="dxa"/>
            <w:tcBorders>
              <w:top w:val="nil"/>
              <w:left w:val="nil"/>
              <w:bottom w:val="single" w:sz="6" w:space="0" w:color="auto"/>
              <w:right w:val="nil"/>
            </w:tcBorders>
            <w:hideMark/>
          </w:tcPr>
          <w:p w14:paraId="25DE4DD1" w14:textId="77777777" w:rsidR="005A34B8" w:rsidRPr="005A34B8" w:rsidRDefault="005A34B8">
            <w:pPr>
              <w:pStyle w:val="TableRight"/>
            </w:pPr>
            <w:r w:rsidRPr="005A34B8">
              <w:t xml:space="preserve"> 98.4 </w:t>
            </w:r>
          </w:p>
        </w:tc>
        <w:tc>
          <w:tcPr>
            <w:tcW w:w="931" w:type="dxa"/>
            <w:tcBorders>
              <w:top w:val="nil"/>
              <w:left w:val="nil"/>
              <w:bottom w:val="single" w:sz="6" w:space="0" w:color="auto"/>
              <w:right w:val="nil"/>
            </w:tcBorders>
            <w:hideMark/>
          </w:tcPr>
          <w:p w14:paraId="5C5C1148" w14:textId="77777777" w:rsidR="005A34B8" w:rsidRPr="005A34B8" w:rsidRDefault="005A34B8">
            <w:pPr>
              <w:pStyle w:val="TableRight"/>
            </w:pPr>
            <w:r w:rsidRPr="005A34B8">
              <w:t xml:space="preserve"> 97.8 </w:t>
            </w:r>
          </w:p>
        </w:tc>
        <w:tc>
          <w:tcPr>
            <w:tcW w:w="931" w:type="dxa"/>
            <w:tcBorders>
              <w:top w:val="nil"/>
              <w:left w:val="nil"/>
              <w:bottom w:val="single" w:sz="6" w:space="0" w:color="auto"/>
              <w:right w:val="nil"/>
            </w:tcBorders>
            <w:hideMark/>
          </w:tcPr>
          <w:p w14:paraId="530FE680" w14:textId="77777777" w:rsidR="005A34B8" w:rsidRPr="005A34B8" w:rsidRDefault="005A34B8">
            <w:pPr>
              <w:pStyle w:val="TableRight"/>
            </w:pPr>
            <w:r w:rsidRPr="005A34B8">
              <w:t xml:space="preserve"> 97.3 </w:t>
            </w:r>
          </w:p>
        </w:tc>
      </w:tr>
      <w:tr w:rsidR="005A34B8" w14:paraId="558E05A1" w14:textId="77777777" w:rsidTr="005A34B8">
        <w:tc>
          <w:tcPr>
            <w:tcW w:w="3686" w:type="dxa"/>
            <w:vAlign w:val="center"/>
            <w:hideMark/>
          </w:tcPr>
          <w:p w14:paraId="44BD9EB6" w14:textId="77777777" w:rsidR="005A34B8" w:rsidRPr="005A34B8" w:rsidRDefault="005A34B8" w:rsidP="00C67119">
            <w:pPr>
              <w:pStyle w:val="TableRightHeading"/>
            </w:pPr>
          </w:p>
        </w:tc>
        <w:tc>
          <w:tcPr>
            <w:tcW w:w="1168" w:type="dxa"/>
            <w:tcBorders>
              <w:top w:val="single" w:sz="6" w:space="0" w:color="auto"/>
              <w:left w:val="nil"/>
              <w:bottom w:val="nil"/>
              <w:right w:val="nil"/>
            </w:tcBorders>
            <w:hideMark/>
          </w:tcPr>
          <w:p w14:paraId="397E72C6" w14:textId="77777777" w:rsidR="005A34B8" w:rsidRPr="005A34B8" w:rsidRDefault="005A34B8" w:rsidP="00C67119">
            <w:pPr>
              <w:pStyle w:val="TableRightHeading"/>
            </w:pPr>
            <w:r w:rsidRPr="005A34B8">
              <w:t>17 355.6 </w:t>
            </w:r>
          </w:p>
        </w:tc>
        <w:tc>
          <w:tcPr>
            <w:tcW w:w="1046" w:type="dxa"/>
            <w:tcBorders>
              <w:top w:val="single" w:sz="6" w:space="0" w:color="auto"/>
              <w:left w:val="nil"/>
              <w:bottom w:val="nil"/>
              <w:right w:val="nil"/>
            </w:tcBorders>
            <w:hideMark/>
          </w:tcPr>
          <w:p w14:paraId="4305FAC9" w14:textId="77777777" w:rsidR="005A34B8" w:rsidRPr="005A34B8" w:rsidRDefault="005A34B8" w:rsidP="00C67119">
            <w:pPr>
              <w:pStyle w:val="TableRightHeading"/>
            </w:pPr>
            <w:r w:rsidRPr="005A34B8">
              <w:t>15 469.1 </w:t>
            </w:r>
          </w:p>
        </w:tc>
        <w:tc>
          <w:tcPr>
            <w:tcW w:w="888" w:type="dxa"/>
            <w:tcBorders>
              <w:top w:val="single" w:sz="6" w:space="0" w:color="auto"/>
              <w:left w:val="nil"/>
              <w:bottom w:val="nil"/>
              <w:right w:val="nil"/>
            </w:tcBorders>
            <w:hideMark/>
          </w:tcPr>
          <w:p w14:paraId="5772B73A" w14:textId="77777777" w:rsidR="005A34B8" w:rsidRPr="005A34B8" w:rsidRDefault="005A34B8" w:rsidP="00C67119">
            <w:pPr>
              <w:pStyle w:val="TableRightHeading"/>
            </w:pPr>
            <w:r w:rsidRPr="005A34B8">
              <w:t>16 511.6 </w:t>
            </w:r>
          </w:p>
        </w:tc>
        <w:tc>
          <w:tcPr>
            <w:tcW w:w="931" w:type="dxa"/>
            <w:tcBorders>
              <w:top w:val="single" w:sz="6" w:space="0" w:color="auto"/>
              <w:left w:val="nil"/>
              <w:bottom w:val="nil"/>
              <w:right w:val="nil"/>
            </w:tcBorders>
            <w:hideMark/>
          </w:tcPr>
          <w:p w14:paraId="66EC0D7A" w14:textId="77777777" w:rsidR="005A34B8" w:rsidRPr="005A34B8" w:rsidRDefault="005A34B8" w:rsidP="00C67119">
            <w:pPr>
              <w:pStyle w:val="TableRightHeading"/>
            </w:pPr>
            <w:r w:rsidRPr="005A34B8">
              <w:t>17 453.0 </w:t>
            </w:r>
          </w:p>
        </w:tc>
        <w:tc>
          <w:tcPr>
            <w:tcW w:w="931" w:type="dxa"/>
            <w:tcBorders>
              <w:top w:val="single" w:sz="6" w:space="0" w:color="auto"/>
              <w:left w:val="nil"/>
              <w:bottom w:val="nil"/>
              <w:right w:val="nil"/>
            </w:tcBorders>
            <w:hideMark/>
          </w:tcPr>
          <w:p w14:paraId="08CDE042" w14:textId="77777777" w:rsidR="005A34B8" w:rsidRPr="005A34B8" w:rsidRDefault="005A34B8" w:rsidP="00C67119">
            <w:pPr>
              <w:pStyle w:val="TableRightHeading"/>
            </w:pPr>
            <w:r w:rsidRPr="005A34B8">
              <w:t>18 198.2 </w:t>
            </w:r>
          </w:p>
        </w:tc>
        <w:tc>
          <w:tcPr>
            <w:tcW w:w="931" w:type="dxa"/>
            <w:tcBorders>
              <w:top w:val="single" w:sz="6" w:space="0" w:color="auto"/>
              <w:left w:val="nil"/>
              <w:bottom w:val="nil"/>
              <w:right w:val="nil"/>
            </w:tcBorders>
            <w:hideMark/>
          </w:tcPr>
          <w:p w14:paraId="5D20FCC5" w14:textId="77777777" w:rsidR="005A34B8" w:rsidRPr="005A34B8" w:rsidRDefault="005A34B8" w:rsidP="00C67119">
            <w:pPr>
              <w:pStyle w:val="TableRightHeading"/>
            </w:pPr>
            <w:r w:rsidRPr="005A34B8">
              <w:t>18 766.7 </w:t>
            </w:r>
          </w:p>
        </w:tc>
      </w:tr>
      <w:tr w:rsidR="005A34B8" w14:paraId="3915BE12" w14:textId="77777777" w:rsidTr="005A34B8">
        <w:tc>
          <w:tcPr>
            <w:tcW w:w="3686" w:type="dxa"/>
            <w:vAlign w:val="center"/>
            <w:hideMark/>
          </w:tcPr>
          <w:p w14:paraId="447AD930" w14:textId="77777777" w:rsidR="005A34B8" w:rsidRPr="005A34B8" w:rsidRDefault="005A34B8" w:rsidP="00C67119">
            <w:pPr>
              <w:pStyle w:val="TableRightHeading"/>
            </w:pPr>
          </w:p>
        </w:tc>
        <w:tc>
          <w:tcPr>
            <w:tcW w:w="1168" w:type="dxa"/>
            <w:tcBorders>
              <w:top w:val="nil"/>
              <w:left w:val="nil"/>
              <w:bottom w:val="single" w:sz="6" w:space="0" w:color="auto"/>
              <w:right w:val="nil"/>
            </w:tcBorders>
            <w:hideMark/>
          </w:tcPr>
          <w:p w14:paraId="37EAEF43" w14:textId="77777777" w:rsidR="005A34B8" w:rsidRPr="005A34B8" w:rsidRDefault="005A34B8" w:rsidP="00C67119">
            <w:pPr>
              <w:pStyle w:val="TableRightHeading"/>
            </w:pPr>
          </w:p>
        </w:tc>
        <w:tc>
          <w:tcPr>
            <w:tcW w:w="1046" w:type="dxa"/>
            <w:tcBorders>
              <w:top w:val="nil"/>
              <w:left w:val="nil"/>
              <w:bottom w:val="single" w:sz="6" w:space="0" w:color="auto"/>
              <w:right w:val="nil"/>
            </w:tcBorders>
          </w:tcPr>
          <w:p w14:paraId="4AE9BB99" w14:textId="77777777" w:rsidR="005A34B8" w:rsidRPr="005A34B8" w:rsidRDefault="005A34B8" w:rsidP="00C67119">
            <w:pPr>
              <w:pStyle w:val="TableRightHeading"/>
            </w:pPr>
          </w:p>
        </w:tc>
        <w:tc>
          <w:tcPr>
            <w:tcW w:w="888" w:type="dxa"/>
            <w:tcBorders>
              <w:top w:val="nil"/>
              <w:left w:val="nil"/>
              <w:bottom w:val="single" w:sz="6" w:space="0" w:color="auto"/>
              <w:right w:val="nil"/>
            </w:tcBorders>
          </w:tcPr>
          <w:p w14:paraId="03CEC9C2" w14:textId="77777777" w:rsidR="005A34B8" w:rsidRPr="005A34B8" w:rsidRDefault="005A34B8" w:rsidP="00C67119">
            <w:pPr>
              <w:pStyle w:val="TableRightHeading"/>
            </w:pPr>
          </w:p>
        </w:tc>
        <w:tc>
          <w:tcPr>
            <w:tcW w:w="931" w:type="dxa"/>
            <w:tcBorders>
              <w:top w:val="nil"/>
              <w:left w:val="nil"/>
              <w:bottom w:val="single" w:sz="6" w:space="0" w:color="auto"/>
              <w:right w:val="nil"/>
            </w:tcBorders>
          </w:tcPr>
          <w:p w14:paraId="2F1EBD8B" w14:textId="77777777" w:rsidR="005A34B8" w:rsidRPr="005A34B8" w:rsidRDefault="005A34B8" w:rsidP="00C67119">
            <w:pPr>
              <w:pStyle w:val="TableRightHeading"/>
            </w:pPr>
          </w:p>
        </w:tc>
        <w:tc>
          <w:tcPr>
            <w:tcW w:w="931" w:type="dxa"/>
            <w:tcBorders>
              <w:top w:val="nil"/>
              <w:left w:val="nil"/>
              <w:bottom w:val="single" w:sz="6" w:space="0" w:color="auto"/>
              <w:right w:val="nil"/>
            </w:tcBorders>
          </w:tcPr>
          <w:p w14:paraId="495A3B76" w14:textId="77777777" w:rsidR="005A34B8" w:rsidRPr="005A34B8" w:rsidRDefault="005A34B8" w:rsidP="00C67119">
            <w:pPr>
              <w:pStyle w:val="TableRightHeading"/>
            </w:pPr>
          </w:p>
        </w:tc>
        <w:tc>
          <w:tcPr>
            <w:tcW w:w="931" w:type="dxa"/>
            <w:tcBorders>
              <w:top w:val="nil"/>
              <w:left w:val="nil"/>
              <w:bottom w:val="single" w:sz="6" w:space="0" w:color="auto"/>
              <w:right w:val="nil"/>
            </w:tcBorders>
          </w:tcPr>
          <w:p w14:paraId="25A80006" w14:textId="77777777" w:rsidR="005A34B8" w:rsidRPr="005A34B8" w:rsidRDefault="005A34B8" w:rsidP="00C67119">
            <w:pPr>
              <w:pStyle w:val="TableRightHeading"/>
            </w:pPr>
          </w:p>
        </w:tc>
      </w:tr>
      <w:tr w:rsidR="005A34B8" w14:paraId="120A68D4" w14:textId="77777777" w:rsidTr="005A34B8">
        <w:tc>
          <w:tcPr>
            <w:tcW w:w="3686" w:type="dxa"/>
            <w:vAlign w:val="center"/>
            <w:hideMark/>
          </w:tcPr>
          <w:p w14:paraId="122994DB" w14:textId="77777777" w:rsidR="005A34B8" w:rsidRPr="005A34B8" w:rsidRDefault="005A34B8" w:rsidP="00C67119">
            <w:pPr>
              <w:pStyle w:val="TableLeftHeading"/>
            </w:pPr>
            <w:r w:rsidRPr="005A34B8">
              <w:t>Total Assets</w:t>
            </w:r>
          </w:p>
        </w:tc>
        <w:tc>
          <w:tcPr>
            <w:tcW w:w="1168" w:type="dxa"/>
            <w:tcBorders>
              <w:top w:val="single" w:sz="6" w:space="0" w:color="auto"/>
              <w:left w:val="nil"/>
              <w:bottom w:val="nil"/>
              <w:right w:val="nil"/>
            </w:tcBorders>
            <w:hideMark/>
          </w:tcPr>
          <w:p w14:paraId="604040A4" w14:textId="77777777" w:rsidR="005A34B8" w:rsidRPr="005A34B8" w:rsidRDefault="005A34B8" w:rsidP="00C67119">
            <w:pPr>
              <w:pStyle w:val="TableRightHeading"/>
            </w:pPr>
            <w:r w:rsidRPr="005A34B8">
              <w:t>25 497.8 </w:t>
            </w:r>
          </w:p>
        </w:tc>
        <w:tc>
          <w:tcPr>
            <w:tcW w:w="1046" w:type="dxa"/>
            <w:tcBorders>
              <w:top w:val="single" w:sz="6" w:space="0" w:color="auto"/>
              <w:left w:val="nil"/>
              <w:bottom w:val="nil"/>
              <w:right w:val="nil"/>
            </w:tcBorders>
            <w:hideMark/>
          </w:tcPr>
          <w:p w14:paraId="1BFCBE6E" w14:textId="77777777" w:rsidR="005A34B8" w:rsidRPr="005A34B8" w:rsidRDefault="005A34B8" w:rsidP="00C67119">
            <w:pPr>
              <w:pStyle w:val="TableRightHeading"/>
            </w:pPr>
            <w:r w:rsidRPr="005A34B8">
              <w:t>28 978.9 </w:t>
            </w:r>
          </w:p>
        </w:tc>
        <w:tc>
          <w:tcPr>
            <w:tcW w:w="888" w:type="dxa"/>
            <w:tcBorders>
              <w:top w:val="single" w:sz="6" w:space="0" w:color="auto"/>
              <w:left w:val="nil"/>
              <w:bottom w:val="nil"/>
              <w:right w:val="nil"/>
            </w:tcBorders>
            <w:hideMark/>
          </w:tcPr>
          <w:p w14:paraId="4A223630" w14:textId="77777777" w:rsidR="005A34B8" w:rsidRPr="005A34B8" w:rsidRDefault="005A34B8" w:rsidP="00C67119">
            <w:pPr>
              <w:pStyle w:val="TableRightHeading"/>
            </w:pPr>
            <w:r w:rsidRPr="005A34B8">
              <w:t>30 560.0 </w:t>
            </w:r>
          </w:p>
        </w:tc>
        <w:tc>
          <w:tcPr>
            <w:tcW w:w="931" w:type="dxa"/>
            <w:tcBorders>
              <w:top w:val="single" w:sz="6" w:space="0" w:color="auto"/>
              <w:left w:val="nil"/>
              <w:bottom w:val="nil"/>
              <w:right w:val="nil"/>
            </w:tcBorders>
            <w:hideMark/>
          </w:tcPr>
          <w:p w14:paraId="1D859A12" w14:textId="77777777" w:rsidR="005A34B8" w:rsidRPr="005A34B8" w:rsidRDefault="005A34B8" w:rsidP="00C67119">
            <w:pPr>
              <w:pStyle w:val="TableRightHeading"/>
            </w:pPr>
            <w:r w:rsidRPr="005A34B8">
              <w:t>31 883.2 </w:t>
            </w:r>
          </w:p>
        </w:tc>
        <w:tc>
          <w:tcPr>
            <w:tcW w:w="931" w:type="dxa"/>
            <w:tcBorders>
              <w:top w:val="single" w:sz="6" w:space="0" w:color="auto"/>
              <w:left w:val="nil"/>
              <w:bottom w:val="nil"/>
              <w:right w:val="nil"/>
            </w:tcBorders>
            <w:hideMark/>
          </w:tcPr>
          <w:p w14:paraId="297454B8" w14:textId="77777777" w:rsidR="005A34B8" w:rsidRPr="005A34B8" w:rsidRDefault="005A34B8" w:rsidP="00C67119">
            <w:pPr>
              <w:pStyle w:val="TableRightHeading"/>
            </w:pPr>
            <w:r w:rsidRPr="005A34B8">
              <w:t>33 029.5 </w:t>
            </w:r>
          </w:p>
        </w:tc>
        <w:tc>
          <w:tcPr>
            <w:tcW w:w="931" w:type="dxa"/>
            <w:tcBorders>
              <w:top w:val="single" w:sz="6" w:space="0" w:color="auto"/>
              <w:left w:val="nil"/>
              <w:bottom w:val="nil"/>
              <w:right w:val="nil"/>
            </w:tcBorders>
            <w:hideMark/>
          </w:tcPr>
          <w:p w14:paraId="6EE2E8D0" w14:textId="77777777" w:rsidR="005A34B8" w:rsidRPr="005A34B8" w:rsidRDefault="005A34B8" w:rsidP="00C67119">
            <w:pPr>
              <w:pStyle w:val="TableRightHeading"/>
            </w:pPr>
            <w:r w:rsidRPr="005A34B8">
              <w:t>34 162.0 </w:t>
            </w:r>
          </w:p>
        </w:tc>
      </w:tr>
      <w:tr w:rsidR="005A34B8" w14:paraId="2A2D8C40" w14:textId="77777777" w:rsidTr="005A34B8">
        <w:tc>
          <w:tcPr>
            <w:tcW w:w="3686" w:type="dxa"/>
            <w:vAlign w:val="center"/>
            <w:hideMark/>
          </w:tcPr>
          <w:p w14:paraId="34644AD5" w14:textId="77777777" w:rsidR="005A34B8" w:rsidRPr="005A34B8" w:rsidRDefault="005A34B8" w:rsidP="00C67119">
            <w:pPr>
              <w:pStyle w:val="TableLeftHeading"/>
            </w:pPr>
          </w:p>
        </w:tc>
        <w:tc>
          <w:tcPr>
            <w:tcW w:w="1168" w:type="dxa"/>
            <w:hideMark/>
          </w:tcPr>
          <w:p w14:paraId="0697A19A" w14:textId="77777777" w:rsidR="005A34B8" w:rsidRPr="005A34B8" w:rsidRDefault="005A34B8" w:rsidP="00C67119">
            <w:pPr>
              <w:pStyle w:val="TableRightHeading"/>
            </w:pPr>
          </w:p>
        </w:tc>
        <w:tc>
          <w:tcPr>
            <w:tcW w:w="1046" w:type="dxa"/>
          </w:tcPr>
          <w:p w14:paraId="021F4AB8" w14:textId="77777777" w:rsidR="005A34B8" w:rsidRPr="005A34B8" w:rsidRDefault="005A34B8" w:rsidP="00C67119">
            <w:pPr>
              <w:pStyle w:val="TableRightHeading"/>
            </w:pPr>
          </w:p>
        </w:tc>
        <w:tc>
          <w:tcPr>
            <w:tcW w:w="888" w:type="dxa"/>
          </w:tcPr>
          <w:p w14:paraId="05822A0C" w14:textId="77777777" w:rsidR="005A34B8" w:rsidRPr="005A34B8" w:rsidRDefault="005A34B8" w:rsidP="00C67119">
            <w:pPr>
              <w:pStyle w:val="TableRightHeading"/>
            </w:pPr>
          </w:p>
        </w:tc>
        <w:tc>
          <w:tcPr>
            <w:tcW w:w="931" w:type="dxa"/>
          </w:tcPr>
          <w:p w14:paraId="6D93C07C" w14:textId="77777777" w:rsidR="005A34B8" w:rsidRPr="005A34B8" w:rsidRDefault="005A34B8" w:rsidP="00C67119">
            <w:pPr>
              <w:pStyle w:val="TableRightHeading"/>
            </w:pPr>
          </w:p>
        </w:tc>
        <w:tc>
          <w:tcPr>
            <w:tcW w:w="931" w:type="dxa"/>
          </w:tcPr>
          <w:p w14:paraId="584C59BC" w14:textId="77777777" w:rsidR="005A34B8" w:rsidRPr="005A34B8" w:rsidRDefault="005A34B8" w:rsidP="00C67119">
            <w:pPr>
              <w:pStyle w:val="TableRightHeading"/>
            </w:pPr>
          </w:p>
        </w:tc>
        <w:tc>
          <w:tcPr>
            <w:tcW w:w="931" w:type="dxa"/>
          </w:tcPr>
          <w:p w14:paraId="041B663B" w14:textId="77777777" w:rsidR="005A34B8" w:rsidRPr="005A34B8" w:rsidRDefault="005A34B8" w:rsidP="00C67119">
            <w:pPr>
              <w:pStyle w:val="TableRightHeading"/>
            </w:pPr>
          </w:p>
        </w:tc>
      </w:tr>
      <w:tr w:rsidR="005A34B8" w14:paraId="1B977E47" w14:textId="77777777" w:rsidTr="005A34B8">
        <w:tc>
          <w:tcPr>
            <w:tcW w:w="3686" w:type="dxa"/>
            <w:vAlign w:val="center"/>
            <w:hideMark/>
          </w:tcPr>
          <w:p w14:paraId="306A2A2C" w14:textId="77777777" w:rsidR="005A34B8" w:rsidRPr="005A34B8" w:rsidRDefault="005A34B8" w:rsidP="00C67119">
            <w:pPr>
              <w:pStyle w:val="TableLeftHeading"/>
            </w:pPr>
            <w:r w:rsidRPr="005A34B8">
              <w:t>Liabilities</w:t>
            </w:r>
          </w:p>
        </w:tc>
        <w:tc>
          <w:tcPr>
            <w:tcW w:w="1168" w:type="dxa"/>
            <w:hideMark/>
          </w:tcPr>
          <w:p w14:paraId="73E0B94A" w14:textId="77777777" w:rsidR="005A34B8" w:rsidRPr="005A34B8" w:rsidRDefault="005A34B8" w:rsidP="00C67119">
            <w:pPr>
              <w:pStyle w:val="TableRightHeading"/>
            </w:pPr>
          </w:p>
        </w:tc>
        <w:tc>
          <w:tcPr>
            <w:tcW w:w="1046" w:type="dxa"/>
          </w:tcPr>
          <w:p w14:paraId="0F314DE3" w14:textId="77777777" w:rsidR="005A34B8" w:rsidRPr="005A34B8" w:rsidRDefault="005A34B8" w:rsidP="00C67119">
            <w:pPr>
              <w:pStyle w:val="TableRightHeading"/>
            </w:pPr>
          </w:p>
        </w:tc>
        <w:tc>
          <w:tcPr>
            <w:tcW w:w="888" w:type="dxa"/>
          </w:tcPr>
          <w:p w14:paraId="7185B6A2" w14:textId="77777777" w:rsidR="005A34B8" w:rsidRPr="005A34B8" w:rsidRDefault="005A34B8" w:rsidP="00C67119">
            <w:pPr>
              <w:pStyle w:val="TableRightHeading"/>
            </w:pPr>
          </w:p>
        </w:tc>
        <w:tc>
          <w:tcPr>
            <w:tcW w:w="931" w:type="dxa"/>
          </w:tcPr>
          <w:p w14:paraId="31BC5565" w14:textId="77777777" w:rsidR="005A34B8" w:rsidRPr="005A34B8" w:rsidRDefault="005A34B8" w:rsidP="00C67119">
            <w:pPr>
              <w:pStyle w:val="TableRightHeading"/>
            </w:pPr>
          </w:p>
        </w:tc>
        <w:tc>
          <w:tcPr>
            <w:tcW w:w="931" w:type="dxa"/>
          </w:tcPr>
          <w:p w14:paraId="2124D6F0" w14:textId="77777777" w:rsidR="005A34B8" w:rsidRPr="005A34B8" w:rsidRDefault="005A34B8" w:rsidP="00C67119">
            <w:pPr>
              <w:pStyle w:val="TableRightHeading"/>
            </w:pPr>
          </w:p>
        </w:tc>
        <w:tc>
          <w:tcPr>
            <w:tcW w:w="931" w:type="dxa"/>
          </w:tcPr>
          <w:p w14:paraId="1D568776" w14:textId="77777777" w:rsidR="005A34B8" w:rsidRPr="005A34B8" w:rsidRDefault="005A34B8" w:rsidP="00C67119">
            <w:pPr>
              <w:pStyle w:val="TableRightHeading"/>
            </w:pPr>
          </w:p>
        </w:tc>
      </w:tr>
      <w:tr w:rsidR="005A34B8" w14:paraId="476555D1" w14:textId="77777777" w:rsidTr="005A34B8">
        <w:tc>
          <w:tcPr>
            <w:tcW w:w="3686" w:type="dxa"/>
            <w:vAlign w:val="center"/>
            <w:hideMark/>
          </w:tcPr>
          <w:p w14:paraId="1DD43D6A" w14:textId="2EA71E3F" w:rsidR="005A34B8" w:rsidRPr="00F01471" w:rsidRDefault="00E4559C">
            <w:pPr>
              <w:pStyle w:val="TableIndent"/>
              <w:rPr>
                <w:rStyle w:val="TableSuperscriptChar"/>
              </w:rPr>
            </w:pPr>
            <w:r w:rsidRPr="005A34B8">
              <w:t>Borrowing</w:t>
            </w:r>
            <w:r w:rsidR="00434AE9">
              <w:rPr>
                <w:rStyle w:val="TableSuperscriptChar"/>
              </w:rPr>
              <w:t>7</w:t>
            </w:r>
          </w:p>
        </w:tc>
        <w:tc>
          <w:tcPr>
            <w:tcW w:w="1168" w:type="dxa"/>
            <w:hideMark/>
          </w:tcPr>
          <w:p w14:paraId="7244DA41" w14:textId="77777777" w:rsidR="005A34B8" w:rsidRPr="005A34B8" w:rsidRDefault="005A34B8">
            <w:pPr>
              <w:pStyle w:val="TableRight"/>
            </w:pPr>
            <w:r w:rsidRPr="005A34B8">
              <w:t>4 125.6 </w:t>
            </w:r>
          </w:p>
        </w:tc>
        <w:tc>
          <w:tcPr>
            <w:tcW w:w="1046" w:type="dxa"/>
            <w:hideMark/>
          </w:tcPr>
          <w:p w14:paraId="5675EC25" w14:textId="77777777" w:rsidR="005A34B8" w:rsidRPr="005A34B8" w:rsidRDefault="005A34B8">
            <w:pPr>
              <w:pStyle w:val="TableRight"/>
            </w:pPr>
            <w:r w:rsidRPr="005A34B8">
              <w:t>3 286.1 </w:t>
            </w:r>
          </w:p>
        </w:tc>
        <w:tc>
          <w:tcPr>
            <w:tcW w:w="888" w:type="dxa"/>
            <w:hideMark/>
          </w:tcPr>
          <w:p w14:paraId="04F11D17" w14:textId="77777777" w:rsidR="005A34B8" w:rsidRPr="005A34B8" w:rsidRDefault="005A34B8">
            <w:pPr>
              <w:pStyle w:val="TableRight"/>
            </w:pPr>
            <w:r w:rsidRPr="005A34B8">
              <w:t>4 555.0 </w:t>
            </w:r>
          </w:p>
        </w:tc>
        <w:tc>
          <w:tcPr>
            <w:tcW w:w="931" w:type="dxa"/>
            <w:hideMark/>
          </w:tcPr>
          <w:p w14:paraId="30F5A012" w14:textId="77777777" w:rsidR="005A34B8" w:rsidRPr="005A34B8" w:rsidRDefault="005A34B8">
            <w:pPr>
              <w:pStyle w:val="TableRight"/>
            </w:pPr>
            <w:r w:rsidRPr="005A34B8">
              <w:t>5 599.0 </w:t>
            </w:r>
          </w:p>
        </w:tc>
        <w:tc>
          <w:tcPr>
            <w:tcW w:w="931" w:type="dxa"/>
            <w:hideMark/>
          </w:tcPr>
          <w:p w14:paraId="5A0AAC87" w14:textId="77777777" w:rsidR="005A34B8" w:rsidRPr="005A34B8" w:rsidRDefault="005A34B8">
            <w:pPr>
              <w:pStyle w:val="TableRight"/>
            </w:pPr>
            <w:r w:rsidRPr="005A34B8">
              <w:t>6 204.8 </w:t>
            </w:r>
          </w:p>
        </w:tc>
        <w:tc>
          <w:tcPr>
            <w:tcW w:w="931" w:type="dxa"/>
            <w:hideMark/>
          </w:tcPr>
          <w:p w14:paraId="668996A6" w14:textId="77777777" w:rsidR="005A34B8" w:rsidRPr="005A34B8" w:rsidRDefault="005A34B8">
            <w:pPr>
              <w:pStyle w:val="TableRight"/>
            </w:pPr>
            <w:r w:rsidRPr="005A34B8">
              <w:t>6 677.3 </w:t>
            </w:r>
          </w:p>
        </w:tc>
      </w:tr>
      <w:tr w:rsidR="005A34B8" w14:paraId="5D357DE0" w14:textId="77777777" w:rsidTr="005A34B8">
        <w:tc>
          <w:tcPr>
            <w:tcW w:w="3686" w:type="dxa"/>
            <w:vAlign w:val="center"/>
            <w:hideMark/>
          </w:tcPr>
          <w:p w14:paraId="159A01E7" w14:textId="46DDD60F" w:rsidR="005A34B8" w:rsidRPr="005A34B8" w:rsidRDefault="005A34B8">
            <w:pPr>
              <w:pStyle w:val="TableIndent"/>
            </w:pPr>
            <w:r w:rsidRPr="005A34B8">
              <w:t>Lease liabilities</w:t>
            </w:r>
            <w:r w:rsidR="00434AE9" w:rsidRPr="005F7211">
              <w:rPr>
                <w:rStyle w:val="TableSuperscriptChar"/>
              </w:rPr>
              <w:t>5</w:t>
            </w:r>
          </w:p>
        </w:tc>
        <w:tc>
          <w:tcPr>
            <w:tcW w:w="1168" w:type="dxa"/>
            <w:hideMark/>
          </w:tcPr>
          <w:p w14:paraId="5047BFA0" w14:textId="77777777" w:rsidR="005A34B8" w:rsidRPr="005A34B8" w:rsidRDefault="005A34B8">
            <w:pPr>
              <w:pStyle w:val="TableRight"/>
            </w:pPr>
            <w:r w:rsidRPr="005A34B8">
              <w:t xml:space="preserve"> 360.2 </w:t>
            </w:r>
          </w:p>
        </w:tc>
        <w:tc>
          <w:tcPr>
            <w:tcW w:w="1046" w:type="dxa"/>
            <w:hideMark/>
          </w:tcPr>
          <w:p w14:paraId="6B8F4C9E" w14:textId="77777777" w:rsidR="005A34B8" w:rsidRPr="005A34B8" w:rsidRDefault="005A34B8">
            <w:pPr>
              <w:pStyle w:val="TableRight"/>
            </w:pPr>
            <w:r w:rsidRPr="005A34B8">
              <w:t xml:space="preserve"> 782.0 </w:t>
            </w:r>
          </w:p>
        </w:tc>
        <w:tc>
          <w:tcPr>
            <w:tcW w:w="888" w:type="dxa"/>
            <w:hideMark/>
          </w:tcPr>
          <w:p w14:paraId="737B2E06" w14:textId="77777777" w:rsidR="005A34B8" w:rsidRPr="005A34B8" w:rsidRDefault="005A34B8">
            <w:pPr>
              <w:pStyle w:val="TableRight"/>
            </w:pPr>
            <w:r w:rsidRPr="005A34B8">
              <w:t xml:space="preserve"> 765.1 </w:t>
            </w:r>
          </w:p>
        </w:tc>
        <w:tc>
          <w:tcPr>
            <w:tcW w:w="931" w:type="dxa"/>
            <w:hideMark/>
          </w:tcPr>
          <w:p w14:paraId="57A19A48" w14:textId="77777777" w:rsidR="005A34B8" w:rsidRPr="005A34B8" w:rsidRDefault="005A34B8">
            <w:pPr>
              <w:pStyle w:val="TableRight"/>
            </w:pPr>
            <w:r w:rsidRPr="005A34B8">
              <w:t xml:space="preserve"> 728.1 </w:t>
            </w:r>
          </w:p>
        </w:tc>
        <w:tc>
          <w:tcPr>
            <w:tcW w:w="931" w:type="dxa"/>
            <w:hideMark/>
          </w:tcPr>
          <w:p w14:paraId="6DA8B0F8" w14:textId="77777777" w:rsidR="005A34B8" w:rsidRPr="005A34B8" w:rsidRDefault="005A34B8">
            <w:pPr>
              <w:pStyle w:val="TableRight"/>
            </w:pPr>
            <w:r w:rsidRPr="005A34B8">
              <w:t xml:space="preserve"> 690.9 </w:t>
            </w:r>
          </w:p>
        </w:tc>
        <w:tc>
          <w:tcPr>
            <w:tcW w:w="931" w:type="dxa"/>
            <w:hideMark/>
          </w:tcPr>
          <w:p w14:paraId="7B99FABF" w14:textId="77777777" w:rsidR="005A34B8" w:rsidRPr="005A34B8" w:rsidRDefault="005A34B8">
            <w:pPr>
              <w:pStyle w:val="TableRight"/>
            </w:pPr>
            <w:r w:rsidRPr="005A34B8">
              <w:t xml:space="preserve"> 653.5 </w:t>
            </w:r>
          </w:p>
        </w:tc>
      </w:tr>
      <w:tr w:rsidR="005A34B8" w14:paraId="51908028" w14:textId="77777777" w:rsidTr="005A34B8">
        <w:tc>
          <w:tcPr>
            <w:tcW w:w="3686" w:type="dxa"/>
            <w:vAlign w:val="center"/>
            <w:hideMark/>
          </w:tcPr>
          <w:p w14:paraId="682AEA64" w14:textId="216FB139" w:rsidR="005A34B8" w:rsidRPr="005A34B8" w:rsidRDefault="00E4559C">
            <w:pPr>
              <w:pStyle w:val="TableIndent"/>
            </w:pPr>
            <w:r w:rsidRPr="005A34B8">
              <w:t>Superannuation</w:t>
            </w:r>
            <w:r w:rsidR="00434AE9">
              <w:rPr>
                <w:rStyle w:val="TableSuperscriptChar"/>
              </w:rPr>
              <w:t>8</w:t>
            </w:r>
          </w:p>
        </w:tc>
        <w:tc>
          <w:tcPr>
            <w:tcW w:w="1168" w:type="dxa"/>
            <w:hideMark/>
          </w:tcPr>
          <w:p w14:paraId="516EED5F" w14:textId="77777777" w:rsidR="005A34B8" w:rsidRPr="005A34B8" w:rsidRDefault="005A34B8">
            <w:pPr>
              <w:pStyle w:val="TableRight"/>
            </w:pPr>
            <w:r w:rsidRPr="005A34B8">
              <w:t>8 397.6 </w:t>
            </w:r>
          </w:p>
        </w:tc>
        <w:tc>
          <w:tcPr>
            <w:tcW w:w="1046" w:type="dxa"/>
            <w:hideMark/>
          </w:tcPr>
          <w:p w14:paraId="279536B2" w14:textId="77777777" w:rsidR="005A34B8" w:rsidRPr="005A34B8" w:rsidRDefault="005A34B8">
            <w:pPr>
              <w:pStyle w:val="TableRight"/>
            </w:pPr>
            <w:r w:rsidRPr="005A34B8">
              <w:t>7 744.4 </w:t>
            </w:r>
          </w:p>
        </w:tc>
        <w:tc>
          <w:tcPr>
            <w:tcW w:w="888" w:type="dxa"/>
            <w:hideMark/>
          </w:tcPr>
          <w:p w14:paraId="226014B2" w14:textId="77777777" w:rsidR="005A34B8" w:rsidRPr="005A34B8" w:rsidRDefault="005A34B8">
            <w:pPr>
              <w:pStyle w:val="TableRight"/>
            </w:pPr>
            <w:r w:rsidRPr="005A34B8">
              <w:t>7 759.3 </w:t>
            </w:r>
          </w:p>
        </w:tc>
        <w:tc>
          <w:tcPr>
            <w:tcW w:w="931" w:type="dxa"/>
            <w:hideMark/>
          </w:tcPr>
          <w:p w14:paraId="5B06B5D2" w14:textId="77777777" w:rsidR="005A34B8" w:rsidRPr="005A34B8" w:rsidRDefault="005A34B8">
            <w:pPr>
              <w:pStyle w:val="TableRight"/>
            </w:pPr>
            <w:r w:rsidRPr="005A34B8">
              <w:t>7 753.0 </w:t>
            </w:r>
          </w:p>
        </w:tc>
        <w:tc>
          <w:tcPr>
            <w:tcW w:w="931" w:type="dxa"/>
            <w:hideMark/>
          </w:tcPr>
          <w:p w14:paraId="2B7A2C3B" w14:textId="77777777" w:rsidR="005A34B8" w:rsidRPr="005A34B8" w:rsidRDefault="005A34B8">
            <w:pPr>
              <w:pStyle w:val="TableRight"/>
            </w:pPr>
            <w:r w:rsidRPr="005A34B8">
              <w:t>7 729.3 </w:t>
            </w:r>
          </w:p>
        </w:tc>
        <w:tc>
          <w:tcPr>
            <w:tcW w:w="931" w:type="dxa"/>
            <w:hideMark/>
          </w:tcPr>
          <w:p w14:paraId="08FF9F57" w14:textId="77777777" w:rsidR="005A34B8" w:rsidRPr="005A34B8" w:rsidRDefault="005A34B8">
            <w:pPr>
              <w:pStyle w:val="TableRight"/>
            </w:pPr>
            <w:r w:rsidRPr="005A34B8">
              <w:t>7 687.2 </w:t>
            </w:r>
          </w:p>
        </w:tc>
      </w:tr>
      <w:tr w:rsidR="005A34B8" w14:paraId="5747C6CC" w14:textId="77777777" w:rsidTr="005A34B8">
        <w:tc>
          <w:tcPr>
            <w:tcW w:w="3686" w:type="dxa"/>
            <w:vAlign w:val="center"/>
            <w:hideMark/>
          </w:tcPr>
          <w:p w14:paraId="2F91572C" w14:textId="63354401" w:rsidR="005A34B8" w:rsidRPr="005A34B8" w:rsidRDefault="005A34B8">
            <w:pPr>
              <w:pStyle w:val="TableIndent"/>
            </w:pPr>
            <w:r w:rsidRPr="005A34B8">
              <w:t xml:space="preserve">Employee </w:t>
            </w:r>
            <w:r w:rsidR="00E4559C" w:rsidRPr="005A34B8">
              <w:t>entitlements</w:t>
            </w:r>
            <w:r w:rsidR="00434AE9">
              <w:rPr>
                <w:rStyle w:val="TableSuperscriptChar"/>
              </w:rPr>
              <w:t>9</w:t>
            </w:r>
          </w:p>
        </w:tc>
        <w:tc>
          <w:tcPr>
            <w:tcW w:w="1168" w:type="dxa"/>
            <w:hideMark/>
          </w:tcPr>
          <w:p w14:paraId="75CA0840" w14:textId="77777777" w:rsidR="005A34B8" w:rsidRPr="005A34B8" w:rsidRDefault="005A34B8">
            <w:pPr>
              <w:pStyle w:val="TableRight"/>
            </w:pPr>
            <w:r w:rsidRPr="005A34B8">
              <w:t xml:space="preserve"> 871.4 </w:t>
            </w:r>
          </w:p>
        </w:tc>
        <w:tc>
          <w:tcPr>
            <w:tcW w:w="1046" w:type="dxa"/>
            <w:hideMark/>
          </w:tcPr>
          <w:p w14:paraId="62AB7436" w14:textId="77777777" w:rsidR="005A34B8" w:rsidRPr="005A34B8" w:rsidRDefault="005A34B8">
            <w:pPr>
              <w:pStyle w:val="TableRight"/>
            </w:pPr>
            <w:r w:rsidRPr="005A34B8">
              <w:t xml:space="preserve"> 878.6 </w:t>
            </w:r>
          </w:p>
        </w:tc>
        <w:tc>
          <w:tcPr>
            <w:tcW w:w="888" w:type="dxa"/>
            <w:hideMark/>
          </w:tcPr>
          <w:p w14:paraId="66962A49" w14:textId="77777777" w:rsidR="005A34B8" w:rsidRPr="005A34B8" w:rsidRDefault="005A34B8">
            <w:pPr>
              <w:pStyle w:val="TableRight"/>
            </w:pPr>
            <w:r w:rsidRPr="005A34B8">
              <w:t xml:space="preserve"> 898.8 </w:t>
            </w:r>
          </w:p>
        </w:tc>
        <w:tc>
          <w:tcPr>
            <w:tcW w:w="931" w:type="dxa"/>
            <w:hideMark/>
          </w:tcPr>
          <w:p w14:paraId="29E1173A" w14:textId="77777777" w:rsidR="005A34B8" w:rsidRPr="005A34B8" w:rsidRDefault="005A34B8">
            <w:pPr>
              <w:pStyle w:val="TableRight"/>
            </w:pPr>
            <w:r w:rsidRPr="005A34B8">
              <w:t xml:space="preserve"> 920.3 </w:t>
            </w:r>
          </w:p>
        </w:tc>
        <w:tc>
          <w:tcPr>
            <w:tcW w:w="931" w:type="dxa"/>
            <w:hideMark/>
          </w:tcPr>
          <w:p w14:paraId="3B44C458" w14:textId="77777777" w:rsidR="005A34B8" w:rsidRPr="005A34B8" w:rsidRDefault="005A34B8">
            <w:pPr>
              <w:pStyle w:val="TableRight"/>
            </w:pPr>
            <w:r w:rsidRPr="005A34B8">
              <w:t xml:space="preserve"> 940.4 </w:t>
            </w:r>
          </w:p>
        </w:tc>
        <w:tc>
          <w:tcPr>
            <w:tcW w:w="931" w:type="dxa"/>
            <w:hideMark/>
          </w:tcPr>
          <w:p w14:paraId="582D2741" w14:textId="77777777" w:rsidR="005A34B8" w:rsidRPr="005A34B8" w:rsidRDefault="005A34B8">
            <w:pPr>
              <w:pStyle w:val="TableRight"/>
            </w:pPr>
            <w:r w:rsidRPr="005A34B8">
              <w:t xml:space="preserve"> 877.0 </w:t>
            </w:r>
          </w:p>
        </w:tc>
      </w:tr>
      <w:tr w:rsidR="005A34B8" w14:paraId="5204428F" w14:textId="77777777" w:rsidTr="005A34B8">
        <w:tc>
          <w:tcPr>
            <w:tcW w:w="3686" w:type="dxa"/>
            <w:vAlign w:val="center"/>
            <w:hideMark/>
          </w:tcPr>
          <w:p w14:paraId="77A2664F" w14:textId="77777777" w:rsidR="005A34B8" w:rsidRPr="005A34B8" w:rsidRDefault="005A34B8">
            <w:pPr>
              <w:pStyle w:val="TableIndent"/>
            </w:pPr>
            <w:r w:rsidRPr="005A34B8">
              <w:t>Payables</w:t>
            </w:r>
          </w:p>
        </w:tc>
        <w:tc>
          <w:tcPr>
            <w:tcW w:w="1168" w:type="dxa"/>
            <w:hideMark/>
          </w:tcPr>
          <w:p w14:paraId="2C3BDB9D" w14:textId="77777777" w:rsidR="005A34B8" w:rsidRPr="005A34B8" w:rsidRDefault="005A34B8">
            <w:pPr>
              <w:pStyle w:val="TableRight"/>
            </w:pPr>
            <w:r w:rsidRPr="005A34B8">
              <w:t xml:space="preserve"> 182.5 </w:t>
            </w:r>
          </w:p>
        </w:tc>
        <w:tc>
          <w:tcPr>
            <w:tcW w:w="1046" w:type="dxa"/>
            <w:hideMark/>
          </w:tcPr>
          <w:p w14:paraId="0F64D3B4" w14:textId="77777777" w:rsidR="005A34B8" w:rsidRPr="005A34B8" w:rsidRDefault="005A34B8">
            <w:pPr>
              <w:pStyle w:val="TableRight"/>
            </w:pPr>
            <w:r w:rsidRPr="005A34B8">
              <w:t xml:space="preserve"> 173.5 </w:t>
            </w:r>
          </w:p>
        </w:tc>
        <w:tc>
          <w:tcPr>
            <w:tcW w:w="888" w:type="dxa"/>
            <w:hideMark/>
          </w:tcPr>
          <w:p w14:paraId="2A1A66AD" w14:textId="77777777" w:rsidR="005A34B8" w:rsidRPr="005A34B8" w:rsidRDefault="005A34B8">
            <w:pPr>
              <w:pStyle w:val="TableRight"/>
            </w:pPr>
            <w:r w:rsidRPr="005A34B8">
              <w:t xml:space="preserve"> 178.0 </w:t>
            </w:r>
          </w:p>
        </w:tc>
        <w:tc>
          <w:tcPr>
            <w:tcW w:w="931" w:type="dxa"/>
            <w:hideMark/>
          </w:tcPr>
          <w:p w14:paraId="51E1BCDC" w14:textId="77777777" w:rsidR="005A34B8" w:rsidRPr="005A34B8" w:rsidRDefault="005A34B8">
            <w:pPr>
              <w:pStyle w:val="TableRight"/>
            </w:pPr>
            <w:r w:rsidRPr="005A34B8">
              <w:t xml:space="preserve"> 181.7 </w:t>
            </w:r>
          </w:p>
        </w:tc>
        <w:tc>
          <w:tcPr>
            <w:tcW w:w="931" w:type="dxa"/>
            <w:hideMark/>
          </w:tcPr>
          <w:p w14:paraId="5C171EBC" w14:textId="77777777" w:rsidR="005A34B8" w:rsidRPr="005A34B8" w:rsidRDefault="005A34B8">
            <w:pPr>
              <w:pStyle w:val="TableRight"/>
            </w:pPr>
            <w:r w:rsidRPr="005A34B8">
              <w:t xml:space="preserve"> 182.1 </w:t>
            </w:r>
          </w:p>
        </w:tc>
        <w:tc>
          <w:tcPr>
            <w:tcW w:w="931" w:type="dxa"/>
            <w:hideMark/>
          </w:tcPr>
          <w:p w14:paraId="7E02F1D4" w14:textId="77777777" w:rsidR="005A34B8" w:rsidRPr="005A34B8" w:rsidRDefault="005A34B8">
            <w:pPr>
              <w:pStyle w:val="TableRight"/>
            </w:pPr>
            <w:r w:rsidRPr="005A34B8">
              <w:t xml:space="preserve"> 183.4 </w:t>
            </w:r>
          </w:p>
        </w:tc>
      </w:tr>
      <w:tr w:rsidR="005A34B8" w14:paraId="37E177BE" w14:textId="77777777" w:rsidTr="005A34B8">
        <w:tc>
          <w:tcPr>
            <w:tcW w:w="3686" w:type="dxa"/>
            <w:vAlign w:val="center"/>
            <w:hideMark/>
          </w:tcPr>
          <w:p w14:paraId="087A3B33" w14:textId="54CAB2E9" w:rsidR="005A34B8" w:rsidRPr="005A34B8" w:rsidRDefault="005A34B8">
            <w:pPr>
              <w:pStyle w:val="TableIndent"/>
            </w:pPr>
            <w:r w:rsidRPr="005A34B8">
              <w:t xml:space="preserve">Other </w:t>
            </w:r>
            <w:r w:rsidR="00E4559C" w:rsidRPr="005A34B8">
              <w:t>liabilities</w:t>
            </w:r>
            <w:r w:rsidR="00434AE9">
              <w:rPr>
                <w:rStyle w:val="TableSuperscriptChar"/>
              </w:rPr>
              <w:t>10</w:t>
            </w:r>
          </w:p>
        </w:tc>
        <w:tc>
          <w:tcPr>
            <w:tcW w:w="1168" w:type="dxa"/>
            <w:tcBorders>
              <w:top w:val="nil"/>
              <w:left w:val="nil"/>
              <w:bottom w:val="single" w:sz="6" w:space="0" w:color="auto"/>
              <w:right w:val="nil"/>
            </w:tcBorders>
            <w:hideMark/>
          </w:tcPr>
          <w:p w14:paraId="543DBF6F" w14:textId="77777777" w:rsidR="005A34B8" w:rsidRPr="005A34B8" w:rsidRDefault="005A34B8">
            <w:pPr>
              <w:pStyle w:val="TableRight"/>
            </w:pPr>
            <w:r w:rsidRPr="005A34B8">
              <w:t xml:space="preserve"> 790.7 </w:t>
            </w:r>
          </w:p>
        </w:tc>
        <w:tc>
          <w:tcPr>
            <w:tcW w:w="1046" w:type="dxa"/>
            <w:tcBorders>
              <w:top w:val="nil"/>
              <w:left w:val="nil"/>
              <w:bottom w:val="single" w:sz="6" w:space="0" w:color="auto"/>
              <w:right w:val="nil"/>
            </w:tcBorders>
            <w:hideMark/>
          </w:tcPr>
          <w:p w14:paraId="5FE5F018" w14:textId="77777777" w:rsidR="005A34B8" w:rsidRPr="005A34B8" w:rsidRDefault="005A34B8">
            <w:pPr>
              <w:pStyle w:val="TableRight"/>
            </w:pPr>
            <w:r w:rsidRPr="005A34B8">
              <w:t xml:space="preserve"> 907.5 </w:t>
            </w:r>
          </w:p>
        </w:tc>
        <w:tc>
          <w:tcPr>
            <w:tcW w:w="888" w:type="dxa"/>
            <w:tcBorders>
              <w:top w:val="nil"/>
              <w:left w:val="nil"/>
              <w:bottom w:val="single" w:sz="6" w:space="0" w:color="auto"/>
              <w:right w:val="nil"/>
            </w:tcBorders>
            <w:hideMark/>
          </w:tcPr>
          <w:p w14:paraId="1338C2B4" w14:textId="77777777" w:rsidR="005A34B8" w:rsidRPr="005A34B8" w:rsidRDefault="005A34B8">
            <w:pPr>
              <w:pStyle w:val="TableRight"/>
            </w:pPr>
            <w:r w:rsidRPr="005A34B8">
              <w:t xml:space="preserve"> 961.0 </w:t>
            </w:r>
          </w:p>
        </w:tc>
        <w:tc>
          <w:tcPr>
            <w:tcW w:w="931" w:type="dxa"/>
            <w:tcBorders>
              <w:top w:val="nil"/>
              <w:left w:val="nil"/>
              <w:bottom w:val="single" w:sz="6" w:space="0" w:color="auto"/>
              <w:right w:val="nil"/>
            </w:tcBorders>
            <w:hideMark/>
          </w:tcPr>
          <w:p w14:paraId="03924225" w14:textId="77777777" w:rsidR="005A34B8" w:rsidRPr="005A34B8" w:rsidRDefault="005A34B8">
            <w:pPr>
              <w:pStyle w:val="TableRight"/>
            </w:pPr>
            <w:r w:rsidRPr="005A34B8">
              <w:t xml:space="preserve"> 906.4 </w:t>
            </w:r>
          </w:p>
        </w:tc>
        <w:tc>
          <w:tcPr>
            <w:tcW w:w="931" w:type="dxa"/>
            <w:tcBorders>
              <w:top w:val="nil"/>
              <w:left w:val="nil"/>
              <w:bottom w:val="single" w:sz="6" w:space="0" w:color="auto"/>
              <w:right w:val="nil"/>
            </w:tcBorders>
            <w:hideMark/>
          </w:tcPr>
          <w:p w14:paraId="1D003540" w14:textId="77777777" w:rsidR="005A34B8" w:rsidRPr="005A34B8" w:rsidRDefault="005A34B8">
            <w:pPr>
              <w:pStyle w:val="TableRight"/>
            </w:pPr>
            <w:r w:rsidRPr="005A34B8">
              <w:t xml:space="preserve"> 926.8 </w:t>
            </w:r>
          </w:p>
        </w:tc>
        <w:tc>
          <w:tcPr>
            <w:tcW w:w="931" w:type="dxa"/>
            <w:tcBorders>
              <w:top w:val="nil"/>
              <w:left w:val="nil"/>
              <w:bottom w:val="single" w:sz="6" w:space="0" w:color="auto"/>
              <w:right w:val="nil"/>
            </w:tcBorders>
            <w:hideMark/>
          </w:tcPr>
          <w:p w14:paraId="2C078762" w14:textId="77777777" w:rsidR="005A34B8" w:rsidRPr="005A34B8" w:rsidRDefault="005A34B8">
            <w:pPr>
              <w:pStyle w:val="TableRight"/>
            </w:pPr>
            <w:r w:rsidRPr="005A34B8">
              <w:t xml:space="preserve"> 871.5 </w:t>
            </w:r>
          </w:p>
        </w:tc>
      </w:tr>
      <w:tr w:rsidR="005A34B8" w14:paraId="2DBC14F7" w14:textId="77777777" w:rsidTr="005A34B8">
        <w:tc>
          <w:tcPr>
            <w:tcW w:w="3686" w:type="dxa"/>
            <w:vAlign w:val="center"/>
            <w:hideMark/>
          </w:tcPr>
          <w:p w14:paraId="5FBB9641" w14:textId="77777777" w:rsidR="005A34B8" w:rsidRPr="005A34B8" w:rsidRDefault="005A34B8">
            <w:pPr>
              <w:pStyle w:val="TableLeftHeading"/>
            </w:pPr>
            <w:r w:rsidRPr="005A34B8">
              <w:t>Total Liabilities</w:t>
            </w:r>
          </w:p>
        </w:tc>
        <w:tc>
          <w:tcPr>
            <w:tcW w:w="1168" w:type="dxa"/>
            <w:tcBorders>
              <w:top w:val="single" w:sz="6" w:space="0" w:color="auto"/>
              <w:left w:val="nil"/>
              <w:bottom w:val="nil"/>
              <w:right w:val="nil"/>
            </w:tcBorders>
            <w:hideMark/>
          </w:tcPr>
          <w:p w14:paraId="3A801A79" w14:textId="77777777" w:rsidR="005A34B8" w:rsidRPr="005A34B8" w:rsidRDefault="005A34B8">
            <w:pPr>
              <w:pStyle w:val="TableRightHeading"/>
            </w:pPr>
            <w:r w:rsidRPr="005A34B8">
              <w:t>14 728.0 </w:t>
            </w:r>
          </w:p>
        </w:tc>
        <w:tc>
          <w:tcPr>
            <w:tcW w:w="1046" w:type="dxa"/>
            <w:tcBorders>
              <w:top w:val="single" w:sz="6" w:space="0" w:color="auto"/>
              <w:left w:val="nil"/>
              <w:bottom w:val="nil"/>
              <w:right w:val="nil"/>
            </w:tcBorders>
            <w:hideMark/>
          </w:tcPr>
          <w:p w14:paraId="5F846C25" w14:textId="77777777" w:rsidR="005A34B8" w:rsidRPr="005A34B8" w:rsidRDefault="005A34B8">
            <w:pPr>
              <w:pStyle w:val="TableRightHeading"/>
            </w:pPr>
            <w:r w:rsidRPr="005A34B8">
              <w:t>13 772.1 </w:t>
            </w:r>
          </w:p>
        </w:tc>
        <w:tc>
          <w:tcPr>
            <w:tcW w:w="888" w:type="dxa"/>
            <w:tcBorders>
              <w:top w:val="single" w:sz="6" w:space="0" w:color="auto"/>
              <w:left w:val="nil"/>
              <w:bottom w:val="nil"/>
              <w:right w:val="nil"/>
            </w:tcBorders>
            <w:hideMark/>
          </w:tcPr>
          <w:p w14:paraId="7635BFA0" w14:textId="77777777" w:rsidR="005A34B8" w:rsidRPr="005A34B8" w:rsidRDefault="005A34B8">
            <w:pPr>
              <w:pStyle w:val="TableRightHeading"/>
            </w:pPr>
            <w:r w:rsidRPr="005A34B8">
              <w:t>15 117.2 </w:t>
            </w:r>
          </w:p>
        </w:tc>
        <w:tc>
          <w:tcPr>
            <w:tcW w:w="931" w:type="dxa"/>
            <w:tcBorders>
              <w:top w:val="single" w:sz="6" w:space="0" w:color="auto"/>
              <w:left w:val="nil"/>
              <w:bottom w:val="nil"/>
              <w:right w:val="nil"/>
            </w:tcBorders>
            <w:hideMark/>
          </w:tcPr>
          <w:p w14:paraId="07054474" w14:textId="77777777" w:rsidR="005A34B8" w:rsidRPr="005A34B8" w:rsidRDefault="005A34B8">
            <w:pPr>
              <w:pStyle w:val="TableRightHeading"/>
            </w:pPr>
            <w:r w:rsidRPr="005A34B8">
              <w:t>16 088.5 </w:t>
            </w:r>
          </w:p>
        </w:tc>
        <w:tc>
          <w:tcPr>
            <w:tcW w:w="931" w:type="dxa"/>
            <w:tcBorders>
              <w:top w:val="single" w:sz="6" w:space="0" w:color="auto"/>
              <w:left w:val="nil"/>
              <w:bottom w:val="nil"/>
              <w:right w:val="nil"/>
            </w:tcBorders>
            <w:hideMark/>
          </w:tcPr>
          <w:p w14:paraId="701FDC32" w14:textId="77777777" w:rsidR="005A34B8" w:rsidRPr="005A34B8" w:rsidRDefault="005A34B8">
            <w:pPr>
              <w:pStyle w:val="TableRightHeading"/>
            </w:pPr>
            <w:r w:rsidRPr="005A34B8">
              <w:t>16 674.3 </w:t>
            </w:r>
          </w:p>
        </w:tc>
        <w:tc>
          <w:tcPr>
            <w:tcW w:w="931" w:type="dxa"/>
            <w:tcBorders>
              <w:top w:val="single" w:sz="6" w:space="0" w:color="auto"/>
              <w:left w:val="nil"/>
              <w:bottom w:val="nil"/>
              <w:right w:val="nil"/>
            </w:tcBorders>
            <w:hideMark/>
          </w:tcPr>
          <w:p w14:paraId="114F6400" w14:textId="77777777" w:rsidR="005A34B8" w:rsidRPr="005A34B8" w:rsidRDefault="005A34B8">
            <w:pPr>
              <w:pStyle w:val="TableRightHeading"/>
            </w:pPr>
            <w:r w:rsidRPr="005A34B8">
              <w:t>16 950.0 </w:t>
            </w:r>
          </w:p>
        </w:tc>
      </w:tr>
      <w:tr w:rsidR="005A34B8" w14:paraId="5855FBC2" w14:textId="77777777" w:rsidTr="005A34B8">
        <w:tc>
          <w:tcPr>
            <w:tcW w:w="3686" w:type="dxa"/>
            <w:vAlign w:val="center"/>
            <w:hideMark/>
          </w:tcPr>
          <w:p w14:paraId="237D0DB7" w14:textId="77777777" w:rsidR="005A34B8" w:rsidRPr="005A34B8" w:rsidRDefault="005A34B8" w:rsidP="00C67119">
            <w:pPr>
              <w:pStyle w:val="TableRightHeading"/>
            </w:pPr>
          </w:p>
        </w:tc>
        <w:tc>
          <w:tcPr>
            <w:tcW w:w="1168" w:type="dxa"/>
            <w:tcBorders>
              <w:top w:val="nil"/>
              <w:left w:val="nil"/>
              <w:bottom w:val="single" w:sz="6" w:space="0" w:color="auto"/>
              <w:right w:val="nil"/>
            </w:tcBorders>
            <w:hideMark/>
          </w:tcPr>
          <w:p w14:paraId="0F83F1FC" w14:textId="77777777" w:rsidR="005A34B8" w:rsidRPr="005A34B8" w:rsidRDefault="005A34B8" w:rsidP="00C67119">
            <w:pPr>
              <w:pStyle w:val="TableRightHeading"/>
            </w:pPr>
          </w:p>
        </w:tc>
        <w:tc>
          <w:tcPr>
            <w:tcW w:w="1046" w:type="dxa"/>
            <w:tcBorders>
              <w:top w:val="nil"/>
              <w:left w:val="nil"/>
              <w:bottom w:val="single" w:sz="6" w:space="0" w:color="auto"/>
              <w:right w:val="nil"/>
            </w:tcBorders>
          </w:tcPr>
          <w:p w14:paraId="53E7157B" w14:textId="77777777" w:rsidR="005A34B8" w:rsidRPr="005A34B8" w:rsidRDefault="005A34B8" w:rsidP="00C67119">
            <w:pPr>
              <w:pStyle w:val="TableRightHeading"/>
            </w:pPr>
          </w:p>
        </w:tc>
        <w:tc>
          <w:tcPr>
            <w:tcW w:w="888" w:type="dxa"/>
            <w:tcBorders>
              <w:top w:val="nil"/>
              <w:left w:val="nil"/>
              <w:bottom w:val="single" w:sz="6" w:space="0" w:color="auto"/>
              <w:right w:val="nil"/>
            </w:tcBorders>
          </w:tcPr>
          <w:p w14:paraId="632FEDB7" w14:textId="77777777" w:rsidR="005A34B8" w:rsidRPr="005A34B8" w:rsidRDefault="005A34B8" w:rsidP="00C67119">
            <w:pPr>
              <w:pStyle w:val="TableRightHeading"/>
            </w:pPr>
          </w:p>
        </w:tc>
        <w:tc>
          <w:tcPr>
            <w:tcW w:w="931" w:type="dxa"/>
            <w:tcBorders>
              <w:top w:val="nil"/>
              <w:left w:val="nil"/>
              <w:bottom w:val="single" w:sz="6" w:space="0" w:color="auto"/>
              <w:right w:val="nil"/>
            </w:tcBorders>
          </w:tcPr>
          <w:p w14:paraId="40BF841C" w14:textId="77777777" w:rsidR="005A34B8" w:rsidRPr="005A34B8" w:rsidRDefault="005A34B8" w:rsidP="00C67119">
            <w:pPr>
              <w:pStyle w:val="TableRightHeading"/>
            </w:pPr>
          </w:p>
        </w:tc>
        <w:tc>
          <w:tcPr>
            <w:tcW w:w="931" w:type="dxa"/>
            <w:tcBorders>
              <w:top w:val="nil"/>
              <w:left w:val="nil"/>
              <w:bottom w:val="single" w:sz="6" w:space="0" w:color="auto"/>
              <w:right w:val="nil"/>
            </w:tcBorders>
          </w:tcPr>
          <w:p w14:paraId="0E3BFEF7" w14:textId="77777777" w:rsidR="005A34B8" w:rsidRPr="005A34B8" w:rsidRDefault="005A34B8" w:rsidP="00C67119">
            <w:pPr>
              <w:pStyle w:val="TableRightHeading"/>
            </w:pPr>
          </w:p>
        </w:tc>
        <w:tc>
          <w:tcPr>
            <w:tcW w:w="931" w:type="dxa"/>
            <w:tcBorders>
              <w:top w:val="nil"/>
              <w:left w:val="nil"/>
              <w:bottom w:val="single" w:sz="6" w:space="0" w:color="auto"/>
              <w:right w:val="nil"/>
            </w:tcBorders>
          </w:tcPr>
          <w:p w14:paraId="2EB10693" w14:textId="77777777" w:rsidR="005A34B8" w:rsidRPr="005A34B8" w:rsidRDefault="005A34B8" w:rsidP="00C67119">
            <w:pPr>
              <w:pStyle w:val="TableRightHeading"/>
            </w:pPr>
          </w:p>
        </w:tc>
      </w:tr>
      <w:tr w:rsidR="005A34B8" w14:paraId="5FE7F3C7" w14:textId="77777777" w:rsidTr="005A34B8">
        <w:tc>
          <w:tcPr>
            <w:tcW w:w="3686" w:type="dxa"/>
            <w:vAlign w:val="center"/>
            <w:hideMark/>
          </w:tcPr>
          <w:p w14:paraId="75A830D1" w14:textId="77777777" w:rsidR="005A34B8" w:rsidRPr="005A34B8" w:rsidRDefault="005A34B8">
            <w:pPr>
              <w:pStyle w:val="TableLeftHeading"/>
            </w:pPr>
            <w:r w:rsidRPr="005A34B8">
              <w:t>Net Assets</w:t>
            </w:r>
          </w:p>
        </w:tc>
        <w:tc>
          <w:tcPr>
            <w:tcW w:w="1168" w:type="dxa"/>
            <w:tcBorders>
              <w:top w:val="single" w:sz="6" w:space="0" w:color="auto"/>
              <w:left w:val="nil"/>
              <w:bottom w:val="double" w:sz="6" w:space="0" w:color="auto"/>
              <w:right w:val="nil"/>
            </w:tcBorders>
            <w:hideMark/>
          </w:tcPr>
          <w:p w14:paraId="5065BEFB" w14:textId="77777777" w:rsidR="005A34B8" w:rsidRPr="005A34B8" w:rsidRDefault="005A34B8">
            <w:pPr>
              <w:pStyle w:val="TableRightHeading"/>
            </w:pPr>
            <w:r w:rsidRPr="005A34B8">
              <w:t>10 769.8 </w:t>
            </w:r>
          </w:p>
        </w:tc>
        <w:tc>
          <w:tcPr>
            <w:tcW w:w="1046" w:type="dxa"/>
            <w:tcBorders>
              <w:top w:val="single" w:sz="6" w:space="0" w:color="auto"/>
              <w:left w:val="nil"/>
              <w:bottom w:val="double" w:sz="6" w:space="0" w:color="auto"/>
              <w:right w:val="nil"/>
            </w:tcBorders>
            <w:hideMark/>
          </w:tcPr>
          <w:p w14:paraId="6A5C832A" w14:textId="77777777" w:rsidR="005A34B8" w:rsidRPr="005A34B8" w:rsidRDefault="005A34B8">
            <w:pPr>
              <w:pStyle w:val="TableRightHeading"/>
            </w:pPr>
            <w:r w:rsidRPr="005A34B8">
              <w:t>15 206.8 </w:t>
            </w:r>
          </w:p>
        </w:tc>
        <w:tc>
          <w:tcPr>
            <w:tcW w:w="888" w:type="dxa"/>
            <w:tcBorders>
              <w:top w:val="single" w:sz="6" w:space="0" w:color="auto"/>
              <w:left w:val="nil"/>
              <w:bottom w:val="double" w:sz="6" w:space="0" w:color="auto"/>
              <w:right w:val="nil"/>
            </w:tcBorders>
            <w:hideMark/>
          </w:tcPr>
          <w:p w14:paraId="7A20D63E" w14:textId="77777777" w:rsidR="005A34B8" w:rsidRPr="005A34B8" w:rsidRDefault="005A34B8">
            <w:pPr>
              <w:pStyle w:val="TableRightHeading"/>
            </w:pPr>
            <w:r w:rsidRPr="005A34B8">
              <w:t>15 442.7 </w:t>
            </w:r>
          </w:p>
        </w:tc>
        <w:tc>
          <w:tcPr>
            <w:tcW w:w="931" w:type="dxa"/>
            <w:tcBorders>
              <w:top w:val="single" w:sz="6" w:space="0" w:color="auto"/>
              <w:left w:val="nil"/>
              <w:bottom w:val="double" w:sz="6" w:space="0" w:color="auto"/>
              <w:right w:val="nil"/>
            </w:tcBorders>
            <w:hideMark/>
          </w:tcPr>
          <w:p w14:paraId="58C80F9E" w14:textId="77777777" w:rsidR="005A34B8" w:rsidRPr="005A34B8" w:rsidRDefault="005A34B8">
            <w:pPr>
              <w:pStyle w:val="TableRightHeading"/>
            </w:pPr>
            <w:r w:rsidRPr="005A34B8">
              <w:t>15 794.7 </w:t>
            </w:r>
          </w:p>
        </w:tc>
        <w:tc>
          <w:tcPr>
            <w:tcW w:w="931" w:type="dxa"/>
            <w:tcBorders>
              <w:top w:val="single" w:sz="6" w:space="0" w:color="auto"/>
              <w:left w:val="nil"/>
              <w:bottom w:val="double" w:sz="6" w:space="0" w:color="auto"/>
              <w:right w:val="nil"/>
            </w:tcBorders>
            <w:hideMark/>
          </w:tcPr>
          <w:p w14:paraId="0E0C0D6C" w14:textId="77777777" w:rsidR="005A34B8" w:rsidRPr="005A34B8" w:rsidRDefault="005A34B8">
            <w:pPr>
              <w:pStyle w:val="TableRightHeading"/>
            </w:pPr>
            <w:r w:rsidRPr="005A34B8">
              <w:t>16 355.2 </w:t>
            </w:r>
          </w:p>
        </w:tc>
        <w:tc>
          <w:tcPr>
            <w:tcW w:w="931" w:type="dxa"/>
            <w:tcBorders>
              <w:top w:val="single" w:sz="6" w:space="0" w:color="auto"/>
              <w:left w:val="nil"/>
              <w:bottom w:val="double" w:sz="6" w:space="0" w:color="auto"/>
              <w:right w:val="nil"/>
            </w:tcBorders>
            <w:hideMark/>
          </w:tcPr>
          <w:p w14:paraId="7F6BA6B9" w14:textId="77777777" w:rsidR="005A34B8" w:rsidRPr="005A34B8" w:rsidRDefault="005A34B8">
            <w:pPr>
              <w:pStyle w:val="TableRightHeading"/>
            </w:pPr>
            <w:r w:rsidRPr="005A34B8">
              <w:t>17 212.0 </w:t>
            </w:r>
          </w:p>
        </w:tc>
      </w:tr>
    </w:tbl>
    <w:p w14:paraId="52792C92" w14:textId="77777777" w:rsidR="005A34B8" w:rsidRDefault="005A34B8">
      <w:pPr>
        <w:rPr>
          <w:rFonts w:eastAsiaTheme="majorEastAsia" w:cstheme="majorBidi"/>
          <w:sz w:val="30"/>
        </w:rPr>
      </w:pPr>
      <w:r>
        <w:br w:type="page"/>
      </w:r>
    </w:p>
    <w:p w14:paraId="607FFAC6" w14:textId="3DDA56DF" w:rsidR="005A34B8" w:rsidRPr="005A34B8" w:rsidRDefault="005A34B8" w:rsidP="005A34B8">
      <w:pPr>
        <w:pStyle w:val="Heading6"/>
      </w:pPr>
      <w:r w:rsidRPr="005A34B8">
        <w:lastRenderedPageBreak/>
        <w:t>Table 7.1:</w:t>
      </w:r>
      <w:r w:rsidRPr="005A34B8">
        <w:tab/>
        <w:t>General Government</w:t>
      </w:r>
      <w:r w:rsidR="00631BE9">
        <w:t xml:space="preserve"> Sector</w:t>
      </w:r>
      <w:r w:rsidRPr="005A34B8">
        <w:t xml:space="preserve"> Balance Sheet as at 30 June</w:t>
      </w:r>
      <w:r w:rsidR="00F521B4" w:rsidRPr="00F521B4">
        <w:rPr>
          <w:rStyle w:val="Heading6Superscipt"/>
        </w:rPr>
        <w:t>1</w:t>
      </w:r>
      <w:r w:rsidRPr="005A34B8">
        <w:t xml:space="preserve"> (continued)</w:t>
      </w:r>
    </w:p>
    <w:tbl>
      <w:tblPr>
        <w:tblW w:w="9581" w:type="dxa"/>
        <w:tblCellMar>
          <w:left w:w="28" w:type="dxa"/>
          <w:right w:w="28" w:type="dxa"/>
        </w:tblCellMar>
        <w:tblLook w:val="04A0" w:firstRow="1" w:lastRow="0" w:firstColumn="1" w:lastColumn="0" w:noHBand="0" w:noVBand="1"/>
      </w:tblPr>
      <w:tblGrid>
        <w:gridCol w:w="4013"/>
        <w:gridCol w:w="881"/>
        <w:gridCol w:w="1046"/>
        <w:gridCol w:w="881"/>
        <w:gridCol w:w="920"/>
        <w:gridCol w:w="920"/>
        <w:gridCol w:w="920"/>
      </w:tblGrid>
      <w:tr w:rsidR="005A34B8" w14:paraId="70C93C63" w14:textId="77777777" w:rsidTr="005A34B8">
        <w:tc>
          <w:tcPr>
            <w:tcW w:w="4013" w:type="dxa"/>
            <w:tcBorders>
              <w:top w:val="single" w:sz="6" w:space="0" w:color="auto"/>
              <w:left w:val="nil"/>
              <w:bottom w:val="nil"/>
              <w:right w:val="nil"/>
            </w:tcBorders>
            <w:vAlign w:val="center"/>
            <w:hideMark/>
          </w:tcPr>
          <w:p w14:paraId="28C463D5" w14:textId="77777777" w:rsidR="005A34B8" w:rsidRPr="005A34B8" w:rsidRDefault="005A34B8">
            <w:pPr>
              <w:pStyle w:val="TableLeft"/>
            </w:pPr>
            <w:r w:rsidRPr="005A34B8">
              <w:t> </w:t>
            </w:r>
          </w:p>
        </w:tc>
        <w:tc>
          <w:tcPr>
            <w:tcW w:w="881" w:type="dxa"/>
            <w:tcBorders>
              <w:top w:val="single" w:sz="6" w:space="0" w:color="auto"/>
              <w:left w:val="nil"/>
              <w:bottom w:val="nil"/>
              <w:right w:val="nil"/>
            </w:tcBorders>
            <w:vAlign w:val="center"/>
            <w:hideMark/>
          </w:tcPr>
          <w:p w14:paraId="1136BD6C" w14:textId="77777777" w:rsidR="005A34B8" w:rsidRPr="005A34B8" w:rsidRDefault="005A34B8">
            <w:pPr>
              <w:pStyle w:val="TableRightHeading"/>
            </w:pPr>
            <w:r w:rsidRPr="005A34B8">
              <w:t>2023 </w:t>
            </w:r>
          </w:p>
        </w:tc>
        <w:tc>
          <w:tcPr>
            <w:tcW w:w="1046" w:type="dxa"/>
            <w:tcBorders>
              <w:top w:val="single" w:sz="6" w:space="0" w:color="auto"/>
              <w:left w:val="nil"/>
              <w:bottom w:val="nil"/>
              <w:right w:val="nil"/>
            </w:tcBorders>
            <w:vAlign w:val="center"/>
            <w:hideMark/>
          </w:tcPr>
          <w:p w14:paraId="7C0D7FF1" w14:textId="77777777" w:rsidR="005A34B8" w:rsidRPr="005A34B8" w:rsidRDefault="005A34B8">
            <w:pPr>
              <w:pStyle w:val="TableRightHeading"/>
            </w:pPr>
            <w:r w:rsidRPr="005A34B8">
              <w:t>2023 </w:t>
            </w:r>
          </w:p>
        </w:tc>
        <w:tc>
          <w:tcPr>
            <w:tcW w:w="881" w:type="dxa"/>
            <w:tcBorders>
              <w:top w:val="single" w:sz="6" w:space="0" w:color="auto"/>
              <w:left w:val="nil"/>
              <w:bottom w:val="nil"/>
              <w:right w:val="nil"/>
            </w:tcBorders>
            <w:vAlign w:val="center"/>
            <w:hideMark/>
          </w:tcPr>
          <w:p w14:paraId="2CF24B18" w14:textId="77777777" w:rsidR="005A34B8" w:rsidRPr="005A34B8" w:rsidRDefault="005A34B8">
            <w:pPr>
              <w:pStyle w:val="TableRightHeading"/>
            </w:pPr>
            <w:r w:rsidRPr="005A34B8">
              <w:t>2024 </w:t>
            </w:r>
          </w:p>
        </w:tc>
        <w:tc>
          <w:tcPr>
            <w:tcW w:w="920" w:type="dxa"/>
            <w:tcBorders>
              <w:top w:val="single" w:sz="6" w:space="0" w:color="auto"/>
              <w:left w:val="nil"/>
              <w:bottom w:val="nil"/>
              <w:right w:val="nil"/>
            </w:tcBorders>
            <w:vAlign w:val="center"/>
            <w:hideMark/>
          </w:tcPr>
          <w:p w14:paraId="6637AC03" w14:textId="77777777" w:rsidR="005A34B8" w:rsidRPr="005A34B8" w:rsidRDefault="005A34B8">
            <w:pPr>
              <w:pStyle w:val="TableRightHeading"/>
            </w:pPr>
            <w:r w:rsidRPr="005A34B8">
              <w:t>2025 </w:t>
            </w:r>
          </w:p>
        </w:tc>
        <w:tc>
          <w:tcPr>
            <w:tcW w:w="920" w:type="dxa"/>
            <w:tcBorders>
              <w:top w:val="single" w:sz="6" w:space="0" w:color="auto"/>
              <w:left w:val="nil"/>
              <w:bottom w:val="nil"/>
              <w:right w:val="nil"/>
            </w:tcBorders>
            <w:vAlign w:val="center"/>
            <w:hideMark/>
          </w:tcPr>
          <w:p w14:paraId="00CED632" w14:textId="77777777" w:rsidR="005A34B8" w:rsidRPr="005A34B8" w:rsidRDefault="005A34B8">
            <w:pPr>
              <w:pStyle w:val="TableRightHeading"/>
            </w:pPr>
            <w:r w:rsidRPr="005A34B8">
              <w:t>2026 </w:t>
            </w:r>
          </w:p>
        </w:tc>
        <w:tc>
          <w:tcPr>
            <w:tcW w:w="920" w:type="dxa"/>
            <w:tcBorders>
              <w:top w:val="single" w:sz="6" w:space="0" w:color="auto"/>
              <w:left w:val="nil"/>
              <w:bottom w:val="nil"/>
              <w:right w:val="nil"/>
            </w:tcBorders>
            <w:vAlign w:val="center"/>
            <w:hideMark/>
          </w:tcPr>
          <w:p w14:paraId="19FBED3F" w14:textId="77777777" w:rsidR="005A34B8" w:rsidRPr="005A34B8" w:rsidRDefault="005A34B8">
            <w:pPr>
              <w:pStyle w:val="TableRightHeading"/>
            </w:pPr>
            <w:r w:rsidRPr="005A34B8">
              <w:t>2027 </w:t>
            </w:r>
          </w:p>
        </w:tc>
      </w:tr>
      <w:tr w:rsidR="005A34B8" w14:paraId="4D8A92BE" w14:textId="77777777" w:rsidTr="005A34B8">
        <w:tc>
          <w:tcPr>
            <w:tcW w:w="4013" w:type="dxa"/>
            <w:vAlign w:val="center"/>
            <w:hideMark/>
          </w:tcPr>
          <w:p w14:paraId="731E97A3" w14:textId="77777777" w:rsidR="005A34B8" w:rsidRPr="005A34B8" w:rsidRDefault="005A34B8" w:rsidP="00C044AD">
            <w:pPr>
              <w:pStyle w:val="TableRightHeading"/>
            </w:pPr>
          </w:p>
        </w:tc>
        <w:tc>
          <w:tcPr>
            <w:tcW w:w="881" w:type="dxa"/>
            <w:vAlign w:val="center"/>
            <w:hideMark/>
          </w:tcPr>
          <w:p w14:paraId="77AC3F93" w14:textId="77777777" w:rsidR="005A34B8" w:rsidRPr="005A34B8" w:rsidRDefault="005A34B8" w:rsidP="00C044AD">
            <w:pPr>
              <w:pStyle w:val="TableRightHeading"/>
            </w:pPr>
          </w:p>
        </w:tc>
        <w:tc>
          <w:tcPr>
            <w:tcW w:w="1046" w:type="dxa"/>
            <w:vAlign w:val="center"/>
            <w:hideMark/>
          </w:tcPr>
          <w:p w14:paraId="260FD1E1" w14:textId="77777777" w:rsidR="005A34B8" w:rsidRPr="005A34B8" w:rsidRDefault="005A34B8" w:rsidP="00C044AD">
            <w:pPr>
              <w:pStyle w:val="TableRightHeading"/>
            </w:pPr>
            <w:r w:rsidRPr="005A34B8">
              <w:t>Estimated</w:t>
            </w:r>
          </w:p>
        </w:tc>
        <w:tc>
          <w:tcPr>
            <w:tcW w:w="881" w:type="dxa"/>
            <w:vAlign w:val="center"/>
            <w:hideMark/>
          </w:tcPr>
          <w:p w14:paraId="47F378BC" w14:textId="77777777" w:rsidR="005A34B8" w:rsidRPr="005A34B8" w:rsidRDefault="005A34B8" w:rsidP="00C044AD">
            <w:pPr>
              <w:pStyle w:val="TableRightHeading"/>
            </w:pPr>
          </w:p>
        </w:tc>
        <w:tc>
          <w:tcPr>
            <w:tcW w:w="920" w:type="dxa"/>
            <w:vAlign w:val="center"/>
            <w:hideMark/>
          </w:tcPr>
          <w:p w14:paraId="626B8F86" w14:textId="77777777" w:rsidR="005A34B8" w:rsidRPr="005A34B8" w:rsidRDefault="005A34B8" w:rsidP="00C044AD">
            <w:pPr>
              <w:pStyle w:val="TableRightHeading"/>
            </w:pPr>
            <w:r w:rsidRPr="005A34B8">
              <w:t xml:space="preserve">Forward </w:t>
            </w:r>
          </w:p>
        </w:tc>
        <w:tc>
          <w:tcPr>
            <w:tcW w:w="920" w:type="dxa"/>
            <w:vAlign w:val="center"/>
            <w:hideMark/>
          </w:tcPr>
          <w:p w14:paraId="536DEF9B" w14:textId="77777777" w:rsidR="005A34B8" w:rsidRPr="005A34B8" w:rsidRDefault="005A34B8" w:rsidP="00C044AD">
            <w:pPr>
              <w:pStyle w:val="TableRightHeading"/>
            </w:pPr>
            <w:r w:rsidRPr="005A34B8">
              <w:t xml:space="preserve">Forward </w:t>
            </w:r>
          </w:p>
        </w:tc>
        <w:tc>
          <w:tcPr>
            <w:tcW w:w="920" w:type="dxa"/>
            <w:vAlign w:val="center"/>
            <w:hideMark/>
          </w:tcPr>
          <w:p w14:paraId="3B8DE4AD" w14:textId="77777777" w:rsidR="005A34B8" w:rsidRPr="005A34B8" w:rsidRDefault="005A34B8" w:rsidP="00C044AD">
            <w:pPr>
              <w:pStyle w:val="TableRightHeading"/>
            </w:pPr>
            <w:r w:rsidRPr="005A34B8">
              <w:t xml:space="preserve">Forward </w:t>
            </w:r>
          </w:p>
        </w:tc>
      </w:tr>
      <w:tr w:rsidR="005A34B8" w14:paraId="2573668C" w14:textId="77777777" w:rsidTr="005A34B8">
        <w:tc>
          <w:tcPr>
            <w:tcW w:w="4013" w:type="dxa"/>
            <w:tcBorders>
              <w:top w:val="nil"/>
              <w:left w:val="nil"/>
              <w:bottom w:val="single" w:sz="6" w:space="0" w:color="auto"/>
              <w:right w:val="nil"/>
            </w:tcBorders>
            <w:vAlign w:val="center"/>
            <w:hideMark/>
          </w:tcPr>
          <w:p w14:paraId="582C7151" w14:textId="77777777" w:rsidR="005A34B8" w:rsidRPr="005A34B8" w:rsidRDefault="005A34B8">
            <w:pPr>
              <w:pStyle w:val="TableLeft"/>
            </w:pPr>
            <w:r w:rsidRPr="005A34B8">
              <w:t> </w:t>
            </w:r>
          </w:p>
        </w:tc>
        <w:tc>
          <w:tcPr>
            <w:tcW w:w="881" w:type="dxa"/>
            <w:tcBorders>
              <w:top w:val="nil"/>
              <w:left w:val="nil"/>
              <w:bottom w:val="single" w:sz="6" w:space="0" w:color="auto"/>
              <w:right w:val="nil"/>
            </w:tcBorders>
            <w:vAlign w:val="center"/>
            <w:hideMark/>
          </w:tcPr>
          <w:p w14:paraId="3C0418A7" w14:textId="77777777" w:rsidR="005A34B8" w:rsidRPr="005A34B8" w:rsidRDefault="005A34B8">
            <w:pPr>
              <w:pStyle w:val="TableRightHeading"/>
            </w:pPr>
            <w:r w:rsidRPr="005A34B8">
              <w:t xml:space="preserve">Budget </w:t>
            </w:r>
          </w:p>
        </w:tc>
        <w:tc>
          <w:tcPr>
            <w:tcW w:w="1046" w:type="dxa"/>
            <w:tcBorders>
              <w:top w:val="nil"/>
              <w:left w:val="nil"/>
              <w:bottom w:val="single" w:sz="6" w:space="0" w:color="auto"/>
              <w:right w:val="nil"/>
            </w:tcBorders>
            <w:vAlign w:val="center"/>
            <w:hideMark/>
          </w:tcPr>
          <w:p w14:paraId="04328B8C" w14:textId="77777777" w:rsidR="005A34B8" w:rsidRPr="005A34B8" w:rsidRDefault="005A34B8">
            <w:pPr>
              <w:pStyle w:val="TableRightHeading"/>
            </w:pPr>
            <w:r w:rsidRPr="005A34B8">
              <w:t>Outcome</w:t>
            </w:r>
          </w:p>
        </w:tc>
        <w:tc>
          <w:tcPr>
            <w:tcW w:w="881" w:type="dxa"/>
            <w:tcBorders>
              <w:top w:val="nil"/>
              <w:left w:val="nil"/>
              <w:bottom w:val="single" w:sz="6" w:space="0" w:color="auto"/>
              <w:right w:val="nil"/>
            </w:tcBorders>
            <w:vAlign w:val="center"/>
            <w:hideMark/>
          </w:tcPr>
          <w:p w14:paraId="22203B46" w14:textId="77777777" w:rsidR="005A34B8" w:rsidRPr="005A34B8" w:rsidRDefault="005A34B8">
            <w:pPr>
              <w:pStyle w:val="TableRightHeading"/>
            </w:pPr>
            <w:r w:rsidRPr="005A34B8">
              <w:t xml:space="preserve">Budget </w:t>
            </w:r>
          </w:p>
        </w:tc>
        <w:tc>
          <w:tcPr>
            <w:tcW w:w="920" w:type="dxa"/>
            <w:tcBorders>
              <w:top w:val="nil"/>
              <w:left w:val="nil"/>
              <w:bottom w:val="single" w:sz="6" w:space="0" w:color="auto"/>
              <w:right w:val="nil"/>
            </w:tcBorders>
            <w:vAlign w:val="center"/>
            <w:hideMark/>
          </w:tcPr>
          <w:p w14:paraId="498EB5DC" w14:textId="77777777" w:rsidR="005A34B8" w:rsidRPr="005A34B8" w:rsidRDefault="005A34B8">
            <w:pPr>
              <w:pStyle w:val="TableRightHeading"/>
            </w:pPr>
            <w:r w:rsidRPr="005A34B8">
              <w:t xml:space="preserve">Estimate </w:t>
            </w:r>
          </w:p>
        </w:tc>
        <w:tc>
          <w:tcPr>
            <w:tcW w:w="920" w:type="dxa"/>
            <w:tcBorders>
              <w:top w:val="nil"/>
              <w:left w:val="nil"/>
              <w:bottom w:val="single" w:sz="6" w:space="0" w:color="auto"/>
              <w:right w:val="nil"/>
            </w:tcBorders>
            <w:vAlign w:val="center"/>
            <w:hideMark/>
          </w:tcPr>
          <w:p w14:paraId="02E39311" w14:textId="77777777" w:rsidR="005A34B8" w:rsidRPr="005A34B8" w:rsidRDefault="005A34B8">
            <w:pPr>
              <w:pStyle w:val="TableRightHeading"/>
            </w:pPr>
            <w:r w:rsidRPr="005A34B8">
              <w:t xml:space="preserve">Estimate </w:t>
            </w:r>
          </w:p>
        </w:tc>
        <w:tc>
          <w:tcPr>
            <w:tcW w:w="920" w:type="dxa"/>
            <w:tcBorders>
              <w:top w:val="nil"/>
              <w:left w:val="nil"/>
              <w:bottom w:val="single" w:sz="6" w:space="0" w:color="auto"/>
              <w:right w:val="nil"/>
            </w:tcBorders>
            <w:vAlign w:val="center"/>
            <w:hideMark/>
          </w:tcPr>
          <w:p w14:paraId="6F8D93FE" w14:textId="77777777" w:rsidR="005A34B8" w:rsidRPr="005A34B8" w:rsidRDefault="005A34B8">
            <w:pPr>
              <w:pStyle w:val="TableRightHeading"/>
            </w:pPr>
            <w:r w:rsidRPr="005A34B8">
              <w:t xml:space="preserve">Estimate </w:t>
            </w:r>
          </w:p>
        </w:tc>
      </w:tr>
      <w:tr w:rsidR="005A34B8" w14:paraId="39AB593C" w14:textId="77777777" w:rsidTr="005A34B8">
        <w:tc>
          <w:tcPr>
            <w:tcW w:w="4013" w:type="dxa"/>
            <w:tcBorders>
              <w:top w:val="single" w:sz="6" w:space="0" w:color="auto"/>
              <w:left w:val="nil"/>
              <w:bottom w:val="nil"/>
              <w:right w:val="nil"/>
            </w:tcBorders>
            <w:vAlign w:val="center"/>
            <w:hideMark/>
          </w:tcPr>
          <w:p w14:paraId="5731C939" w14:textId="77777777" w:rsidR="005A34B8" w:rsidRPr="005A34B8" w:rsidRDefault="005A34B8" w:rsidP="00C67119">
            <w:pPr>
              <w:pStyle w:val="TableLeftHeading"/>
            </w:pPr>
          </w:p>
        </w:tc>
        <w:tc>
          <w:tcPr>
            <w:tcW w:w="881" w:type="dxa"/>
            <w:tcBorders>
              <w:top w:val="single" w:sz="6" w:space="0" w:color="auto"/>
              <w:left w:val="nil"/>
              <w:bottom w:val="nil"/>
              <w:right w:val="nil"/>
            </w:tcBorders>
            <w:vAlign w:val="center"/>
            <w:hideMark/>
          </w:tcPr>
          <w:p w14:paraId="2C016AAC" w14:textId="77777777" w:rsidR="005A34B8" w:rsidRPr="005A34B8" w:rsidRDefault="005A34B8">
            <w:pPr>
              <w:pStyle w:val="TableRightHeading"/>
            </w:pPr>
            <w:r w:rsidRPr="005A34B8">
              <w:t>$m </w:t>
            </w:r>
          </w:p>
        </w:tc>
        <w:tc>
          <w:tcPr>
            <w:tcW w:w="1046" w:type="dxa"/>
            <w:tcBorders>
              <w:top w:val="single" w:sz="6" w:space="0" w:color="auto"/>
              <w:left w:val="nil"/>
              <w:bottom w:val="nil"/>
              <w:right w:val="nil"/>
            </w:tcBorders>
            <w:vAlign w:val="center"/>
            <w:hideMark/>
          </w:tcPr>
          <w:p w14:paraId="4D660F97" w14:textId="77777777" w:rsidR="005A34B8" w:rsidRPr="005A34B8" w:rsidRDefault="005A34B8">
            <w:pPr>
              <w:pStyle w:val="TableRightHeading"/>
            </w:pPr>
            <w:r w:rsidRPr="005A34B8">
              <w:t>$m </w:t>
            </w:r>
          </w:p>
        </w:tc>
        <w:tc>
          <w:tcPr>
            <w:tcW w:w="881" w:type="dxa"/>
            <w:tcBorders>
              <w:top w:val="single" w:sz="6" w:space="0" w:color="auto"/>
              <w:left w:val="nil"/>
              <w:bottom w:val="nil"/>
              <w:right w:val="nil"/>
            </w:tcBorders>
            <w:vAlign w:val="center"/>
            <w:hideMark/>
          </w:tcPr>
          <w:p w14:paraId="5F70FC27" w14:textId="77777777" w:rsidR="005A34B8" w:rsidRPr="005A34B8" w:rsidRDefault="005A34B8">
            <w:pPr>
              <w:pStyle w:val="TableRightHeading"/>
            </w:pPr>
            <w:r w:rsidRPr="005A34B8">
              <w:t>$m </w:t>
            </w:r>
          </w:p>
        </w:tc>
        <w:tc>
          <w:tcPr>
            <w:tcW w:w="920" w:type="dxa"/>
            <w:tcBorders>
              <w:top w:val="single" w:sz="6" w:space="0" w:color="auto"/>
              <w:left w:val="nil"/>
              <w:bottom w:val="nil"/>
              <w:right w:val="nil"/>
            </w:tcBorders>
            <w:vAlign w:val="center"/>
            <w:hideMark/>
          </w:tcPr>
          <w:p w14:paraId="0C865E61" w14:textId="77777777" w:rsidR="005A34B8" w:rsidRPr="005A34B8" w:rsidRDefault="005A34B8">
            <w:pPr>
              <w:pStyle w:val="TableRightHeading"/>
            </w:pPr>
            <w:r w:rsidRPr="005A34B8">
              <w:t>$m </w:t>
            </w:r>
          </w:p>
        </w:tc>
        <w:tc>
          <w:tcPr>
            <w:tcW w:w="920" w:type="dxa"/>
            <w:tcBorders>
              <w:top w:val="single" w:sz="6" w:space="0" w:color="auto"/>
              <w:left w:val="nil"/>
              <w:bottom w:val="nil"/>
              <w:right w:val="nil"/>
            </w:tcBorders>
            <w:vAlign w:val="center"/>
            <w:hideMark/>
          </w:tcPr>
          <w:p w14:paraId="19DF6C88" w14:textId="77777777" w:rsidR="005A34B8" w:rsidRPr="005A34B8" w:rsidRDefault="005A34B8">
            <w:pPr>
              <w:pStyle w:val="TableRightHeading"/>
            </w:pPr>
            <w:r w:rsidRPr="005A34B8">
              <w:t>$m </w:t>
            </w:r>
          </w:p>
        </w:tc>
        <w:tc>
          <w:tcPr>
            <w:tcW w:w="920" w:type="dxa"/>
            <w:tcBorders>
              <w:top w:val="single" w:sz="6" w:space="0" w:color="auto"/>
              <w:left w:val="nil"/>
              <w:bottom w:val="nil"/>
              <w:right w:val="nil"/>
            </w:tcBorders>
            <w:vAlign w:val="center"/>
            <w:hideMark/>
          </w:tcPr>
          <w:p w14:paraId="2B536736" w14:textId="77777777" w:rsidR="005A34B8" w:rsidRPr="005A34B8" w:rsidRDefault="005A34B8">
            <w:pPr>
              <w:pStyle w:val="TableRightHeading"/>
            </w:pPr>
            <w:r w:rsidRPr="005A34B8">
              <w:t>$m </w:t>
            </w:r>
          </w:p>
        </w:tc>
      </w:tr>
      <w:tr w:rsidR="005A34B8" w14:paraId="184A2EEC" w14:textId="77777777" w:rsidTr="005A34B8">
        <w:tc>
          <w:tcPr>
            <w:tcW w:w="4013" w:type="dxa"/>
            <w:vAlign w:val="center"/>
            <w:hideMark/>
          </w:tcPr>
          <w:p w14:paraId="7D8B2BBC" w14:textId="77777777" w:rsidR="005A34B8" w:rsidRPr="005A34B8" w:rsidRDefault="005A34B8" w:rsidP="00C67119">
            <w:pPr>
              <w:pStyle w:val="TableLeftHeading"/>
            </w:pPr>
          </w:p>
        </w:tc>
        <w:tc>
          <w:tcPr>
            <w:tcW w:w="881" w:type="dxa"/>
            <w:vAlign w:val="center"/>
            <w:hideMark/>
          </w:tcPr>
          <w:p w14:paraId="5F19BC70" w14:textId="77777777" w:rsidR="005A34B8" w:rsidRPr="005A34B8" w:rsidRDefault="005A34B8" w:rsidP="00C67119">
            <w:pPr>
              <w:pStyle w:val="TableRightHeading"/>
            </w:pPr>
          </w:p>
        </w:tc>
        <w:tc>
          <w:tcPr>
            <w:tcW w:w="1046" w:type="dxa"/>
            <w:vAlign w:val="center"/>
            <w:hideMark/>
          </w:tcPr>
          <w:p w14:paraId="795EF950" w14:textId="77777777" w:rsidR="005A34B8" w:rsidRPr="005A34B8" w:rsidRDefault="005A34B8" w:rsidP="00C67119">
            <w:pPr>
              <w:pStyle w:val="TableRightHeading"/>
            </w:pPr>
          </w:p>
        </w:tc>
        <w:tc>
          <w:tcPr>
            <w:tcW w:w="881" w:type="dxa"/>
            <w:vAlign w:val="center"/>
            <w:hideMark/>
          </w:tcPr>
          <w:p w14:paraId="4B8F7017" w14:textId="77777777" w:rsidR="005A34B8" w:rsidRPr="005A34B8" w:rsidRDefault="005A34B8" w:rsidP="00C67119">
            <w:pPr>
              <w:pStyle w:val="TableRightHeading"/>
            </w:pPr>
          </w:p>
        </w:tc>
        <w:tc>
          <w:tcPr>
            <w:tcW w:w="920" w:type="dxa"/>
            <w:vAlign w:val="center"/>
            <w:hideMark/>
          </w:tcPr>
          <w:p w14:paraId="58CC1046" w14:textId="77777777" w:rsidR="005A34B8" w:rsidRPr="005A34B8" w:rsidRDefault="005A34B8" w:rsidP="00C67119">
            <w:pPr>
              <w:pStyle w:val="TableRightHeading"/>
            </w:pPr>
          </w:p>
        </w:tc>
        <w:tc>
          <w:tcPr>
            <w:tcW w:w="920" w:type="dxa"/>
            <w:vAlign w:val="center"/>
            <w:hideMark/>
          </w:tcPr>
          <w:p w14:paraId="2799392E" w14:textId="77777777" w:rsidR="005A34B8" w:rsidRPr="005A34B8" w:rsidRDefault="005A34B8" w:rsidP="00C67119">
            <w:pPr>
              <w:pStyle w:val="TableRightHeading"/>
            </w:pPr>
          </w:p>
        </w:tc>
        <w:tc>
          <w:tcPr>
            <w:tcW w:w="920" w:type="dxa"/>
            <w:vAlign w:val="center"/>
            <w:hideMark/>
          </w:tcPr>
          <w:p w14:paraId="3C3354D4" w14:textId="77777777" w:rsidR="005A34B8" w:rsidRPr="005A34B8" w:rsidRDefault="005A34B8" w:rsidP="00C67119">
            <w:pPr>
              <w:pStyle w:val="TableRightHeading"/>
            </w:pPr>
          </w:p>
        </w:tc>
      </w:tr>
      <w:tr w:rsidR="005A34B8" w14:paraId="486F836B" w14:textId="77777777" w:rsidTr="005A34B8">
        <w:tc>
          <w:tcPr>
            <w:tcW w:w="4013" w:type="dxa"/>
            <w:vAlign w:val="center"/>
            <w:hideMark/>
          </w:tcPr>
          <w:p w14:paraId="70F6C868" w14:textId="77777777" w:rsidR="005A34B8" w:rsidRPr="005A34B8" w:rsidRDefault="005A34B8" w:rsidP="00C67119">
            <w:pPr>
              <w:pStyle w:val="TableLeftHeading"/>
            </w:pPr>
            <w:r w:rsidRPr="005A34B8">
              <w:t>Equity</w:t>
            </w:r>
          </w:p>
        </w:tc>
        <w:tc>
          <w:tcPr>
            <w:tcW w:w="881" w:type="dxa"/>
            <w:vAlign w:val="center"/>
            <w:hideMark/>
          </w:tcPr>
          <w:p w14:paraId="46733238" w14:textId="77777777" w:rsidR="005A34B8" w:rsidRPr="005A34B8" w:rsidRDefault="005A34B8" w:rsidP="00C67119">
            <w:pPr>
              <w:pStyle w:val="TableRightHeading"/>
            </w:pPr>
          </w:p>
        </w:tc>
        <w:tc>
          <w:tcPr>
            <w:tcW w:w="1046" w:type="dxa"/>
            <w:vAlign w:val="center"/>
            <w:hideMark/>
          </w:tcPr>
          <w:p w14:paraId="4C5A72AC" w14:textId="77777777" w:rsidR="005A34B8" w:rsidRPr="005A34B8" w:rsidRDefault="005A34B8" w:rsidP="00C67119">
            <w:pPr>
              <w:pStyle w:val="TableRightHeading"/>
            </w:pPr>
          </w:p>
        </w:tc>
        <w:tc>
          <w:tcPr>
            <w:tcW w:w="881" w:type="dxa"/>
            <w:vAlign w:val="center"/>
            <w:hideMark/>
          </w:tcPr>
          <w:p w14:paraId="44EE12A4" w14:textId="77777777" w:rsidR="005A34B8" w:rsidRPr="005A34B8" w:rsidRDefault="005A34B8" w:rsidP="00C67119">
            <w:pPr>
              <w:pStyle w:val="TableRightHeading"/>
            </w:pPr>
          </w:p>
        </w:tc>
        <w:tc>
          <w:tcPr>
            <w:tcW w:w="920" w:type="dxa"/>
            <w:vAlign w:val="center"/>
            <w:hideMark/>
          </w:tcPr>
          <w:p w14:paraId="7C4DF577" w14:textId="77777777" w:rsidR="005A34B8" w:rsidRPr="005A34B8" w:rsidRDefault="005A34B8" w:rsidP="00C67119">
            <w:pPr>
              <w:pStyle w:val="TableRightHeading"/>
            </w:pPr>
          </w:p>
        </w:tc>
        <w:tc>
          <w:tcPr>
            <w:tcW w:w="920" w:type="dxa"/>
            <w:vAlign w:val="center"/>
            <w:hideMark/>
          </w:tcPr>
          <w:p w14:paraId="55CED8E8" w14:textId="77777777" w:rsidR="005A34B8" w:rsidRPr="005A34B8" w:rsidRDefault="005A34B8" w:rsidP="00C67119">
            <w:pPr>
              <w:pStyle w:val="TableRightHeading"/>
            </w:pPr>
          </w:p>
        </w:tc>
        <w:tc>
          <w:tcPr>
            <w:tcW w:w="920" w:type="dxa"/>
            <w:vAlign w:val="center"/>
            <w:hideMark/>
          </w:tcPr>
          <w:p w14:paraId="7B640DBA" w14:textId="77777777" w:rsidR="005A34B8" w:rsidRPr="005A34B8" w:rsidRDefault="005A34B8" w:rsidP="00C67119">
            <w:pPr>
              <w:pStyle w:val="TableRightHeading"/>
            </w:pPr>
          </w:p>
        </w:tc>
      </w:tr>
      <w:tr w:rsidR="005A34B8" w14:paraId="4376F43A" w14:textId="77777777" w:rsidTr="005A34B8">
        <w:tc>
          <w:tcPr>
            <w:tcW w:w="4013" w:type="dxa"/>
            <w:vAlign w:val="center"/>
            <w:hideMark/>
          </w:tcPr>
          <w:p w14:paraId="79117A9B" w14:textId="77777777" w:rsidR="005A34B8" w:rsidRPr="005A34B8" w:rsidRDefault="005A34B8">
            <w:pPr>
              <w:pStyle w:val="TableIndent"/>
            </w:pPr>
            <w:r w:rsidRPr="005A34B8">
              <w:t>Accumulated funds</w:t>
            </w:r>
          </w:p>
        </w:tc>
        <w:tc>
          <w:tcPr>
            <w:tcW w:w="881" w:type="dxa"/>
            <w:hideMark/>
          </w:tcPr>
          <w:p w14:paraId="2E998B3D" w14:textId="77777777" w:rsidR="005A34B8" w:rsidRPr="005A34B8" w:rsidRDefault="005A34B8">
            <w:pPr>
              <w:pStyle w:val="TableRight"/>
            </w:pPr>
            <w:r w:rsidRPr="005A34B8">
              <w:t>5 345.7 </w:t>
            </w:r>
          </w:p>
        </w:tc>
        <w:tc>
          <w:tcPr>
            <w:tcW w:w="1046" w:type="dxa"/>
            <w:hideMark/>
          </w:tcPr>
          <w:p w14:paraId="537F719C" w14:textId="77777777" w:rsidR="005A34B8" w:rsidRPr="005A34B8" w:rsidRDefault="005A34B8">
            <w:pPr>
              <w:pStyle w:val="TableRight"/>
            </w:pPr>
            <w:r w:rsidRPr="005A34B8">
              <w:t>8 150.5 </w:t>
            </w:r>
          </w:p>
        </w:tc>
        <w:tc>
          <w:tcPr>
            <w:tcW w:w="881" w:type="dxa"/>
            <w:hideMark/>
          </w:tcPr>
          <w:p w14:paraId="5B364E54" w14:textId="77777777" w:rsidR="005A34B8" w:rsidRPr="005A34B8" w:rsidRDefault="005A34B8">
            <w:pPr>
              <w:pStyle w:val="TableRight"/>
            </w:pPr>
            <w:r w:rsidRPr="005A34B8">
              <w:t>7 831.8 </w:t>
            </w:r>
          </w:p>
        </w:tc>
        <w:tc>
          <w:tcPr>
            <w:tcW w:w="920" w:type="dxa"/>
            <w:hideMark/>
          </w:tcPr>
          <w:p w14:paraId="4D67D27E" w14:textId="77777777" w:rsidR="005A34B8" w:rsidRPr="005A34B8" w:rsidRDefault="005A34B8">
            <w:pPr>
              <w:pStyle w:val="TableRight"/>
            </w:pPr>
            <w:r w:rsidRPr="005A34B8">
              <w:t>7 635.1 </w:t>
            </w:r>
          </w:p>
        </w:tc>
        <w:tc>
          <w:tcPr>
            <w:tcW w:w="920" w:type="dxa"/>
            <w:hideMark/>
          </w:tcPr>
          <w:p w14:paraId="23030DC8" w14:textId="77777777" w:rsidR="005A34B8" w:rsidRPr="005A34B8" w:rsidRDefault="005A34B8">
            <w:pPr>
              <w:pStyle w:val="TableRight"/>
            </w:pPr>
            <w:r w:rsidRPr="005A34B8">
              <w:t>7 614.1 </w:t>
            </w:r>
          </w:p>
        </w:tc>
        <w:tc>
          <w:tcPr>
            <w:tcW w:w="920" w:type="dxa"/>
            <w:hideMark/>
          </w:tcPr>
          <w:p w14:paraId="47347B9C" w14:textId="77777777" w:rsidR="005A34B8" w:rsidRPr="005A34B8" w:rsidRDefault="005A34B8">
            <w:pPr>
              <w:pStyle w:val="TableRight"/>
            </w:pPr>
            <w:r w:rsidRPr="005A34B8">
              <w:t>7 646.6 </w:t>
            </w:r>
          </w:p>
        </w:tc>
      </w:tr>
      <w:tr w:rsidR="005A34B8" w14:paraId="35460F6F" w14:textId="77777777" w:rsidTr="005A34B8">
        <w:tc>
          <w:tcPr>
            <w:tcW w:w="4013" w:type="dxa"/>
            <w:vAlign w:val="center"/>
            <w:hideMark/>
          </w:tcPr>
          <w:p w14:paraId="458425C5" w14:textId="77777777" w:rsidR="005A34B8" w:rsidRPr="005A34B8" w:rsidRDefault="005A34B8">
            <w:pPr>
              <w:pStyle w:val="TableIndent"/>
            </w:pPr>
            <w:r w:rsidRPr="005A34B8">
              <w:t>Asset revaluation reserve</w:t>
            </w:r>
          </w:p>
        </w:tc>
        <w:tc>
          <w:tcPr>
            <w:tcW w:w="881" w:type="dxa"/>
            <w:hideMark/>
          </w:tcPr>
          <w:p w14:paraId="79A9C217" w14:textId="77777777" w:rsidR="005A34B8" w:rsidRPr="005A34B8" w:rsidRDefault="005A34B8">
            <w:pPr>
              <w:pStyle w:val="TableRight"/>
            </w:pPr>
            <w:r w:rsidRPr="005A34B8">
              <w:t>6 113.2 </w:t>
            </w:r>
          </w:p>
        </w:tc>
        <w:tc>
          <w:tcPr>
            <w:tcW w:w="1046" w:type="dxa"/>
            <w:hideMark/>
          </w:tcPr>
          <w:p w14:paraId="0087F029" w14:textId="77777777" w:rsidR="005A34B8" w:rsidRPr="005A34B8" w:rsidRDefault="005A34B8">
            <w:pPr>
              <w:pStyle w:val="TableRight"/>
            </w:pPr>
            <w:r w:rsidRPr="005A34B8">
              <w:t>6 100.3 </w:t>
            </w:r>
          </w:p>
        </w:tc>
        <w:tc>
          <w:tcPr>
            <w:tcW w:w="881" w:type="dxa"/>
            <w:hideMark/>
          </w:tcPr>
          <w:p w14:paraId="7A14F57C" w14:textId="77777777" w:rsidR="005A34B8" w:rsidRPr="005A34B8" w:rsidRDefault="005A34B8">
            <w:pPr>
              <w:pStyle w:val="TableRight"/>
            </w:pPr>
            <w:r w:rsidRPr="005A34B8">
              <w:t>6 374.4 </w:t>
            </w:r>
          </w:p>
        </w:tc>
        <w:tc>
          <w:tcPr>
            <w:tcW w:w="920" w:type="dxa"/>
            <w:hideMark/>
          </w:tcPr>
          <w:p w14:paraId="111A96C7" w14:textId="77777777" w:rsidR="005A34B8" w:rsidRPr="005A34B8" w:rsidRDefault="005A34B8">
            <w:pPr>
              <w:pStyle w:val="TableRight"/>
            </w:pPr>
            <w:r w:rsidRPr="005A34B8">
              <w:t>6 648.5 </w:t>
            </w:r>
          </w:p>
        </w:tc>
        <w:tc>
          <w:tcPr>
            <w:tcW w:w="920" w:type="dxa"/>
            <w:hideMark/>
          </w:tcPr>
          <w:p w14:paraId="4417118E" w14:textId="77777777" w:rsidR="005A34B8" w:rsidRPr="005A34B8" w:rsidRDefault="005A34B8">
            <w:pPr>
              <w:pStyle w:val="TableRight"/>
            </w:pPr>
            <w:r w:rsidRPr="005A34B8">
              <w:t>6 922.6 </w:t>
            </w:r>
          </w:p>
        </w:tc>
        <w:tc>
          <w:tcPr>
            <w:tcW w:w="920" w:type="dxa"/>
            <w:hideMark/>
          </w:tcPr>
          <w:p w14:paraId="44095671" w14:textId="77777777" w:rsidR="005A34B8" w:rsidRPr="005A34B8" w:rsidRDefault="005A34B8">
            <w:pPr>
              <w:pStyle w:val="TableRight"/>
            </w:pPr>
            <w:r w:rsidRPr="005A34B8">
              <w:t>7 196.7 </w:t>
            </w:r>
          </w:p>
        </w:tc>
      </w:tr>
      <w:tr w:rsidR="005A34B8" w14:paraId="511D68BB" w14:textId="77777777" w:rsidTr="005A34B8">
        <w:tc>
          <w:tcPr>
            <w:tcW w:w="4013" w:type="dxa"/>
            <w:vAlign w:val="center"/>
            <w:hideMark/>
          </w:tcPr>
          <w:p w14:paraId="5BCADBC1" w14:textId="77777777" w:rsidR="005A34B8" w:rsidRPr="005A34B8" w:rsidRDefault="005A34B8">
            <w:pPr>
              <w:pStyle w:val="TableIndent"/>
            </w:pPr>
            <w:r w:rsidRPr="005A34B8">
              <w:t>Other revaluation reserves</w:t>
            </w:r>
          </w:p>
        </w:tc>
        <w:tc>
          <w:tcPr>
            <w:tcW w:w="881" w:type="dxa"/>
            <w:tcBorders>
              <w:top w:val="nil"/>
              <w:left w:val="nil"/>
              <w:bottom w:val="single" w:sz="6" w:space="0" w:color="auto"/>
              <w:right w:val="nil"/>
            </w:tcBorders>
            <w:hideMark/>
          </w:tcPr>
          <w:p w14:paraId="105D716E" w14:textId="40D66D1D" w:rsidR="005A34B8" w:rsidRPr="005A34B8" w:rsidRDefault="005A34B8">
            <w:pPr>
              <w:pStyle w:val="TableRight"/>
            </w:pPr>
            <w:r w:rsidRPr="005A34B8">
              <w:t>(689.1)</w:t>
            </w:r>
          </w:p>
        </w:tc>
        <w:tc>
          <w:tcPr>
            <w:tcW w:w="1046" w:type="dxa"/>
            <w:tcBorders>
              <w:top w:val="nil"/>
              <w:left w:val="nil"/>
              <w:bottom w:val="single" w:sz="6" w:space="0" w:color="auto"/>
              <w:right w:val="nil"/>
            </w:tcBorders>
            <w:hideMark/>
          </w:tcPr>
          <w:p w14:paraId="6BD5352B" w14:textId="77777777" w:rsidR="005A34B8" w:rsidRPr="005A34B8" w:rsidRDefault="005A34B8">
            <w:pPr>
              <w:pStyle w:val="TableRight"/>
            </w:pPr>
            <w:r w:rsidRPr="005A34B8">
              <w:t xml:space="preserve"> 956.1 </w:t>
            </w:r>
          </w:p>
        </w:tc>
        <w:tc>
          <w:tcPr>
            <w:tcW w:w="881" w:type="dxa"/>
            <w:tcBorders>
              <w:top w:val="nil"/>
              <w:left w:val="nil"/>
              <w:bottom w:val="single" w:sz="6" w:space="0" w:color="auto"/>
              <w:right w:val="nil"/>
            </w:tcBorders>
            <w:hideMark/>
          </w:tcPr>
          <w:p w14:paraId="6D6592E7" w14:textId="77777777" w:rsidR="005A34B8" w:rsidRPr="005A34B8" w:rsidRDefault="005A34B8">
            <w:pPr>
              <w:pStyle w:val="TableRight"/>
            </w:pPr>
            <w:r w:rsidRPr="005A34B8">
              <w:t>1 236.6 </w:t>
            </w:r>
          </w:p>
        </w:tc>
        <w:tc>
          <w:tcPr>
            <w:tcW w:w="920" w:type="dxa"/>
            <w:tcBorders>
              <w:top w:val="nil"/>
              <w:left w:val="nil"/>
              <w:bottom w:val="single" w:sz="6" w:space="0" w:color="auto"/>
              <w:right w:val="nil"/>
            </w:tcBorders>
            <w:hideMark/>
          </w:tcPr>
          <w:p w14:paraId="6CC1917D" w14:textId="77777777" w:rsidR="005A34B8" w:rsidRPr="005A34B8" w:rsidRDefault="005A34B8">
            <w:pPr>
              <w:pStyle w:val="TableRight"/>
            </w:pPr>
            <w:r w:rsidRPr="005A34B8">
              <w:t>1 511.1 </w:t>
            </w:r>
          </w:p>
        </w:tc>
        <w:tc>
          <w:tcPr>
            <w:tcW w:w="920" w:type="dxa"/>
            <w:tcBorders>
              <w:top w:val="nil"/>
              <w:left w:val="nil"/>
              <w:bottom w:val="single" w:sz="6" w:space="0" w:color="auto"/>
              <w:right w:val="nil"/>
            </w:tcBorders>
            <w:hideMark/>
          </w:tcPr>
          <w:p w14:paraId="58F76610" w14:textId="77777777" w:rsidR="005A34B8" w:rsidRPr="005A34B8" w:rsidRDefault="005A34B8">
            <w:pPr>
              <w:pStyle w:val="TableRight"/>
            </w:pPr>
            <w:r w:rsidRPr="005A34B8">
              <w:t>1 818.5 </w:t>
            </w:r>
          </w:p>
        </w:tc>
        <w:tc>
          <w:tcPr>
            <w:tcW w:w="920" w:type="dxa"/>
            <w:tcBorders>
              <w:top w:val="nil"/>
              <w:left w:val="nil"/>
              <w:bottom w:val="single" w:sz="6" w:space="0" w:color="auto"/>
              <w:right w:val="nil"/>
            </w:tcBorders>
            <w:hideMark/>
          </w:tcPr>
          <w:p w14:paraId="2613652E" w14:textId="77777777" w:rsidR="005A34B8" w:rsidRPr="005A34B8" w:rsidRDefault="005A34B8">
            <w:pPr>
              <w:pStyle w:val="TableRight"/>
            </w:pPr>
            <w:r w:rsidRPr="005A34B8">
              <w:t>2 368.7 </w:t>
            </w:r>
          </w:p>
        </w:tc>
      </w:tr>
      <w:tr w:rsidR="005A34B8" w14:paraId="0A78BA50" w14:textId="77777777" w:rsidTr="005A34B8">
        <w:tc>
          <w:tcPr>
            <w:tcW w:w="4013" w:type="dxa"/>
            <w:vAlign w:val="center"/>
            <w:hideMark/>
          </w:tcPr>
          <w:p w14:paraId="7047B1A9" w14:textId="77777777" w:rsidR="005A34B8" w:rsidRPr="005A34B8" w:rsidRDefault="005A34B8">
            <w:pPr>
              <w:pStyle w:val="TableLeftHeading"/>
            </w:pPr>
            <w:r w:rsidRPr="005A34B8">
              <w:t>Total Equity</w:t>
            </w:r>
          </w:p>
        </w:tc>
        <w:tc>
          <w:tcPr>
            <w:tcW w:w="881" w:type="dxa"/>
            <w:tcBorders>
              <w:top w:val="single" w:sz="6" w:space="0" w:color="auto"/>
              <w:left w:val="nil"/>
              <w:bottom w:val="double" w:sz="6" w:space="0" w:color="auto"/>
              <w:right w:val="nil"/>
            </w:tcBorders>
            <w:hideMark/>
          </w:tcPr>
          <w:p w14:paraId="09779789" w14:textId="77777777" w:rsidR="005A34B8" w:rsidRPr="005A34B8" w:rsidRDefault="005A34B8">
            <w:pPr>
              <w:pStyle w:val="TableRightHeading"/>
            </w:pPr>
            <w:r w:rsidRPr="005A34B8">
              <w:t>10 769.8 </w:t>
            </w:r>
          </w:p>
        </w:tc>
        <w:tc>
          <w:tcPr>
            <w:tcW w:w="1046" w:type="dxa"/>
            <w:tcBorders>
              <w:top w:val="single" w:sz="6" w:space="0" w:color="auto"/>
              <w:left w:val="nil"/>
              <w:bottom w:val="double" w:sz="6" w:space="0" w:color="auto"/>
              <w:right w:val="nil"/>
            </w:tcBorders>
            <w:hideMark/>
          </w:tcPr>
          <w:p w14:paraId="4BFD0F0D" w14:textId="77777777" w:rsidR="005A34B8" w:rsidRPr="005A34B8" w:rsidRDefault="005A34B8">
            <w:pPr>
              <w:pStyle w:val="TableRightHeading"/>
            </w:pPr>
            <w:r w:rsidRPr="005A34B8">
              <w:t>15 206.8 </w:t>
            </w:r>
          </w:p>
        </w:tc>
        <w:tc>
          <w:tcPr>
            <w:tcW w:w="881" w:type="dxa"/>
            <w:tcBorders>
              <w:top w:val="single" w:sz="6" w:space="0" w:color="auto"/>
              <w:left w:val="nil"/>
              <w:bottom w:val="double" w:sz="6" w:space="0" w:color="auto"/>
              <w:right w:val="nil"/>
            </w:tcBorders>
            <w:hideMark/>
          </w:tcPr>
          <w:p w14:paraId="46374CF9" w14:textId="77777777" w:rsidR="005A34B8" w:rsidRPr="005A34B8" w:rsidRDefault="005A34B8">
            <w:pPr>
              <w:pStyle w:val="TableRightHeading"/>
            </w:pPr>
            <w:r w:rsidRPr="005A34B8">
              <w:t>15 442.7 </w:t>
            </w:r>
          </w:p>
        </w:tc>
        <w:tc>
          <w:tcPr>
            <w:tcW w:w="920" w:type="dxa"/>
            <w:tcBorders>
              <w:top w:val="single" w:sz="6" w:space="0" w:color="auto"/>
              <w:left w:val="nil"/>
              <w:bottom w:val="double" w:sz="6" w:space="0" w:color="auto"/>
              <w:right w:val="nil"/>
            </w:tcBorders>
            <w:hideMark/>
          </w:tcPr>
          <w:p w14:paraId="5290D1D6" w14:textId="77777777" w:rsidR="005A34B8" w:rsidRPr="005A34B8" w:rsidRDefault="005A34B8">
            <w:pPr>
              <w:pStyle w:val="TableRightHeading"/>
            </w:pPr>
            <w:r w:rsidRPr="005A34B8">
              <w:t>15 794.7 </w:t>
            </w:r>
          </w:p>
        </w:tc>
        <w:tc>
          <w:tcPr>
            <w:tcW w:w="920" w:type="dxa"/>
            <w:tcBorders>
              <w:top w:val="single" w:sz="6" w:space="0" w:color="auto"/>
              <w:left w:val="nil"/>
              <w:bottom w:val="double" w:sz="6" w:space="0" w:color="auto"/>
              <w:right w:val="nil"/>
            </w:tcBorders>
            <w:hideMark/>
          </w:tcPr>
          <w:p w14:paraId="18CECF5E" w14:textId="77777777" w:rsidR="005A34B8" w:rsidRPr="005A34B8" w:rsidRDefault="005A34B8">
            <w:pPr>
              <w:pStyle w:val="TableRightHeading"/>
            </w:pPr>
            <w:r w:rsidRPr="005A34B8">
              <w:t>16 355.2 </w:t>
            </w:r>
          </w:p>
        </w:tc>
        <w:tc>
          <w:tcPr>
            <w:tcW w:w="920" w:type="dxa"/>
            <w:tcBorders>
              <w:top w:val="single" w:sz="6" w:space="0" w:color="auto"/>
              <w:left w:val="nil"/>
              <w:bottom w:val="double" w:sz="6" w:space="0" w:color="auto"/>
              <w:right w:val="nil"/>
            </w:tcBorders>
            <w:hideMark/>
          </w:tcPr>
          <w:p w14:paraId="50F60DB5" w14:textId="77777777" w:rsidR="005A34B8" w:rsidRPr="005A34B8" w:rsidRDefault="005A34B8">
            <w:pPr>
              <w:pStyle w:val="TableRightHeading"/>
            </w:pPr>
            <w:r w:rsidRPr="005A34B8">
              <w:t>17 212.0 </w:t>
            </w:r>
          </w:p>
        </w:tc>
      </w:tr>
      <w:tr w:rsidR="005A34B8" w14:paraId="2D746B9A" w14:textId="77777777" w:rsidTr="005A34B8">
        <w:tc>
          <w:tcPr>
            <w:tcW w:w="4013" w:type="dxa"/>
            <w:vAlign w:val="center"/>
          </w:tcPr>
          <w:p w14:paraId="54905592" w14:textId="77777777" w:rsidR="005A34B8" w:rsidRPr="005A34B8" w:rsidRDefault="005A34B8" w:rsidP="00C67119">
            <w:pPr>
              <w:pStyle w:val="TableRightHeading"/>
              <w:rPr>
                <w:rStyle w:val="CommentReference"/>
              </w:rPr>
            </w:pPr>
          </w:p>
        </w:tc>
        <w:tc>
          <w:tcPr>
            <w:tcW w:w="881" w:type="dxa"/>
            <w:tcBorders>
              <w:top w:val="double" w:sz="6" w:space="0" w:color="auto"/>
              <w:left w:val="nil"/>
              <w:bottom w:val="nil"/>
              <w:right w:val="nil"/>
            </w:tcBorders>
          </w:tcPr>
          <w:p w14:paraId="402F98F5" w14:textId="77777777" w:rsidR="005A34B8" w:rsidRPr="005A34B8" w:rsidRDefault="005A34B8" w:rsidP="00C67119">
            <w:pPr>
              <w:pStyle w:val="TableRightHeading"/>
            </w:pPr>
          </w:p>
        </w:tc>
        <w:tc>
          <w:tcPr>
            <w:tcW w:w="1046" w:type="dxa"/>
            <w:tcBorders>
              <w:top w:val="double" w:sz="6" w:space="0" w:color="auto"/>
              <w:left w:val="nil"/>
              <w:bottom w:val="nil"/>
              <w:right w:val="nil"/>
            </w:tcBorders>
          </w:tcPr>
          <w:p w14:paraId="7D0BBD73" w14:textId="77777777" w:rsidR="005A34B8" w:rsidRPr="005A34B8" w:rsidRDefault="005A34B8" w:rsidP="00C67119">
            <w:pPr>
              <w:pStyle w:val="TableRightHeading"/>
            </w:pPr>
          </w:p>
        </w:tc>
        <w:tc>
          <w:tcPr>
            <w:tcW w:w="881" w:type="dxa"/>
            <w:tcBorders>
              <w:top w:val="double" w:sz="6" w:space="0" w:color="auto"/>
              <w:left w:val="nil"/>
              <w:bottom w:val="nil"/>
              <w:right w:val="nil"/>
            </w:tcBorders>
          </w:tcPr>
          <w:p w14:paraId="466FEBCC" w14:textId="77777777" w:rsidR="005A34B8" w:rsidRPr="005A34B8" w:rsidRDefault="005A34B8" w:rsidP="00C67119">
            <w:pPr>
              <w:pStyle w:val="TableRightHeading"/>
            </w:pPr>
          </w:p>
        </w:tc>
        <w:tc>
          <w:tcPr>
            <w:tcW w:w="920" w:type="dxa"/>
            <w:tcBorders>
              <w:top w:val="double" w:sz="6" w:space="0" w:color="auto"/>
              <w:left w:val="nil"/>
              <w:bottom w:val="nil"/>
              <w:right w:val="nil"/>
            </w:tcBorders>
          </w:tcPr>
          <w:p w14:paraId="4EB5D73C" w14:textId="77777777" w:rsidR="005A34B8" w:rsidRPr="005A34B8" w:rsidRDefault="005A34B8" w:rsidP="00C67119">
            <w:pPr>
              <w:pStyle w:val="TableRightHeading"/>
            </w:pPr>
          </w:p>
        </w:tc>
        <w:tc>
          <w:tcPr>
            <w:tcW w:w="920" w:type="dxa"/>
            <w:tcBorders>
              <w:top w:val="double" w:sz="6" w:space="0" w:color="auto"/>
              <w:left w:val="nil"/>
              <w:bottom w:val="nil"/>
              <w:right w:val="nil"/>
            </w:tcBorders>
          </w:tcPr>
          <w:p w14:paraId="310F08BE" w14:textId="77777777" w:rsidR="005A34B8" w:rsidRPr="005A34B8" w:rsidRDefault="005A34B8" w:rsidP="00C67119">
            <w:pPr>
              <w:pStyle w:val="TableRightHeading"/>
            </w:pPr>
          </w:p>
        </w:tc>
        <w:tc>
          <w:tcPr>
            <w:tcW w:w="920" w:type="dxa"/>
            <w:tcBorders>
              <w:top w:val="double" w:sz="6" w:space="0" w:color="auto"/>
              <w:left w:val="nil"/>
              <w:bottom w:val="nil"/>
              <w:right w:val="nil"/>
            </w:tcBorders>
          </w:tcPr>
          <w:p w14:paraId="28CF22BD" w14:textId="77777777" w:rsidR="005A34B8" w:rsidRPr="005A34B8" w:rsidRDefault="005A34B8" w:rsidP="00C67119">
            <w:pPr>
              <w:pStyle w:val="TableRightHeading"/>
            </w:pPr>
          </w:p>
        </w:tc>
      </w:tr>
      <w:tr w:rsidR="005A34B8" w14:paraId="6E091980" w14:textId="77777777" w:rsidTr="005A34B8">
        <w:tc>
          <w:tcPr>
            <w:tcW w:w="4013" w:type="dxa"/>
            <w:vAlign w:val="center"/>
            <w:hideMark/>
          </w:tcPr>
          <w:p w14:paraId="6650BC99" w14:textId="77777777" w:rsidR="005A34B8" w:rsidRPr="005A34B8" w:rsidRDefault="005A34B8">
            <w:pPr>
              <w:pStyle w:val="TableLeftHeading"/>
            </w:pPr>
            <w:r w:rsidRPr="005A34B8">
              <w:t>KEY FISCAL AGGREGATES</w:t>
            </w:r>
          </w:p>
        </w:tc>
        <w:tc>
          <w:tcPr>
            <w:tcW w:w="881" w:type="dxa"/>
          </w:tcPr>
          <w:p w14:paraId="426028A0" w14:textId="77777777" w:rsidR="005A34B8" w:rsidRPr="005A34B8" w:rsidRDefault="005A34B8">
            <w:pPr>
              <w:pStyle w:val="TableRightHeading"/>
            </w:pPr>
          </w:p>
        </w:tc>
        <w:tc>
          <w:tcPr>
            <w:tcW w:w="1046" w:type="dxa"/>
          </w:tcPr>
          <w:p w14:paraId="7E03634E" w14:textId="77777777" w:rsidR="005A34B8" w:rsidRPr="005A34B8" w:rsidRDefault="005A34B8">
            <w:pPr>
              <w:pStyle w:val="TableRightHeading"/>
            </w:pPr>
          </w:p>
        </w:tc>
        <w:tc>
          <w:tcPr>
            <w:tcW w:w="881" w:type="dxa"/>
          </w:tcPr>
          <w:p w14:paraId="630597BA" w14:textId="77777777" w:rsidR="005A34B8" w:rsidRPr="005A34B8" w:rsidRDefault="005A34B8">
            <w:pPr>
              <w:pStyle w:val="TableRightHeading"/>
            </w:pPr>
          </w:p>
        </w:tc>
        <w:tc>
          <w:tcPr>
            <w:tcW w:w="920" w:type="dxa"/>
          </w:tcPr>
          <w:p w14:paraId="689AA617" w14:textId="77777777" w:rsidR="005A34B8" w:rsidRPr="005A34B8" w:rsidRDefault="005A34B8">
            <w:pPr>
              <w:pStyle w:val="TableRightHeading"/>
            </w:pPr>
          </w:p>
        </w:tc>
        <w:tc>
          <w:tcPr>
            <w:tcW w:w="920" w:type="dxa"/>
          </w:tcPr>
          <w:p w14:paraId="0FE2B34C" w14:textId="77777777" w:rsidR="005A34B8" w:rsidRPr="005A34B8" w:rsidRDefault="005A34B8">
            <w:pPr>
              <w:pStyle w:val="TableRightHeading"/>
            </w:pPr>
          </w:p>
        </w:tc>
        <w:tc>
          <w:tcPr>
            <w:tcW w:w="920" w:type="dxa"/>
          </w:tcPr>
          <w:p w14:paraId="07053684" w14:textId="77777777" w:rsidR="005A34B8" w:rsidRPr="005A34B8" w:rsidRDefault="005A34B8">
            <w:pPr>
              <w:pStyle w:val="TableRightHeading"/>
            </w:pPr>
          </w:p>
        </w:tc>
      </w:tr>
      <w:tr w:rsidR="005A34B8" w14:paraId="2C8F805E" w14:textId="77777777" w:rsidTr="005A34B8">
        <w:tc>
          <w:tcPr>
            <w:tcW w:w="4013" w:type="dxa"/>
            <w:vAlign w:val="center"/>
            <w:hideMark/>
          </w:tcPr>
          <w:p w14:paraId="6E244280" w14:textId="77777777" w:rsidR="005A34B8" w:rsidRPr="005A34B8" w:rsidRDefault="005A34B8" w:rsidP="00C67119">
            <w:pPr>
              <w:pStyle w:val="TableRightHeading"/>
            </w:pPr>
          </w:p>
        </w:tc>
        <w:tc>
          <w:tcPr>
            <w:tcW w:w="881" w:type="dxa"/>
            <w:hideMark/>
          </w:tcPr>
          <w:p w14:paraId="00182436" w14:textId="77777777" w:rsidR="005A34B8" w:rsidRPr="005A34B8" w:rsidRDefault="005A34B8" w:rsidP="00C67119">
            <w:pPr>
              <w:pStyle w:val="TableRightHeading"/>
            </w:pPr>
          </w:p>
        </w:tc>
        <w:tc>
          <w:tcPr>
            <w:tcW w:w="1046" w:type="dxa"/>
          </w:tcPr>
          <w:p w14:paraId="3931DAE6" w14:textId="77777777" w:rsidR="005A34B8" w:rsidRPr="005A34B8" w:rsidRDefault="005A34B8" w:rsidP="00C67119">
            <w:pPr>
              <w:pStyle w:val="TableRightHeading"/>
            </w:pPr>
          </w:p>
        </w:tc>
        <w:tc>
          <w:tcPr>
            <w:tcW w:w="881" w:type="dxa"/>
          </w:tcPr>
          <w:p w14:paraId="48A774A2" w14:textId="77777777" w:rsidR="005A34B8" w:rsidRPr="005A34B8" w:rsidRDefault="005A34B8" w:rsidP="00C67119">
            <w:pPr>
              <w:pStyle w:val="TableRightHeading"/>
            </w:pPr>
          </w:p>
        </w:tc>
        <w:tc>
          <w:tcPr>
            <w:tcW w:w="920" w:type="dxa"/>
          </w:tcPr>
          <w:p w14:paraId="5B32527A" w14:textId="77777777" w:rsidR="005A34B8" w:rsidRPr="005A34B8" w:rsidRDefault="005A34B8" w:rsidP="00C67119">
            <w:pPr>
              <w:pStyle w:val="TableRightHeading"/>
            </w:pPr>
          </w:p>
        </w:tc>
        <w:tc>
          <w:tcPr>
            <w:tcW w:w="920" w:type="dxa"/>
          </w:tcPr>
          <w:p w14:paraId="3492F42D" w14:textId="77777777" w:rsidR="005A34B8" w:rsidRPr="005A34B8" w:rsidRDefault="005A34B8" w:rsidP="00C67119">
            <w:pPr>
              <w:pStyle w:val="TableRightHeading"/>
            </w:pPr>
          </w:p>
        </w:tc>
        <w:tc>
          <w:tcPr>
            <w:tcW w:w="920" w:type="dxa"/>
          </w:tcPr>
          <w:p w14:paraId="04AE44BC" w14:textId="77777777" w:rsidR="005A34B8" w:rsidRPr="005A34B8" w:rsidRDefault="005A34B8" w:rsidP="00C67119">
            <w:pPr>
              <w:pStyle w:val="TableRightHeading"/>
            </w:pPr>
          </w:p>
        </w:tc>
      </w:tr>
      <w:tr w:rsidR="005A34B8" w14:paraId="3B25B034" w14:textId="77777777" w:rsidTr="005A34B8">
        <w:tc>
          <w:tcPr>
            <w:tcW w:w="4013" w:type="dxa"/>
            <w:vAlign w:val="center"/>
            <w:hideMark/>
          </w:tcPr>
          <w:p w14:paraId="183C661A" w14:textId="1985F832" w:rsidR="005A34B8" w:rsidRPr="005A34B8" w:rsidRDefault="005A34B8">
            <w:pPr>
              <w:pStyle w:val="TableLeftHeading"/>
            </w:pPr>
            <w:r w:rsidRPr="005A34B8">
              <w:t xml:space="preserve">NET </w:t>
            </w:r>
            <w:r w:rsidR="00E4559C" w:rsidRPr="005A34B8">
              <w:t>WORTH</w:t>
            </w:r>
            <w:r w:rsidR="00E4559C">
              <w:rPr>
                <w:rStyle w:val="TableSuperscriptChar"/>
              </w:rPr>
              <w:t>1</w:t>
            </w:r>
            <w:r w:rsidR="00434AE9">
              <w:rPr>
                <w:rStyle w:val="TableSuperscriptChar"/>
              </w:rPr>
              <w:t>1</w:t>
            </w:r>
          </w:p>
        </w:tc>
        <w:tc>
          <w:tcPr>
            <w:tcW w:w="881" w:type="dxa"/>
            <w:hideMark/>
          </w:tcPr>
          <w:p w14:paraId="60259FA7" w14:textId="77777777" w:rsidR="005A34B8" w:rsidRPr="005A34B8" w:rsidRDefault="005A34B8">
            <w:pPr>
              <w:pStyle w:val="TableRightHeading"/>
            </w:pPr>
            <w:r w:rsidRPr="005A34B8">
              <w:t>10 769.8 </w:t>
            </w:r>
          </w:p>
        </w:tc>
        <w:tc>
          <w:tcPr>
            <w:tcW w:w="1046" w:type="dxa"/>
            <w:hideMark/>
          </w:tcPr>
          <w:p w14:paraId="1E6AA9F4" w14:textId="77777777" w:rsidR="005A34B8" w:rsidRPr="005A34B8" w:rsidRDefault="005A34B8">
            <w:pPr>
              <w:pStyle w:val="TableRightHeading"/>
            </w:pPr>
            <w:r w:rsidRPr="005A34B8">
              <w:t>15 206.8 </w:t>
            </w:r>
          </w:p>
        </w:tc>
        <w:tc>
          <w:tcPr>
            <w:tcW w:w="881" w:type="dxa"/>
            <w:hideMark/>
          </w:tcPr>
          <w:p w14:paraId="7D06B8C6" w14:textId="77777777" w:rsidR="005A34B8" w:rsidRPr="005A34B8" w:rsidRDefault="005A34B8">
            <w:pPr>
              <w:pStyle w:val="TableRightHeading"/>
            </w:pPr>
            <w:r w:rsidRPr="005A34B8">
              <w:t>15 442.7 </w:t>
            </w:r>
          </w:p>
        </w:tc>
        <w:tc>
          <w:tcPr>
            <w:tcW w:w="920" w:type="dxa"/>
            <w:hideMark/>
          </w:tcPr>
          <w:p w14:paraId="05EB7A8C" w14:textId="77777777" w:rsidR="005A34B8" w:rsidRPr="005A34B8" w:rsidRDefault="005A34B8">
            <w:pPr>
              <w:pStyle w:val="TableRightHeading"/>
            </w:pPr>
            <w:r w:rsidRPr="005A34B8">
              <w:t>15 794.7 </w:t>
            </w:r>
          </w:p>
        </w:tc>
        <w:tc>
          <w:tcPr>
            <w:tcW w:w="920" w:type="dxa"/>
            <w:hideMark/>
          </w:tcPr>
          <w:p w14:paraId="35C8EEA7" w14:textId="77777777" w:rsidR="005A34B8" w:rsidRPr="005A34B8" w:rsidRDefault="005A34B8">
            <w:pPr>
              <w:pStyle w:val="TableRightHeading"/>
            </w:pPr>
            <w:r w:rsidRPr="005A34B8">
              <w:t>16 355.2 </w:t>
            </w:r>
          </w:p>
        </w:tc>
        <w:tc>
          <w:tcPr>
            <w:tcW w:w="920" w:type="dxa"/>
            <w:hideMark/>
          </w:tcPr>
          <w:p w14:paraId="7878536F" w14:textId="77777777" w:rsidR="005A34B8" w:rsidRPr="005A34B8" w:rsidRDefault="005A34B8">
            <w:pPr>
              <w:pStyle w:val="TableRightHeading"/>
            </w:pPr>
            <w:r w:rsidRPr="005A34B8">
              <w:t>17 212.0 </w:t>
            </w:r>
          </w:p>
        </w:tc>
      </w:tr>
      <w:tr w:rsidR="005A34B8" w14:paraId="7A761979" w14:textId="77777777" w:rsidTr="005A34B8">
        <w:tc>
          <w:tcPr>
            <w:tcW w:w="4013" w:type="dxa"/>
            <w:vAlign w:val="center"/>
            <w:hideMark/>
          </w:tcPr>
          <w:p w14:paraId="2FE57D81" w14:textId="77777777" w:rsidR="005A34B8" w:rsidRPr="005A34B8" w:rsidRDefault="005A34B8" w:rsidP="00C67119">
            <w:pPr>
              <w:pStyle w:val="TableRightHeading"/>
            </w:pPr>
          </w:p>
        </w:tc>
        <w:tc>
          <w:tcPr>
            <w:tcW w:w="881" w:type="dxa"/>
            <w:hideMark/>
          </w:tcPr>
          <w:p w14:paraId="120C83B3" w14:textId="77777777" w:rsidR="005A34B8" w:rsidRPr="005A34B8" w:rsidRDefault="005A34B8" w:rsidP="00C67119">
            <w:pPr>
              <w:pStyle w:val="TableRightHeading"/>
            </w:pPr>
          </w:p>
        </w:tc>
        <w:tc>
          <w:tcPr>
            <w:tcW w:w="1046" w:type="dxa"/>
          </w:tcPr>
          <w:p w14:paraId="05252899" w14:textId="77777777" w:rsidR="005A34B8" w:rsidRPr="005A34B8" w:rsidRDefault="005A34B8" w:rsidP="00C67119">
            <w:pPr>
              <w:pStyle w:val="TableRightHeading"/>
            </w:pPr>
          </w:p>
        </w:tc>
        <w:tc>
          <w:tcPr>
            <w:tcW w:w="881" w:type="dxa"/>
          </w:tcPr>
          <w:p w14:paraId="7D931C64" w14:textId="77777777" w:rsidR="005A34B8" w:rsidRPr="005A34B8" w:rsidRDefault="005A34B8" w:rsidP="00C67119">
            <w:pPr>
              <w:pStyle w:val="TableRightHeading"/>
            </w:pPr>
          </w:p>
        </w:tc>
        <w:tc>
          <w:tcPr>
            <w:tcW w:w="920" w:type="dxa"/>
          </w:tcPr>
          <w:p w14:paraId="0FB52BFB" w14:textId="77777777" w:rsidR="005A34B8" w:rsidRPr="005A34B8" w:rsidRDefault="005A34B8" w:rsidP="00C67119">
            <w:pPr>
              <w:pStyle w:val="TableRightHeading"/>
            </w:pPr>
          </w:p>
        </w:tc>
        <w:tc>
          <w:tcPr>
            <w:tcW w:w="920" w:type="dxa"/>
          </w:tcPr>
          <w:p w14:paraId="3464F534" w14:textId="77777777" w:rsidR="005A34B8" w:rsidRPr="005A34B8" w:rsidRDefault="005A34B8" w:rsidP="00C67119">
            <w:pPr>
              <w:pStyle w:val="TableRightHeading"/>
            </w:pPr>
          </w:p>
        </w:tc>
        <w:tc>
          <w:tcPr>
            <w:tcW w:w="920" w:type="dxa"/>
          </w:tcPr>
          <w:p w14:paraId="201FAE80" w14:textId="77777777" w:rsidR="005A34B8" w:rsidRPr="005A34B8" w:rsidRDefault="005A34B8" w:rsidP="00C67119">
            <w:pPr>
              <w:pStyle w:val="TableRightHeading"/>
            </w:pPr>
          </w:p>
        </w:tc>
      </w:tr>
      <w:tr w:rsidR="005A34B8" w14:paraId="0FE31CDD" w14:textId="77777777" w:rsidTr="005A34B8">
        <w:tc>
          <w:tcPr>
            <w:tcW w:w="4013" w:type="dxa"/>
            <w:vAlign w:val="center"/>
            <w:hideMark/>
          </w:tcPr>
          <w:p w14:paraId="1FBC20E8" w14:textId="6C5C1AFD" w:rsidR="005A34B8" w:rsidRPr="005A34B8" w:rsidRDefault="005A34B8">
            <w:pPr>
              <w:pStyle w:val="TableLeftHeading"/>
            </w:pPr>
            <w:r w:rsidRPr="005A34B8">
              <w:t xml:space="preserve">NET FINANCIAL </w:t>
            </w:r>
            <w:r w:rsidR="00E4559C" w:rsidRPr="005A34B8">
              <w:t>WORTH</w:t>
            </w:r>
            <w:r w:rsidR="00E4559C">
              <w:rPr>
                <w:rStyle w:val="TableSuperscriptChar"/>
              </w:rPr>
              <w:t>1</w:t>
            </w:r>
            <w:r w:rsidR="00434AE9">
              <w:rPr>
                <w:rStyle w:val="TableSuperscriptChar"/>
              </w:rPr>
              <w:t>2</w:t>
            </w:r>
          </w:p>
        </w:tc>
        <w:tc>
          <w:tcPr>
            <w:tcW w:w="881" w:type="dxa"/>
            <w:hideMark/>
          </w:tcPr>
          <w:p w14:paraId="0F473821" w14:textId="77777777" w:rsidR="005A34B8" w:rsidRPr="005A34B8" w:rsidRDefault="005A34B8">
            <w:pPr>
              <w:pStyle w:val="TableRightHeading"/>
            </w:pPr>
            <w:r w:rsidRPr="005A34B8">
              <w:t>(6 585.8)</w:t>
            </w:r>
          </w:p>
        </w:tc>
        <w:tc>
          <w:tcPr>
            <w:tcW w:w="1046" w:type="dxa"/>
            <w:hideMark/>
          </w:tcPr>
          <w:p w14:paraId="3A410748" w14:textId="4106E6F0" w:rsidR="005A34B8" w:rsidRPr="005A34B8" w:rsidRDefault="005A34B8">
            <w:pPr>
              <w:pStyle w:val="TableRightHeading"/>
            </w:pPr>
            <w:r w:rsidRPr="005A34B8">
              <w:t>(262.3)</w:t>
            </w:r>
          </w:p>
        </w:tc>
        <w:tc>
          <w:tcPr>
            <w:tcW w:w="881" w:type="dxa"/>
            <w:hideMark/>
          </w:tcPr>
          <w:p w14:paraId="6BC11EF5" w14:textId="77777777" w:rsidR="005A34B8" w:rsidRPr="005A34B8" w:rsidRDefault="005A34B8">
            <w:pPr>
              <w:pStyle w:val="TableRightHeading"/>
            </w:pPr>
            <w:r w:rsidRPr="005A34B8">
              <w:t>(1 068.8)</w:t>
            </w:r>
          </w:p>
        </w:tc>
        <w:tc>
          <w:tcPr>
            <w:tcW w:w="920" w:type="dxa"/>
            <w:hideMark/>
          </w:tcPr>
          <w:p w14:paraId="6ACD99FB" w14:textId="77777777" w:rsidR="005A34B8" w:rsidRPr="005A34B8" w:rsidRDefault="005A34B8">
            <w:pPr>
              <w:pStyle w:val="TableRightHeading"/>
            </w:pPr>
            <w:r w:rsidRPr="005A34B8">
              <w:t>(1 658.3)</w:t>
            </w:r>
          </w:p>
        </w:tc>
        <w:tc>
          <w:tcPr>
            <w:tcW w:w="920" w:type="dxa"/>
            <w:hideMark/>
          </w:tcPr>
          <w:p w14:paraId="6C99317C" w14:textId="77777777" w:rsidR="005A34B8" w:rsidRPr="005A34B8" w:rsidRDefault="005A34B8">
            <w:pPr>
              <w:pStyle w:val="TableRightHeading"/>
            </w:pPr>
            <w:r w:rsidRPr="005A34B8">
              <w:t>(1 843.0)</w:t>
            </w:r>
          </w:p>
        </w:tc>
        <w:tc>
          <w:tcPr>
            <w:tcW w:w="920" w:type="dxa"/>
            <w:hideMark/>
          </w:tcPr>
          <w:p w14:paraId="4C0C5343" w14:textId="77777777" w:rsidR="005A34B8" w:rsidRPr="005A34B8" w:rsidRDefault="005A34B8">
            <w:pPr>
              <w:pStyle w:val="TableRightHeading"/>
            </w:pPr>
            <w:r w:rsidRPr="005A34B8">
              <w:t>(1 554.6)</w:t>
            </w:r>
          </w:p>
        </w:tc>
      </w:tr>
      <w:tr w:rsidR="005A34B8" w14:paraId="6B31C4D8" w14:textId="77777777" w:rsidTr="005A34B8">
        <w:tc>
          <w:tcPr>
            <w:tcW w:w="4013" w:type="dxa"/>
            <w:vAlign w:val="center"/>
            <w:hideMark/>
          </w:tcPr>
          <w:p w14:paraId="16D716DD" w14:textId="77777777" w:rsidR="005A34B8" w:rsidRPr="005A34B8" w:rsidRDefault="005A34B8" w:rsidP="00C67119">
            <w:pPr>
              <w:pStyle w:val="TableRightHeading"/>
            </w:pPr>
          </w:p>
        </w:tc>
        <w:tc>
          <w:tcPr>
            <w:tcW w:w="881" w:type="dxa"/>
            <w:hideMark/>
          </w:tcPr>
          <w:p w14:paraId="5494E830" w14:textId="77777777" w:rsidR="005A34B8" w:rsidRPr="005A34B8" w:rsidRDefault="005A34B8" w:rsidP="00C67119">
            <w:pPr>
              <w:pStyle w:val="TableRightHeading"/>
            </w:pPr>
          </w:p>
        </w:tc>
        <w:tc>
          <w:tcPr>
            <w:tcW w:w="1046" w:type="dxa"/>
          </w:tcPr>
          <w:p w14:paraId="6F9C5359" w14:textId="77777777" w:rsidR="005A34B8" w:rsidRPr="005A34B8" w:rsidRDefault="005A34B8" w:rsidP="00C67119">
            <w:pPr>
              <w:pStyle w:val="TableRightHeading"/>
            </w:pPr>
          </w:p>
        </w:tc>
        <w:tc>
          <w:tcPr>
            <w:tcW w:w="881" w:type="dxa"/>
          </w:tcPr>
          <w:p w14:paraId="5B367C56" w14:textId="77777777" w:rsidR="005A34B8" w:rsidRPr="005A34B8" w:rsidRDefault="005A34B8" w:rsidP="00C67119">
            <w:pPr>
              <w:pStyle w:val="TableRightHeading"/>
            </w:pPr>
          </w:p>
        </w:tc>
        <w:tc>
          <w:tcPr>
            <w:tcW w:w="920" w:type="dxa"/>
          </w:tcPr>
          <w:p w14:paraId="544CC496" w14:textId="77777777" w:rsidR="005A34B8" w:rsidRPr="005A34B8" w:rsidRDefault="005A34B8" w:rsidP="00C67119">
            <w:pPr>
              <w:pStyle w:val="TableRightHeading"/>
            </w:pPr>
          </w:p>
        </w:tc>
        <w:tc>
          <w:tcPr>
            <w:tcW w:w="920" w:type="dxa"/>
          </w:tcPr>
          <w:p w14:paraId="201E8410" w14:textId="77777777" w:rsidR="005A34B8" w:rsidRPr="005A34B8" w:rsidRDefault="005A34B8" w:rsidP="00C67119">
            <w:pPr>
              <w:pStyle w:val="TableRightHeading"/>
            </w:pPr>
          </w:p>
        </w:tc>
        <w:tc>
          <w:tcPr>
            <w:tcW w:w="920" w:type="dxa"/>
          </w:tcPr>
          <w:p w14:paraId="4DBD1DEC" w14:textId="77777777" w:rsidR="005A34B8" w:rsidRPr="005A34B8" w:rsidRDefault="005A34B8" w:rsidP="00C67119">
            <w:pPr>
              <w:pStyle w:val="TableRightHeading"/>
            </w:pPr>
          </w:p>
        </w:tc>
      </w:tr>
      <w:tr w:rsidR="005A34B8" w14:paraId="43161669" w14:textId="77777777" w:rsidTr="005A34B8">
        <w:tc>
          <w:tcPr>
            <w:tcW w:w="4013" w:type="dxa"/>
            <w:vAlign w:val="center"/>
            <w:hideMark/>
          </w:tcPr>
          <w:p w14:paraId="6F5971B3" w14:textId="00DAC3CF" w:rsidR="005A34B8" w:rsidRPr="005A34B8" w:rsidRDefault="005A34B8">
            <w:pPr>
              <w:pStyle w:val="TableLeftHeading"/>
            </w:pPr>
            <w:r w:rsidRPr="005A34B8">
              <w:t xml:space="preserve">NET FINANCIAL </w:t>
            </w:r>
            <w:r w:rsidR="00E4559C" w:rsidRPr="005A34B8">
              <w:t>LIABILITIES</w:t>
            </w:r>
            <w:r w:rsidR="00E4559C">
              <w:rPr>
                <w:rStyle w:val="TableSuperscriptChar"/>
              </w:rPr>
              <w:t>1</w:t>
            </w:r>
            <w:r w:rsidR="00434AE9">
              <w:rPr>
                <w:rStyle w:val="TableSuperscriptChar"/>
              </w:rPr>
              <w:t>3</w:t>
            </w:r>
          </w:p>
        </w:tc>
        <w:tc>
          <w:tcPr>
            <w:tcW w:w="881" w:type="dxa"/>
            <w:hideMark/>
          </w:tcPr>
          <w:p w14:paraId="556BDB22" w14:textId="77777777" w:rsidR="005A34B8" w:rsidRPr="005A34B8" w:rsidRDefault="005A34B8">
            <w:pPr>
              <w:pStyle w:val="TableRightHeading"/>
            </w:pPr>
            <w:r w:rsidRPr="005A34B8">
              <w:t>12 031.0 </w:t>
            </w:r>
          </w:p>
        </w:tc>
        <w:tc>
          <w:tcPr>
            <w:tcW w:w="1046" w:type="dxa"/>
            <w:hideMark/>
          </w:tcPr>
          <w:p w14:paraId="25C291FA" w14:textId="77777777" w:rsidR="005A34B8" w:rsidRPr="005A34B8" w:rsidRDefault="005A34B8">
            <w:pPr>
              <w:pStyle w:val="TableRightHeading"/>
            </w:pPr>
            <w:r w:rsidRPr="005A34B8">
              <w:t>10 788.8 </w:t>
            </w:r>
          </w:p>
        </w:tc>
        <w:tc>
          <w:tcPr>
            <w:tcW w:w="881" w:type="dxa"/>
            <w:hideMark/>
          </w:tcPr>
          <w:p w14:paraId="3466E981" w14:textId="77777777" w:rsidR="005A34B8" w:rsidRPr="005A34B8" w:rsidRDefault="005A34B8">
            <w:pPr>
              <w:pStyle w:val="TableRightHeading"/>
            </w:pPr>
            <w:r w:rsidRPr="005A34B8">
              <w:t>12 082.5 </w:t>
            </w:r>
          </w:p>
        </w:tc>
        <w:tc>
          <w:tcPr>
            <w:tcW w:w="920" w:type="dxa"/>
            <w:hideMark/>
          </w:tcPr>
          <w:p w14:paraId="6B18D0DA" w14:textId="77777777" w:rsidR="005A34B8" w:rsidRPr="005A34B8" w:rsidRDefault="005A34B8">
            <w:pPr>
              <w:pStyle w:val="TableRightHeading"/>
            </w:pPr>
            <w:r w:rsidRPr="005A34B8">
              <w:t>13 181.4 </w:t>
            </w:r>
          </w:p>
        </w:tc>
        <w:tc>
          <w:tcPr>
            <w:tcW w:w="920" w:type="dxa"/>
            <w:hideMark/>
          </w:tcPr>
          <w:p w14:paraId="321136FA" w14:textId="77777777" w:rsidR="005A34B8" w:rsidRPr="005A34B8" w:rsidRDefault="005A34B8">
            <w:pPr>
              <w:pStyle w:val="TableRightHeading"/>
            </w:pPr>
            <w:r w:rsidRPr="005A34B8">
              <w:t>13 773.1 </w:t>
            </w:r>
          </w:p>
        </w:tc>
        <w:tc>
          <w:tcPr>
            <w:tcW w:w="920" w:type="dxa"/>
            <w:hideMark/>
          </w:tcPr>
          <w:p w14:paraId="5976F15B" w14:textId="77777777" w:rsidR="005A34B8" w:rsidRPr="005A34B8" w:rsidRDefault="005A34B8">
            <w:pPr>
              <w:pStyle w:val="TableRightHeading"/>
            </w:pPr>
            <w:r w:rsidRPr="005A34B8">
              <w:t>14 100.2 </w:t>
            </w:r>
          </w:p>
        </w:tc>
      </w:tr>
      <w:tr w:rsidR="005A34B8" w14:paraId="6D69ADB7" w14:textId="77777777" w:rsidTr="005A34B8">
        <w:tc>
          <w:tcPr>
            <w:tcW w:w="4013" w:type="dxa"/>
            <w:vAlign w:val="center"/>
            <w:hideMark/>
          </w:tcPr>
          <w:p w14:paraId="416698A1" w14:textId="77777777" w:rsidR="005A34B8" w:rsidRPr="005A34B8" w:rsidRDefault="005A34B8" w:rsidP="00C67119">
            <w:pPr>
              <w:pStyle w:val="TableRightHeading"/>
            </w:pPr>
          </w:p>
        </w:tc>
        <w:tc>
          <w:tcPr>
            <w:tcW w:w="881" w:type="dxa"/>
            <w:hideMark/>
          </w:tcPr>
          <w:p w14:paraId="17FA3434" w14:textId="77777777" w:rsidR="005A34B8" w:rsidRPr="005A34B8" w:rsidRDefault="005A34B8" w:rsidP="00C67119">
            <w:pPr>
              <w:pStyle w:val="TableRightHeading"/>
            </w:pPr>
          </w:p>
        </w:tc>
        <w:tc>
          <w:tcPr>
            <w:tcW w:w="1046" w:type="dxa"/>
          </w:tcPr>
          <w:p w14:paraId="74B16EF4" w14:textId="77777777" w:rsidR="005A34B8" w:rsidRPr="005A34B8" w:rsidRDefault="005A34B8" w:rsidP="00C67119">
            <w:pPr>
              <w:pStyle w:val="TableRightHeading"/>
            </w:pPr>
          </w:p>
        </w:tc>
        <w:tc>
          <w:tcPr>
            <w:tcW w:w="881" w:type="dxa"/>
          </w:tcPr>
          <w:p w14:paraId="55FA6C18" w14:textId="77777777" w:rsidR="005A34B8" w:rsidRPr="005A34B8" w:rsidRDefault="005A34B8" w:rsidP="00C67119">
            <w:pPr>
              <w:pStyle w:val="TableRightHeading"/>
            </w:pPr>
          </w:p>
        </w:tc>
        <w:tc>
          <w:tcPr>
            <w:tcW w:w="920" w:type="dxa"/>
          </w:tcPr>
          <w:p w14:paraId="0311AC77" w14:textId="77777777" w:rsidR="005A34B8" w:rsidRPr="005A34B8" w:rsidRDefault="005A34B8" w:rsidP="00C67119">
            <w:pPr>
              <w:pStyle w:val="TableRightHeading"/>
            </w:pPr>
          </w:p>
        </w:tc>
        <w:tc>
          <w:tcPr>
            <w:tcW w:w="920" w:type="dxa"/>
          </w:tcPr>
          <w:p w14:paraId="5811F93E" w14:textId="77777777" w:rsidR="005A34B8" w:rsidRPr="005A34B8" w:rsidRDefault="005A34B8" w:rsidP="00C67119">
            <w:pPr>
              <w:pStyle w:val="TableRightHeading"/>
            </w:pPr>
          </w:p>
        </w:tc>
        <w:tc>
          <w:tcPr>
            <w:tcW w:w="920" w:type="dxa"/>
          </w:tcPr>
          <w:p w14:paraId="44939937" w14:textId="77777777" w:rsidR="005A34B8" w:rsidRPr="005A34B8" w:rsidRDefault="005A34B8" w:rsidP="00C67119">
            <w:pPr>
              <w:pStyle w:val="TableRightHeading"/>
            </w:pPr>
          </w:p>
        </w:tc>
      </w:tr>
      <w:tr w:rsidR="005A34B8" w14:paraId="156BA910" w14:textId="77777777" w:rsidTr="005A34B8">
        <w:tc>
          <w:tcPr>
            <w:tcW w:w="4013" w:type="dxa"/>
            <w:vAlign w:val="center"/>
            <w:hideMark/>
          </w:tcPr>
          <w:p w14:paraId="0A3A446A" w14:textId="21F8D2B0" w:rsidR="005A34B8" w:rsidRPr="005A34B8" w:rsidRDefault="005A34B8">
            <w:pPr>
              <w:pStyle w:val="TableLeftHeading"/>
            </w:pPr>
            <w:r w:rsidRPr="005A34B8">
              <w:t xml:space="preserve">NET </w:t>
            </w:r>
            <w:r w:rsidR="00E4559C" w:rsidRPr="005A34B8">
              <w:t>DEBT</w:t>
            </w:r>
            <w:r w:rsidR="00E4559C">
              <w:rPr>
                <w:rStyle w:val="TableSuperscriptChar"/>
              </w:rPr>
              <w:t>1</w:t>
            </w:r>
            <w:r w:rsidR="00434AE9">
              <w:rPr>
                <w:rStyle w:val="TableSuperscriptChar"/>
              </w:rPr>
              <w:t>4</w:t>
            </w:r>
          </w:p>
        </w:tc>
        <w:tc>
          <w:tcPr>
            <w:tcW w:w="881" w:type="dxa"/>
            <w:hideMark/>
          </w:tcPr>
          <w:p w14:paraId="785F3E97" w14:textId="77777777" w:rsidR="005A34B8" w:rsidRPr="005A34B8" w:rsidRDefault="005A34B8">
            <w:pPr>
              <w:pStyle w:val="TableRightHeading"/>
            </w:pPr>
            <w:r w:rsidRPr="005A34B8">
              <w:t>2 994.0 </w:t>
            </w:r>
          </w:p>
        </w:tc>
        <w:tc>
          <w:tcPr>
            <w:tcW w:w="1046" w:type="dxa"/>
            <w:hideMark/>
          </w:tcPr>
          <w:p w14:paraId="78F12DE0" w14:textId="77777777" w:rsidR="005A34B8" w:rsidRPr="005A34B8" w:rsidRDefault="005A34B8">
            <w:pPr>
              <w:pStyle w:val="TableRightHeading"/>
            </w:pPr>
            <w:r w:rsidRPr="005A34B8">
              <w:t>2 282.9 </w:t>
            </w:r>
          </w:p>
        </w:tc>
        <w:tc>
          <w:tcPr>
            <w:tcW w:w="881" w:type="dxa"/>
            <w:hideMark/>
          </w:tcPr>
          <w:p w14:paraId="5779D080" w14:textId="77777777" w:rsidR="005A34B8" w:rsidRPr="005A34B8" w:rsidRDefault="005A34B8">
            <w:pPr>
              <w:pStyle w:val="TableRightHeading"/>
            </w:pPr>
            <w:r w:rsidRPr="005A34B8">
              <w:t>3 497.2 </w:t>
            </w:r>
          </w:p>
        </w:tc>
        <w:tc>
          <w:tcPr>
            <w:tcW w:w="920" w:type="dxa"/>
            <w:hideMark/>
          </w:tcPr>
          <w:p w14:paraId="7740AE84" w14:textId="77777777" w:rsidR="005A34B8" w:rsidRPr="005A34B8" w:rsidRDefault="005A34B8">
            <w:pPr>
              <w:pStyle w:val="TableRightHeading"/>
            </w:pPr>
            <w:r w:rsidRPr="005A34B8">
              <w:t>4 592.8 </w:t>
            </w:r>
          </w:p>
        </w:tc>
        <w:tc>
          <w:tcPr>
            <w:tcW w:w="920" w:type="dxa"/>
            <w:hideMark/>
          </w:tcPr>
          <w:p w14:paraId="0773ED00" w14:textId="77777777" w:rsidR="005A34B8" w:rsidRPr="005A34B8" w:rsidRDefault="005A34B8">
            <w:pPr>
              <w:pStyle w:val="TableRightHeading"/>
            </w:pPr>
            <w:r w:rsidRPr="005A34B8">
              <w:t>5 135.7 </w:t>
            </w:r>
          </w:p>
        </w:tc>
        <w:tc>
          <w:tcPr>
            <w:tcW w:w="920" w:type="dxa"/>
            <w:hideMark/>
          </w:tcPr>
          <w:p w14:paraId="0557D3F9" w14:textId="77777777" w:rsidR="005A34B8" w:rsidRPr="005A34B8" w:rsidRDefault="005A34B8">
            <w:pPr>
              <w:pStyle w:val="TableRightHeading"/>
            </w:pPr>
            <w:r w:rsidRPr="005A34B8">
              <w:t>5 596.0 </w:t>
            </w:r>
          </w:p>
        </w:tc>
      </w:tr>
      <w:tr w:rsidR="005A34B8" w14:paraId="3BFF7BDD" w14:textId="77777777" w:rsidTr="005A34B8">
        <w:tc>
          <w:tcPr>
            <w:tcW w:w="4013" w:type="dxa"/>
            <w:vAlign w:val="center"/>
          </w:tcPr>
          <w:p w14:paraId="5E4187BA" w14:textId="77777777" w:rsidR="005A34B8" w:rsidRPr="005A34B8" w:rsidRDefault="005A34B8">
            <w:pPr>
              <w:pStyle w:val="TableLeftHeading"/>
            </w:pPr>
          </w:p>
        </w:tc>
        <w:tc>
          <w:tcPr>
            <w:tcW w:w="881" w:type="dxa"/>
          </w:tcPr>
          <w:p w14:paraId="1300DE43" w14:textId="77777777" w:rsidR="005A34B8" w:rsidRPr="005A34B8" w:rsidRDefault="005A34B8">
            <w:pPr>
              <w:pStyle w:val="TableRightHeading"/>
            </w:pPr>
          </w:p>
        </w:tc>
        <w:tc>
          <w:tcPr>
            <w:tcW w:w="1046" w:type="dxa"/>
          </w:tcPr>
          <w:p w14:paraId="235B7533" w14:textId="77777777" w:rsidR="005A34B8" w:rsidRPr="005A34B8" w:rsidRDefault="005A34B8">
            <w:pPr>
              <w:pStyle w:val="TableRightHeading"/>
            </w:pPr>
          </w:p>
        </w:tc>
        <w:tc>
          <w:tcPr>
            <w:tcW w:w="881" w:type="dxa"/>
          </w:tcPr>
          <w:p w14:paraId="06ABFC99" w14:textId="77777777" w:rsidR="005A34B8" w:rsidRPr="005A34B8" w:rsidRDefault="005A34B8">
            <w:pPr>
              <w:pStyle w:val="TableRightHeading"/>
            </w:pPr>
          </w:p>
        </w:tc>
        <w:tc>
          <w:tcPr>
            <w:tcW w:w="920" w:type="dxa"/>
          </w:tcPr>
          <w:p w14:paraId="0F062F9C" w14:textId="77777777" w:rsidR="005A34B8" w:rsidRPr="005A34B8" w:rsidRDefault="005A34B8">
            <w:pPr>
              <w:pStyle w:val="TableRightHeading"/>
            </w:pPr>
          </w:p>
        </w:tc>
        <w:tc>
          <w:tcPr>
            <w:tcW w:w="920" w:type="dxa"/>
          </w:tcPr>
          <w:p w14:paraId="7B5D25B8" w14:textId="77777777" w:rsidR="005A34B8" w:rsidRPr="005A34B8" w:rsidRDefault="005A34B8">
            <w:pPr>
              <w:pStyle w:val="TableRightHeading"/>
            </w:pPr>
          </w:p>
        </w:tc>
        <w:tc>
          <w:tcPr>
            <w:tcW w:w="920" w:type="dxa"/>
          </w:tcPr>
          <w:p w14:paraId="3F7D10EF" w14:textId="77777777" w:rsidR="005A34B8" w:rsidRPr="005A34B8" w:rsidRDefault="005A34B8">
            <w:pPr>
              <w:pStyle w:val="TableRightHeading"/>
            </w:pPr>
          </w:p>
        </w:tc>
      </w:tr>
      <w:tr w:rsidR="005A34B8" w14:paraId="7A1EB61A" w14:textId="77777777" w:rsidTr="005A34B8">
        <w:tc>
          <w:tcPr>
            <w:tcW w:w="4013" w:type="dxa"/>
            <w:vAlign w:val="center"/>
            <w:hideMark/>
          </w:tcPr>
          <w:p w14:paraId="533F9B5C" w14:textId="53FD2C5E" w:rsidR="005A34B8" w:rsidRPr="005A34B8" w:rsidRDefault="005A34B8">
            <w:pPr>
              <w:pStyle w:val="TableLeftHeading"/>
            </w:pPr>
            <w:r w:rsidRPr="005A34B8">
              <w:t xml:space="preserve">GFS NET </w:t>
            </w:r>
            <w:r w:rsidR="00E4559C" w:rsidRPr="005A34B8">
              <w:t>DEBT</w:t>
            </w:r>
            <w:r w:rsidR="00E4559C">
              <w:rPr>
                <w:rStyle w:val="TableSuperscriptChar"/>
              </w:rPr>
              <w:t>1</w:t>
            </w:r>
            <w:r w:rsidR="00434AE9">
              <w:rPr>
                <w:rStyle w:val="TableSuperscriptChar"/>
              </w:rPr>
              <w:t>5</w:t>
            </w:r>
          </w:p>
        </w:tc>
        <w:tc>
          <w:tcPr>
            <w:tcW w:w="881" w:type="dxa"/>
            <w:hideMark/>
          </w:tcPr>
          <w:p w14:paraId="4A37FC9A" w14:textId="77777777" w:rsidR="005A34B8" w:rsidRPr="005A34B8" w:rsidRDefault="005A34B8">
            <w:pPr>
              <w:pStyle w:val="TableRightHeading"/>
            </w:pPr>
            <w:r w:rsidRPr="005A34B8">
              <w:t>2 633.8 </w:t>
            </w:r>
          </w:p>
        </w:tc>
        <w:tc>
          <w:tcPr>
            <w:tcW w:w="1046" w:type="dxa"/>
            <w:hideMark/>
          </w:tcPr>
          <w:p w14:paraId="60E2742A" w14:textId="77777777" w:rsidR="005A34B8" w:rsidRPr="005A34B8" w:rsidRDefault="005A34B8">
            <w:pPr>
              <w:pStyle w:val="TableRightHeading"/>
            </w:pPr>
            <w:r w:rsidRPr="005A34B8">
              <w:t>1 500.9 </w:t>
            </w:r>
          </w:p>
        </w:tc>
        <w:tc>
          <w:tcPr>
            <w:tcW w:w="881" w:type="dxa"/>
            <w:hideMark/>
          </w:tcPr>
          <w:p w14:paraId="6A8F4F63" w14:textId="77777777" w:rsidR="005A34B8" w:rsidRPr="005A34B8" w:rsidRDefault="005A34B8">
            <w:pPr>
              <w:pStyle w:val="TableRightHeading"/>
            </w:pPr>
            <w:r w:rsidRPr="005A34B8">
              <w:t>2 732.0 </w:t>
            </w:r>
          </w:p>
        </w:tc>
        <w:tc>
          <w:tcPr>
            <w:tcW w:w="920" w:type="dxa"/>
            <w:hideMark/>
          </w:tcPr>
          <w:p w14:paraId="16E58AE5" w14:textId="77777777" w:rsidR="005A34B8" w:rsidRPr="005A34B8" w:rsidRDefault="005A34B8">
            <w:pPr>
              <w:pStyle w:val="TableRightHeading"/>
            </w:pPr>
            <w:r w:rsidRPr="005A34B8">
              <w:t>3 864.7 </w:t>
            </w:r>
          </w:p>
        </w:tc>
        <w:tc>
          <w:tcPr>
            <w:tcW w:w="920" w:type="dxa"/>
            <w:hideMark/>
          </w:tcPr>
          <w:p w14:paraId="7F0E2551" w14:textId="77777777" w:rsidR="005A34B8" w:rsidRPr="005A34B8" w:rsidRDefault="005A34B8">
            <w:pPr>
              <w:pStyle w:val="TableRightHeading"/>
            </w:pPr>
            <w:r w:rsidRPr="005A34B8">
              <w:t>4 444.7 </w:t>
            </w:r>
          </w:p>
        </w:tc>
        <w:tc>
          <w:tcPr>
            <w:tcW w:w="920" w:type="dxa"/>
            <w:hideMark/>
          </w:tcPr>
          <w:p w14:paraId="5CBA821F" w14:textId="77777777" w:rsidR="005A34B8" w:rsidRPr="005A34B8" w:rsidRDefault="005A34B8">
            <w:pPr>
              <w:pStyle w:val="TableRightHeading"/>
            </w:pPr>
            <w:r w:rsidRPr="005A34B8">
              <w:t>4 942.4 </w:t>
            </w:r>
          </w:p>
        </w:tc>
      </w:tr>
      <w:tr w:rsidR="005A34B8" w14:paraId="52870660" w14:textId="77777777" w:rsidTr="005A34B8">
        <w:tc>
          <w:tcPr>
            <w:tcW w:w="4013" w:type="dxa"/>
            <w:tcBorders>
              <w:top w:val="nil"/>
              <w:left w:val="nil"/>
              <w:bottom w:val="single" w:sz="6" w:space="0" w:color="auto"/>
              <w:right w:val="nil"/>
            </w:tcBorders>
            <w:vAlign w:val="center"/>
          </w:tcPr>
          <w:p w14:paraId="073CF14B" w14:textId="77777777" w:rsidR="005A34B8" w:rsidRPr="005A34B8" w:rsidRDefault="005A34B8">
            <w:pPr>
              <w:pStyle w:val="TableLeft"/>
            </w:pPr>
          </w:p>
        </w:tc>
        <w:tc>
          <w:tcPr>
            <w:tcW w:w="881" w:type="dxa"/>
            <w:tcBorders>
              <w:top w:val="nil"/>
              <w:left w:val="nil"/>
              <w:bottom w:val="single" w:sz="6" w:space="0" w:color="auto"/>
              <w:right w:val="nil"/>
            </w:tcBorders>
            <w:vAlign w:val="center"/>
          </w:tcPr>
          <w:p w14:paraId="480188D0" w14:textId="77777777" w:rsidR="005A34B8" w:rsidRPr="005A34B8" w:rsidRDefault="005A34B8">
            <w:pPr>
              <w:pStyle w:val="TableRight"/>
            </w:pPr>
          </w:p>
        </w:tc>
        <w:tc>
          <w:tcPr>
            <w:tcW w:w="1046" w:type="dxa"/>
            <w:tcBorders>
              <w:top w:val="nil"/>
              <w:left w:val="nil"/>
              <w:bottom w:val="single" w:sz="6" w:space="0" w:color="auto"/>
              <w:right w:val="nil"/>
            </w:tcBorders>
            <w:vAlign w:val="center"/>
          </w:tcPr>
          <w:p w14:paraId="7DEA60BC" w14:textId="77777777" w:rsidR="005A34B8" w:rsidRPr="005A34B8" w:rsidRDefault="005A34B8">
            <w:pPr>
              <w:pStyle w:val="TableRight"/>
            </w:pPr>
          </w:p>
        </w:tc>
        <w:tc>
          <w:tcPr>
            <w:tcW w:w="881" w:type="dxa"/>
            <w:tcBorders>
              <w:top w:val="nil"/>
              <w:left w:val="nil"/>
              <w:bottom w:val="single" w:sz="6" w:space="0" w:color="auto"/>
              <w:right w:val="nil"/>
            </w:tcBorders>
            <w:vAlign w:val="center"/>
          </w:tcPr>
          <w:p w14:paraId="238E0FF3" w14:textId="77777777" w:rsidR="005A34B8" w:rsidRPr="005A34B8" w:rsidRDefault="005A34B8">
            <w:pPr>
              <w:pStyle w:val="TableRight"/>
            </w:pPr>
          </w:p>
        </w:tc>
        <w:tc>
          <w:tcPr>
            <w:tcW w:w="920" w:type="dxa"/>
            <w:tcBorders>
              <w:top w:val="nil"/>
              <w:left w:val="nil"/>
              <w:bottom w:val="single" w:sz="6" w:space="0" w:color="auto"/>
              <w:right w:val="nil"/>
            </w:tcBorders>
            <w:vAlign w:val="center"/>
          </w:tcPr>
          <w:p w14:paraId="1C06964D" w14:textId="77777777" w:rsidR="005A34B8" w:rsidRPr="005A34B8" w:rsidRDefault="005A34B8">
            <w:pPr>
              <w:pStyle w:val="TableRight"/>
            </w:pPr>
          </w:p>
        </w:tc>
        <w:tc>
          <w:tcPr>
            <w:tcW w:w="920" w:type="dxa"/>
            <w:tcBorders>
              <w:top w:val="nil"/>
              <w:left w:val="nil"/>
              <w:bottom w:val="single" w:sz="6" w:space="0" w:color="auto"/>
              <w:right w:val="nil"/>
            </w:tcBorders>
            <w:vAlign w:val="center"/>
          </w:tcPr>
          <w:p w14:paraId="43C0C437" w14:textId="77777777" w:rsidR="005A34B8" w:rsidRPr="005A34B8" w:rsidRDefault="005A34B8">
            <w:pPr>
              <w:pStyle w:val="TableRight"/>
            </w:pPr>
          </w:p>
        </w:tc>
        <w:tc>
          <w:tcPr>
            <w:tcW w:w="920" w:type="dxa"/>
            <w:tcBorders>
              <w:top w:val="nil"/>
              <w:left w:val="nil"/>
              <w:bottom w:val="single" w:sz="6" w:space="0" w:color="auto"/>
              <w:right w:val="nil"/>
            </w:tcBorders>
            <w:vAlign w:val="center"/>
          </w:tcPr>
          <w:p w14:paraId="55344D51" w14:textId="77777777" w:rsidR="005A34B8" w:rsidRPr="005A34B8" w:rsidRDefault="005A34B8">
            <w:pPr>
              <w:pStyle w:val="TableRight"/>
            </w:pPr>
          </w:p>
        </w:tc>
      </w:tr>
    </w:tbl>
    <w:p w14:paraId="210C6492" w14:textId="77777777" w:rsidR="005A34B8" w:rsidRPr="005A34B8" w:rsidRDefault="005A34B8" w:rsidP="005A34B8">
      <w:pPr>
        <w:pStyle w:val="NotesHeading"/>
      </w:pPr>
      <w:r w:rsidRPr="005A34B8">
        <w:t xml:space="preserve">Notes: </w:t>
      </w:r>
    </w:p>
    <w:p w14:paraId="73FA956E" w14:textId="31381BEA" w:rsidR="00F01471" w:rsidRPr="00F01471" w:rsidRDefault="00F01471" w:rsidP="00F01471">
      <w:pPr>
        <w:pStyle w:val="Notes0"/>
      </w:pPr>
      <w:r w:rsidRPr="00F01471">
        <w:t xml:space="preserve">Asset and Liability balances </w:t>
      </w:r>
      <w:r w:rsidR="00995636">
        <w:t>reflect</w:t>
      </w:r>
      <w:r w:rsidRPr="00F01471">
        <w:t xml:space="preserve"> the impact of the establishment of Homes Tasmania</w:t>
      </w:r>
      <w:r w:rsidR="00995636">
        <w:t xml:space="preserve"> on 1 December</w:t>
      </w:r>
      <w:r w:rsidR="001D486A">
        <w:t> 2022</w:t>
      </w:r>
      <w:r w:rsidR="000C419E">
        <w:t xml:space="preserve"> </w:t>
      </w:r>
      <w:r w:rsidR="00416F8B">
        <w:t xml:space="preserve">which </w:t>
      </w:r>
      <w:r w:rsidR="00BF3E5A">
        <w:t xml:space="preserve">has been </w:t>
      </w:r>
      <w:r w:rsidR="00416F8B">
        <w:t>classified as</w:t>
      </w:r>
      <w:r w:rsidR="00A56683">
        <w:t xml:space="preserve"> a</w:t>
      </w:r>
      <w:r w:rsidR="00416F8B">
        <w:t xml:space="preserve"> </w:t>
      </w:r>
      <w:r w:rsidR="000C419E">
        <w:t>P</w:t>
      </w:r>
      <w:r w:rsidR="001B5757">
        <w:t xml:space="preserve">ublic Non-Financial Corporations Sector </w:t>
      </w:r>
      <w:r w:rsidR="000C419E">
        <w:t>entity</w:t>
      </w:r>
      <w:r w:rsidRPr="00F01471">
        <w:t xml:space="preserve">. </w:t>
      </w:r>
      <w:r w:rsidR="00995636">
        <w:t>From this date</w:t>
      </w:r>
      <w:r w:rsidR="00416F8B">
        <w:t>,</w:t>
      </w:r>
      <w:r w:rsidRPr="00F01471">
        <w:t xml:space="preserve"> </w:t>
      </w:r>
      <w:r w:rsidR="000C419E">
        <w:t xml:space="preserve">relevant </w:t>
      </w:r>
      <w:r w:rsidR="00416F8B">
        <w:t>h</w:t>
      </w:r>
      <w:r w:rsidR="00416F8B" w:rsidRPr="00F01471">
        <w:t xml:space="preserve">ousing </w:t>
      </w:r>
      <w:r w:rsidR="00416F8B">
        <w:t>a</w:t>
      </w:r>
      <w:r w:rsidR="00416F8B" w:rsidRPr="00F01471">
        <w:t xml:space="preserve">ssets </w:t>
      </w:r>
      <w:r w:rsidRPr="00F01471">
        <w:t xml:space="preserve">and </w:t>
      </w:r>
      <w:r w:rsidR="00416F8B">
        <w:t>l</w:t>
      </w:r>
      <w:r w:rsidR="00416F8B" w:rsidRPr="00F01471">
        <w:t xml:space="preserve">iabilities </w:t>
      </w:r>
      <w:r w:rsidR="00416F8B">
        <w:t>were transferred from the General</w:t>
      </w:r>
      <w:r w:rsidR="00435D4F">
        <w:t> </w:t>
      </w:r>
      <w:r w:rsidR="00416F8B">
        <w:t xml:space="preserve">Government Sector </w:t>
      </w:r>
      <w:r w:rsidRPr="00F01471">
        <w:t xml:space="preserve">to </w:t>
      </w:r>
      <w:r w:rsidR="00A56683">
        <w:t>the PNFC Sector</w:t>
      </w:r>
      <w:r w:rsidRPr="00F01471">
        <w:t xml:space="preserve">. </w:t>
      </w:r>
      <w:r w:rsidR="00AC27C4">
        <w:t>Further information on the establishment of Homes Tasmania is provided in chapter 1 of this Budget</w:t>
      </w:r>
      <w:r w:rsidR="00A032C5">
        <w:t> </w:t>
      </w:r>
      <w:r w:rsidR="00AC27C4">
        <w:t>Paper.</w:t>
      </w:r>
    </w:p>
    <w:p w14:paraId="0EF43163" w14:textId="41A87BEF" w:rsidR="00F01471" w:rsidRPr="00F01471" w:rsidRDefault="00F01471" w:rsidP="00F01471">
      <w:pPr>
        <w:pStyle w:val="Notes0"/>
      </w:pPr>
      <w:r w:rsidRPr="00F01471">
        <w:t>The increase in Cash and deposits primarily reflects revised Specific Purpose Account opening balances based on actual 30 June 2022 outcomes.</w:t>
      </w:r>
    </w:p>
    <w:p w14:paraId="75B31957" w14:textId="56E40CD8" w:rsidR="00E4559C" w:rsidRDefault="00E4559C" w:rsidP="00F01471">
      <w:pPr>
        <w:pStyle w:val="Notes0"/>
      </w:pPr>
      <w:r>
        <w:t xml:space="preserve">The increase in the </w:t>
      </w:r>
      <w:r w:rsidRPr="00F01471">
        <w:t xml:space="preserve">General Government Sector Equity investment in PNFC and PFC sectors </w:t>
      </w:r>
      <w:r w:rsidR="00F07EF2">
        <w:t xml:space="preserve">reflects the </w:t>
      </w:r>
      <w:r w:rsidR="00995636">
        <w:t xml:space="preserve">inclusion of </w:t>
      </w:r>
      <w:r w:rsidR="00F07EF2">
        <w:t>Homes</w:t>
      </w:r>
      <w:r w:rsidR="00A032C5">
        <w:t> </w:t>
      </w:r>
      <w:r w:rsidR="00F07EF2">
        <w:t>Tasmania which was established on 1</w:t>
      </w:r>
      <w:r w:rsidR="001732D5">
        <w:t> </w:t>
      </w:r>
      <w:r w:rsidR="00F07EF2">
        <w:t>December</w:t>
      </w:r>
      <w:r w:rsidR="001D486A">
        <w:t> 2022</w:t>
      </w:r>
      <w:r w:rsidRPr="00F01471">
        <w:t>.</w:t>
      </w:r>
    </w:p>
    <w:p w14:paraId="49176E6B" w14:textId="36DDCA9F" w:rsidR="00F01471" w:rsidRPr="00F01471" w:rsidRDefault="00F01471" w:rsidP="00F01471">
      <w:pPr>
        <w:pStyle w:val="Notes0"/>
      </w:pPr>
      <w:r w:rsidRPr="00F01471">
        <w:t>The increase in Infrastructure primarily reflects the implementation of the Government’s infrastructure program. Further information on infrastructure investment is provided in chapter 6 of this Budget Paper.</w:t>
      </w:r>
    </w:p>
    <w:p w14:paraId="22F3D557" w14:textId="520CBDEE" w:rsidR="00F01471" w:rsidRDefault="00F01471" w:rsidP="00F01471">
      <w:pPr>
        <w:pStyle w:val="Notes0"/>
      </w:pPr>
      <w:r w:rsidRPr="00F01471">
        <w:t>The change in Lease right-of-use assets and Lease liabilities in 2024 and over the Forward Estimate</w:t>
      </w:r>
      <w:r w:rsidR="00DC0CBC">
        <w:t>s</w:t>
      </w:r>
      <w:r w:rsidRPr="00F01471">
        <w:t xml:space="preserve"> primarily reflects revised estimates based on 30 June 2022 actuals together with the recognition of additional leases in 2022-23.</w:t>
      </w:r>
    </w:p>
    <w:p w14:paraId="7AB3091A" w14:textId="0059177D" w:rsidR="00434AE9" w:rsidRPr="00F01471" w:rsidRDefault="00434AE9" w:rsidP="00F01471">
      <w:pPr>
        <w:pStyle w:val="Notes0"/>
      </w:pPr>
      <w:r>
        <w:t xml:space="preserve">The decrease in Other </w:t>
      </w:r>
      <w:r w:rsidR="00110876">
        <w:t xml:space="preserve">non-financial </w:t>
      </w:r>
      <w:r>
        <w:t>assets reflects the transfer of Service Concession Assets to Homes Tasmania</w:t>
      </w:r>
      <w:r w:rsidR="00416F8B">
        <w:t xml:space="preserve"> on 1</w:t>
      </w:r>
      <w:r w:rsidR="001A7A30">
        <w:t> </w:t>
      </w:r>
      <w:r w:rsidR="00416F8B">
        <w:t>December</w:t>
      </w:r>
      <w:r w:rsidR="00A032C5">
        <w:t> </w:t>
      </w:r>
      <w:r w:rsidR="00416F8B">
        <w:t>202</w:t>
      </w:r>
      <w:r w:rsidR="00F521B4">
        <w:t>2</w:t>
      </w:r>
      <w:r>
        <w:t>.</w:t>
      </w:r>
    </w:p>
    <w:p w14:paraId="7F4C359B" w14:textId="77777777" w:rsidR="00F01471" w:rsidRPr="00F01471" w:rsidRDefault="00F01471" w:rsidP="00F01471">
      <w:pPr>
        <w:pStyle w:val="Notes0"/>
      </w:pPr>
      <w:r w:rsidRPr="00F01471">
        <w:t>The increase in Borrowings as at 30 June 2024 and across the Forward Estimates primarily reflects the increase in borrowings to support the General Government Sector cash deficit.</w:t>
      </w:r>
    </w:p>
    <w:p w14:paraId="29B174B2" w14:textId="58500EDD" w:rsidR="00F01471" w:rsidRPr="00F01471" w:rsidRDefault="00F01471" w:rsidP="00F01471">
      <w:pPr>
        <w:pStyle w:val="Notes0"/>
      </w:pPr>
      <w:r w:rsidRPr="00F01471">
        <w:t>The decrease in Superannuation reflects the latest actuarial advice provided by the State’s Actuary, which includes a change in the discount rate from 2.5 per cent (used in the 2022</w:t>
      </w:r>
      <w:r w:rsidRPr="00F01471">
        <w:noBreakHyphen/>
        <w:t>23</w:t>
      </w:r>
      <w:r w:rsidR="009C2D16">
        <w:t> </w:t>
      </w:r>
      <w:r w:rsidRPr="00F01471">
        <w:t>Budget) to a rate of 4.0 per cent used in the 2023</w:t>
      </w:r>
      <w:r w:rsidR="001732D5">
        <w:noBreakHyphen/>
      </w:r>
      <w:r w:rsidRPr="00F01471">
        <w:t>24</w:t>
      </w:r>
      <w:r w:rsidR="001A7A30">
        <w:t> </w:t>
      </w:r>
      <w:r w:rsidRPr="00F01471">
        <w:t xml:space="preserve">Budget. </w:t>
      </w:r>
    </w:p>
    <w:p w14:paraId="17D68E08" w14:textId="1130C2D0" w:rsidR="00F01471" w:rsidRPr="00F01471" w:rsidRDefault="00F01471" w:rsidP="00F01471">
      <w:pPr>
        <w:pStyle w:val="Notes0"/>
      </w:pPr>
      <w:r w:rsidRPr="00F01471">
        <w:t>The decrease in Employee entitlements in 2027</w:t>
      </w:r>
      <w:r w:rsidR="009C2D16">
        <w:t> </w:t>
      </w:r>
      <w:r w:rsidRPr="00F01471">
        <w:t>primarily reflects the impact of the 27th pay</w:t>
      </w:r>
      <w:r w:rsidR="008F1281" w:rsidRPr="008F1281">
        <w:t xml:space="preserve"> </w:t>
      </w:r>
      <w:r w:rsidR="008F1281" w:rsidRPr="003454B8">
        <w:t>in 2026-27 and the reduction in the associated liability accrued over prior years for this purpose</w:t>
      </w:r>
      <w:r w:rsidRPr="00F01471">
        <w:t xml:space="preserve">.  </w:t>
      </w:r>
    </w:p>
    <w:p w14:paraId="1D1399AE" w14:textId="2DEBC6B8" w:rsidR="00F01471" w:rsidRPr="00F01471" w:rsidRDefault="00F01471" w:rsidP="00F01471">
      <w:pPr>
        <w:pStyle w:val="Notes0"/>
      </w:pPr>
      <w:r w:rsidRPr="00F01471">
        <w:t xml:space="preserve">The increase in Other liabilities in 2024 and </w:t>
      </w:r>
      <w:r w:rsidR="00110876">
        <w:t>variations</w:t>
      </w:r>
      <w:r w:rsidRPr="00F01471">
        <w:t xml:space="preserve"> across the Forward Estimates primarily reflect revised Australian</w:t>
      </w:r>
      <w:r w:rsidR="009C2D16">
        <w:t> </w:t>
      </w:r>
      <w:r w:rsidRPr="00F01471">
        <w:t>Government funding contract liability balances.</w:t>
      </w:r>
    </w:p>
    <w:p w14:paraId="1E4BEF64" w14:textId="77777777" w:rsidR="005A34B8" w:rsidRPr="005A34B8" w:rsidRDefault="005A34B8" w:rsidP="005A34B8">
      <w:pPr>
        <w:pStyle w:val="Notes0"/>
      </w:pPr>
      <w:r w:rsidRPr="005A34B8">
        <w:t>Net Worth represents Total Assets less Total Liabilities.</w:t>
      </w:r>
    </w:p>
    <w:p w14:paraId="622B9E73" w14:textId="77777777" w:rsidR="005A34B8" w:rsidRPr="005A34B8" w:rsidRDefault="005A34B8" w:rsidP="005A34B8">
      <w:pPr>
        <w:pStyle w:val="Notes0"/>
      </w:pPr>
      <w:r w:rsidRPr="005A34B8">
        <w:t>Net Financial Worth represents Financial assets less Total Liabilities.</w:t>
      </w:r>
    </w:p>
    <w:p w14:paraId="3E6A9AC9" w14:textId="4B703892" w:rsidR="005A34B8" w:rsidRPr="005A34B8" w:rsidRDefault="005A34B8" w:rsidP="005A34B8">
      <w:pPr>
        <w:pStyle w:val="Notes0"/>
      </w:pPr>
      <w:r w:rsidRPr="005A34B8">
        <w:t>Net Financial Liabilities represents Total Liabilities less Financial assets, excluding Equity investment in PNFC and PFC</w:t>
      </w:r>
      <w:r w:rsidR="009C2D16">
        <w:t> </w:t>
      </w:r>
      <w:r w:rsidRPr="005A34B8">
        <w:t>sectors.</w:t>
      </w:r>
    </w:p>
    <w:p w14:paraId="1AC0F846" w14:textId="77777777" w:rsidR="005A34B8" w:rsidRPr="005A34B8" w:rsidRDefault="005A34B8" w:rsidP="005A34B8">
      <w:pPr>
        <w:pStyle w:val="Notes0"/>
      </w:pPr>
      <w:r w:rsidRPr="005A34B8">
        <w:t>Net Debt represents Borrowings plus Lease liabilities, less the sum of Cash and deposits and Investments.</w:t>
      </w:r>
    </w:p>
    <w:p w14:paraId="67A71948" w14:textId="78015471" w:rsidR="005A34B8" w:rsidRDefault="005A34B8" w:rsidP="005A34B8">
      <w:pPr>
        <w:pStyle w:val="Notes0"/>
      </w:pPr>
      <w:r w:rsidRPr="005A34B8">
        <w:t>GFS Net Debt represents Borrowings less the sum of Cash and deposits and Investments. This is equivalent to Net Debt based on the Australian Bureau of Statistics Government Finance Statistics reporting framework, and excludes the impact of Lease liabilities.</w:t>
      </w:r>
    </w:p>
    <w:p w14:paraId="5552053C" w14:textId="77777777" w:rsidR="00D80FA8" w:rsidRPr="00110876" w:rsidRDefault="00D80FA8" w:rsidP="00110876">
      <w:pPr>
        <w:pStyle w:val="Body"/>
      </w:pPr>
      <w:r w:rsidRPr="00076654">
        <w:br w:type="page"/>
      </w:r>
    </w:p>
    <w:p w14:paraId="205191D5" w14:textId="561A984F" w:rsidR="00D80FA8" w:rsidRPr="00D80FA8" w:rsidRDefault="00D80FA8" w:rsidP="00D80FA8">
      <w:pPr>
        <w:pStyle w:val="Heading2"/>
      </w:pPr>
      <w:r w:rsidRPr="00D80FA8">
        <w:lastRenderedPageBreak/>
        <w:t>Net Debt and GFS Net Debt</w:t>
      </w:r>
    </w:p>
    <w:p w14:paraId="745466FA" w14:textId="5E3C349A" w:rsidR="00D80FA8" w:rsidRPr="00D80FA8" w:rsidRDefault="00D80FA8" w:rsidP="00D80FA8">
      <w:pPr>
        <w:pStyle w:val="Body"/>
      </w:pPr>
      <w:r w:rsidRPr="00D80FA8">
        <w:t>Net Debt is one of the key measures on the General Government</w:t>
      </w:r>
      <w:r w:rsidR="00B039E1">
        <w:t xml:space="preserve"> Sector</w:t>
      </w:r>
      <w:r w:rsidRPr="00D80FA8">
        <w:t xml:space="preserve"> Balance Sheet. The measure is used to help assess the overall strength of a Government’s fiscal position. The Budget Papers present two Net Debt measures, Net Debt and GFS Net Debt. Net Debt comprises Borrowings plus Lease liabilities, less the sum of Cash and deposits and Investments. This measure has been impacted by the change to the Australian Accounting Standard AASB 16 </w:t>
      </w:r>
      <w:r w:rsidRPr="00110876">
        <w:rPr>
          <w:rStyle w:val="AnyText-Italics"/>
        </w:rPr>
        <w:t>Leases</w:t>
      </w:r>
      <w:r w:rsidRPr="00D80FA8">
        <w:t xml:space="preserve">, which came into effect </w:t>
      </w:r>
      <w:r w:rsidR="001D07CE">
        <w:t>on</w:t>
      </w:r>
      <w:r w:rsidRPr="00D80FA8">
        <w:t xml:space="preserve"> 1 July 2019 and recognised applicable leases as liabilities on the Balance Sheet. </w:t>
      </w:r>
    </w:p>
    <w:p w14:paraId="64FF736A" w14:textId="78477A3F" w:rsidR="00D80FA8" w:rsidRPr="00110876" w:rsidRDefault="00D80FA8" w:rsidP="00857451">
      <w:pPr>
        <w:pStyle w:val="Body"/>
        <w:rPr>
          <w:rStyle w:val="Heading6Superscipt"/>
          <w:position w:val="0"/>
          <w:sz w:val="22"/>
        </w:rPr>
      </w:pPr>
      <w:r w:rsidRPr="00D80FA8">
        <w:t>The GFS Net Debt measure excludes the impact of the changed treatment for lease liabilities. This measure is aligned to the Australian Bureau of Statistics Government Finance Statistics reporting framework, which has not recognised the 2019 accounting change to leases.</w:t>
      </w:r>
      <w:r w:rsidRPr="00D80FA8">
        <w:rPr>
          <w:rStyle w:val="Heading6Superscipt"/>
        </w:rPr>
        <w:t xml:space="preserve"> </w:t>
      </w:r>
      <w:r w:rsidRPr="00D80FA8">
        <w:t xml:space="preserve">Table 7.2 shows the calculation of General Government </w:t>
      </w:r>
      <w:r w:rsidR="00B039E1">
        <w:t xml:space="preserve">Sector </w:t>
      </w:r>
      <w:r w:rsidRPr="00D80FA8">
        <w:t xml:space="preserve">Net Debt </w:t>
      </w:r>
      <w:r w:rsidRPr="00857451">
        <w:t>and GFS Net Debt.</w:t>
      </w:r>
    </w:p>
    <w:p w14:paraId="36FB873E" w14:textId="77777777" w:rsidR="00D80FA8" w:rsidRPr="00D80FA8" w:rsidRDefault="00D80FA8" w:rsidP="00D80FA8">
      <w:pPr>
        <w:pStyle w:val="Heading6"/>
        <w:rPr>
          <w:rStyle w:val="Heading6Superscipt"/>
        </w:rPr>
      </w:pPr>
      <w:r w:rsidRPr="00D80FA8">
        <w:rPr>
          <w:rStyle w:val="Heading6Superscipt"/>
        </w:rPr>
        <w:t>Table 7.2:</w:t>
      </w:r>
      <w:r w:rsidRPr="00D80FA8">
        <w:rPr>
          <w:rStyle w:val="Heading6Superscipt"/>
        </w:rPr>
        <w:tab/>
        <w:t>Composition of Net Debt and GFS Net Debt</w:t>
      </w:r>
    </w:p>
    <w:tbl>
      <w:tblPr>
        <w:tblW w:w="0" w:type="auto"/>
        <w:tblLayout w:type="fixed"/>
        <w:tblLook w:val="04A0" w:firstRow="1" w:lastRow="0" w:firstColumn="1" w:lastColumn="0" w:noHBand="0" w:noVBand="1"/>
      </w:tblPr>
      <w:tblGrid>
        <w:gridCol w:w="3395"/>
        <w:gridCol w:w="1012"/>
        <w:gridCol w:w="1075"/>
        <w:gridCol w:w="1012"/>
        <w:gridCol w:w="1012"/>
        <w:gridCol w:w="1012"/>
        <w:gridCol w:w="1006"/>
      </w:tblGrid>
      <w:tr w:rsidR="00D80FA8" w14:paraId="7336D80B" w14:textId="77777777" w:rsidTr="003D594D">
        <w:trPr>
          <w:trHeight w:val="315"/>
        </w:trPr>
        <w:tc>
          <w:tcPr>
            <w:tcW w:w="3395" w:type="dxa"/>
            <w:tcBorders>
              <w:top w:val="single" w:sz="4" w:space="0" w:color="auto"/>
              <w:left w:val="nil"/>
              <w:bottom w:val="nil"/>
              <w:right w:val="nil"/>
            </w:tcBorders>
            <w:vAlign w:val="center"/>
            <w:hideMark/>
          </w:tcPr>
          <w:p w14:paraId="6A803847" w14:textId="77777777" w:rsidR="00D80FA8" w:rsidRPr="00D80FA8" w:rsidRDefault="00D80FA8">
            <w:pPr>
              <w:pStyle w:val="TableRightHeading"/>
            </w:pPr>
            <w:r w:rsidRPr="00D80FA8">
              <w:t> </w:t>
            </w:r>
          </w:p>
        </w:tc>
        <w:tc>
          <w:tcPr>
            <w:tcW w:w="1012" w:type="dxa"/>
            <w:tcBorders>
              <w:top w:val="single" w:sz="4" w:space="0" w:color="auto"/>
              <w:left w:val="nil"/>
              <w:bottom w:val="nil"/>
              <w:right w:val="nil"/>
            </w:tcBorders>
            <w:hideMark/>
          </w:tcPr>
          <w:p w14:paraId="53FBE511" w14:textId="77777777" w:rsidR="00D80FA8" w:rsidRPr="00D80FA8" w:rsidRDefault="00D80FA8">
            <w:pPr>
              <w:pStyle w:val="TableRightHeading"/>
            </w:pPr>
            <w:r w:rsidRPr="00D80FA8">
              <w:t>2023 </w:t>
            </w:r>
          </w:p>
        </w:tc>
        <w:tc>
          <w:tcPr>
            <w:tcW w:w="1075" w:type="dxa"/>
            <w:tcBorders>
              <w:top w:val="single" w:sz="4" w:space="0" w:color="auto"/>
              <w:left w:val="nil"/>
              <w:bottom w:val="nil"/>
              <w:right w:val="nil"/>
            </w:tcBorders>
            <w:hideMark/>
          </w:tcPr>
          <w:p w14:paraId="018F9EE3" w14:textId="77777777" w:rsidR="00D80FA8" w:rsidRPr="00D80FA8" w:rsidRDefault="00D80FA8">
            <w:pPr>
              <w:pStyle w:val="TableRightHeading"/>
            </w:pPr>
            <w:r w:rsidRPr="00D80FA8">
              <w:t>2023 </w:t>
            </w:r>
          </w:p>
        </w:tc>
        <w:tc>
          <w:tcPr>
            <w:tcW w:w="1012" w:type="dxa"/>
            <w:tcBorders>
              <w:top w:val="single" w:sz="4" w:space="0" w:color="auto"/>
              <w:left w:val="nil"/>
              <w:bottom w:val="nil"/>
              <w:right w:val="nil"/>
            </w:tcBorders>
            <w:vAlign w:val="center"/>
            <w:hideMark/>
          </w:tcPr>
          <w:p w14:paraId="7DCF188B" w14:textId="77777777" w:rsidR="00D80FA8" w:rsidRPr="00D80FA8" w:rsidRDefault="00D80FA8">
            <w:pPr>
              <w:pStyle w:val="TableRightHeading"/>
            </w:pPr>
            <w:r w:rsidRPr="00D80FA8">
              <w:t>2024 </w:t>
            </w:r>
          </w:p>
        </w:tc>
        <w:tc>
          <w:tcPr>
            <w:tcW w:w="1012" w:type="dxa"/>
            <w:tcBorders>
              <w:top w:val="single" w:sz="4" w:space="0" w:color="auto"/>
              <w:left w:val="nil"/>
              <w:bottom w:val="nil"/>
              <w:right w:val="nil"/>
            </w:tcBorders>
            <w:vAlign w:val="center"/>
            <w:hideMark/>
          </w:tcPr>
          <w:p w14:paraId="0CED818A" w14:textId="77777777" w:rsidR="00D80FA8" w:rsidRPr="00D80FA8" w:rsidRDefault="00D80FA8">
            <w:pPr>
              <w:pStyle w:val="TableRightHeading"/>
            </w:pPr>
            <w:r w:rsidRPr="00D80FA8">
              <w:t>2025 </w:t>
            </w:r>
          </w:p>
        </w:tc>
        <w:tc>
          <w:tcPr>
            <w:tcW w:w="1012" w:type="dxa"/>
            <w:tcBorders>
              <w:top w:val="single" w:sz="4" w:space="0" w:color="auto"/>
              <w:left w:val="nil"/>
              <w:bottom w:val="nil"/>
              <w:right w:val="nil"/>
            </w:tcBorders>
            <w:vAlign w:val="center"/>
            <w:hideMark/>
          </w:tcPr>
          <w:p w14:paraId="0E8F3F83" w14:textId="77777777" w:rsidR="00D80FA8" w:rsidRPr="00D80FA8" w:rsidRDefault="00D80FA8">
            <w:pPr>
              <w:pStyle w:val="TableRightHeading"/>
            </w:pPr>
            <w:r w:rsidRPr="00D80FA8">
              <w:t>2026 </w:t>
            </w:r>
          </w:p>
        </w:tc>
        <w:tc>
          <w:tcPr>
            <w:tcW w:w="1006" w:type="dxa"/>
            <w:tcBorders>
              <w:top w:val="single" w:sz="4" w:space="0" w:color="auto"/>
              <w:left w:val="nil"/>
              <w:bottom w:val="nil"/>
              <w:right w:val="nil"/>
            </w:tcBorders>
            <w:vAlign w:val="center"/>
            <w:hideMark/>
          </w:tcPr>
          <w:p w14:paraId="288436CB" w14:textId="77777777" w:rsidR="00D80FA8" w:rsidRPr="00D80FA8" w:rsidRDefault="00D80FA8">
            <w:pPr>
              <w:pStyle w:val="TableRightHeading"/>
            </w:pPr>
            <w:r w:rsidRPr="00D80FA8">
              <w:t>2027 </w:t>
            </w:r>
          </w:p>
        </w:tc>
      </w:tr>
      <w:tr w:rsidR="00D80FA8" w14:paraId="54DA38E5" w14:textId="77777777" w:rsidTr="003D594D">
        <w:trPr>
          <w:trHeight w:val="315"/>
        </w:trPr>
        <w:tc>
          <w:tcPr>
            <w:tcW w:w="3395" w:type="dxa"/>
            <w:vAlign w:val="center"/>
          </w:tcPr>
          <w:p w14:paraId="1A0B1715" w14:textId="77777777" w:rsidR="00D80FA8" w:rsidRPr="00D80FA8" w:rsidRDefault="00D80FA8">
            <w:pPr>
              <w:pStyle w:val="TableRightHeading"/>
            </w:pPr>
          </w:p>
        </w:tc>
        <w:tc>
          <w:tcPr>
            <w:tcW w:w="1012" w:type="dxa"/>
            <w:vAlign w:val="center"/>
          </w:tcPr>
          <w:p w14:paraId="3681487C" w14:textId="77777777" w:rsidR="00D80FA8" w:rsidRPr="00D80FA8" w:rsidRDefault="00D80FA8">
            <w:pPr>
              <w:pStyle w:val="TableRightHeading"/>
            </w:pPr>
          </w:p>
        </w:tc>
        <w:tc>
          <w:tcPr>
            <w:tcW w:w="1075" w:type="dxa"/>
            <w:vAlign w:val="center"/>
            <w:hideMark/>
          </w:tcPr>
          <w:p w14:paraId="18C69E4E" w14:textId="77777777" w:rsidR="00D80FA8" w:rsidRPr="00D80FA8" w:rsidRDefault="00D80FA8" w:rsidP="001B5757">
            <w:pPr>
              <w:pStyle w:val="TableRightHeading"/>
              <w:ind w:left="-120"/>
            </w:pPr>
            <w:r w:rsidRPr="00D80FA8">
              <w:t>Estimated</w:t>
            </w:r>
          </w:p>
        </w:tc>
        <w:tc>
          <w:tcPr>
            <w:tcW w:w="1012" w:type="dxa"/>
            <w:vAlign w:val="center"/>
          </w:tcPr>
          <w:p w14:paraId="16B3E756" w14:textId="77777777" w:rsidR="00D80FA8" w:rsidRPr="00D80FA8" w:rsidRDefault="00D80FA8">
            <w:pPr>
              <w:pStyle w:val="TableRightHeading"/>
            </w:pPr>
          </w:p>
        </w:tc>
        <w:tc>
          <w:tcPr>
            <w:tcW w:w="1012" w:type="dxa"/>
            <w:vAlign w:val="center"/>
            <w:hideMark/>
          </w:tcPr>
          <w:p w14:paraId="0EBE8F49" w14:textId="77777777" w:rsidR="00D80FA8" w:rsidRPr="00D80FA8" w:rsidRDefault="00D80FA8">
            <w:pPr>
              <w:pStyle w:val="TableRightHeading"/>
            </w:pPr>
            <w:r w:rsidRPr="00D80FA8">
              <w:t xml:space="preserve">Forward </w:t>
            </w:r>
          </w:p>
        </w:tc>
        <w:tc>
          <w:tcPr>
            <w:tcW w:w="1012" w:type="dxa"/>
            <w:vAlign w:val="center"/>
            <w:hideMark/>
          </w:tcPr>
          <w:p w14:paraId="3F8B8A1C" w14:textId="77777777" w:rsidR="00D80FA8" w:rsidRPr="00D80FA8" w:rsidRDefault="00D80FA8">
            <w:pPr>
              <w:pStyle w:val="TableRightHeading"/>
            </w:pPr>
            <w:r w:rsidRPr="00D80FA8">
              <w:t xml:space="preserve">Forward </w:t>
            </w:r>
          </w:p>
        </w:tc>
        <w:tc>
          <w:tcPr>
            <w:tcW w:w="1006" w:type="dxa"/>
            <w:vAlign w:val="center"/>
            <w:hideMark/>
          </w:tcPr>
          <w:p w14:paraId="673E1C8D" w14:textId="77777777" w:rsidR="00D80FA8" w:rsidRPr="00D80FA8" w:rsidRDefault="00D80FA8">
            <w:pPr>
              <w:pStyle w:val="TableRightHeading"/>
            </w:pPr>
            <w:r w:rsidRPr="00D80FA8">
              <w:t xml:space="preserve">Forward </w:t>
            </w:r>
          </w:p>
        </w:tc>
      </w:tr>
      <w:tr w:rsidR="00D80FA8" w14:paraId="17AE7850" w14:textId="77777777" w:rsidTr="003D594D">
        <w:trPr>
          <w:trHeight w:val="264"/>
        </w:trPr>
        <w:tc>
          <w:tcPr>
            <w:tcW w:w="3395" w:type="dxa"/>
            <w:tcBorders>
              <w:top w:val="nil"/>
              <w:left w:val="nil"/>
              <w:bottom w:val="single" w:sz="4" w:space="0" w:color="auto"/>
              <w:right w:val="nil"/>
            </w:tcBorders>
            <w:vAlign w:val="center"/>
            <w:hideMark/>
          </w:tcPr>
          <w:p w14:paraId="52C583B4" w14:textId="77777777" w:rsidR="00D80FA8" w:rsidRPr="00D80FA8" w:rsidRDefault="00D80FA8">
            <w:pPr>
              <w:pStyle w:val="TableRightHeading"/>
            </w:pPr>
            <w:r w:rsidRPr="00D80FA8">
              <w:t> </w:t>
            </w:r>
          </w:p>
        </w:tc>
        <w:tc>
          <w:tcPr>
            <w:tcW w:w="1012" w:type="dxa"/>
            <w:tcBorders>
              <w:top w:val="nil"/>
              <w:left w:val="nil"/>
              <w:bottom w:val="single" w:sz="4" w:space="0" w:color="auto"/>
              <w:right w:val="nil"/>
            </w:tcBorders>
            <w:vAlign w:val="center"/>
            <w:hideMark/>
          </w:tcPr>
          <w:p w14:paraId="7E5A7A69" w14:textId="77777777" w:rsidR="00D80FA8" w:rsidRPr="00D80FA8" w:rsidRDefault="00D80FA8">
            <w:pPr>
              <w:pStyle w:val="TableRightHeading"/>
            </w:pPr>
            <w:r w:rsidRPr="00D80FA8">
              <w:t xml:space="preserve">Budget </w:t>
            </w:r>
          </w:p>
        </w:tc>
        <w:tc>
          <w:tcPr>
            <w:tcW w:w="1075" w:type="dxa"/>
            <w:tcBorders>
              <w:top w:val="nil"/>
              <w:left w:val="nil"/>
              <w:bottom w:val="single" w:sz="4" w:space="0" w:color="auto"/>
              <w:right w:val="nil"/>
            </w:tcBorders>
            <w:vAlign w:val="center"/>
            <w:hideMark/>
          </w:tcPr>
          <w:p w14:paraId="70170F2B" w14:textId="77777777" w:rsidR="00D80FA8" w:rsidRPr="00D80FA8" w:rsidRDefault="00D80FA8">
            <w:pPr>
              <w:pStyle w:val="TableRightHeading"/>
            </w:pPr>
            <w:r w:rsidRPr="00D80FA8">
              <w:t>Outcome</w:t>
            </w:r>
          </w:p>
        </w:tc>
        <w:tc>
          <w:tcPr>
            <w:tcW w:w="1012" w:type="dxa"/>
            <w:tcBorders>
              <w:top w:val="nil"/>
              <w:left w:val="nil"/>
              <w:bottom w:val="single" w:sz="4" w:space="0" w:color="auto"/>
              <w:right w:val="nil"/>
            </w:tcBorders>
            <w:vAlign w:val="center"/>
            <w:hideMark/>
          </w:tcPr>
          <w:p w14:paraId="3FADDCBB" w14:textId="77777777" w:rsidR="00D80FA8" w:rsidRPr="00D80FA8" w:rsidRDefault="00D80FA8">
            <w:pPr>
              <w:pStyle w:val="TableRightHeading"/>
            </w:pPr>
            <w:r w:rsidRPr="00D80FA8">
              <w:t xml:space="preserve">Budget </w:t>
            </w:r>
          </w:p>
        </w:tc>
        <w:tc>
          <w:tcPr>
            <w:tcW w:w="1012" w:type="dxa"/>
            <w:tcBorders>
              <w:top w:val="nil"/>
              <w:left w:val="nil"/>
              <w:bottom w:val="single" w:sz="4" w:space="0" w:color="auto"/>
              <w:right w:val="nil"/>
            </w:tcBorders>
            <w:vAlign w:val="center"/>
            <w:hideMark/>
          </w:tcPr>
          <w:p w14:paraId="0BF9D25F" w14:textId="77777777" w:rsidR="00D80FA8" w:rsidRPr="00D80FA8" w:rsidRDefault="00D80FA8">
            <w:pPr>
              <w:pStyle w:val="TableRightHeading"/>
            </w:pPr>
            <w:r w:rsidRPr="00D80FA8">
              <w:t xml:space="preserve">Estimate </w:t>
            </w:r>
          </w:p>
        </w:tc>
        <w:tc>
          <w:tcPr>
            <w:tcW w:w="1012" w:type="dxa"/>
            <w:tcBorders>
              <w:top w:val="nil"/>
              <w:left w:val="nil"/>
              <w:bottom w:val="single" w:sz="4" w:space="0" w:color="auto"/>
              <w:right w:val="nil"/>
            </w:tcBorders>
            <w:vAlign w:val="center"/>
            <w:hideMark/>
          </w:tcPr>
          <w:p w14:paraId="0A083139" w14:textId="77777777" w:rsidR="00D80FA8" w:rsidRPr="00D80FA8" w:rsidRDefault="00D80FA8">
            <w:pPr>
              <w:pStyle w:val="TableRightHeading"/>
            </w:pPr>
            <w:r w:rsidRPr="00D80FA8">
              <w:t xml:space="preserve">Estimate </w:t>
            </w:r>
          </w:p>
        </w:tc>
        <w:tc>
          <w:tcPr>
            <w:tcW w:w="1006" w:type="dxa"/>
            <w:tcBorders>
              <w:top w:val="nil"/>
              <w:left w:val="nil"/>
              <w:bottom w:val="single" w:sz="4" w:space="0" w:color="auto"/>
              <w:right w:val="nil"/>
            </w:tcBorders>
            <w:vAlign w:val="center"/>
            <w:hideMark/>
          </w:tcPr>
          <w:p w14:paraId="77551FB6" w14:textId="77777777" w:rsidR="00D80FA8" w:rsidRPr="00D80FA8" w:rsidRDefault="00D80FA8">
            <w:pPr>
              <w:pStyle w:val="TableRightHeading"/>
            </w:pPr>
            <w:r w:rsidRPr="00D80FA8">
              <w:t xml:space="preserve">Estimate </w:t>
            </w:r>
          </w:p>
        </w:tc>
      </w:tr>
      <w:tr w:rsidR="00D80FA8" w14:paraId="27D44CA1" w14:textId="77777777" w:rsidTr="003D594D">
        <w:trPr>
          <w:trHeight w:val="315"/>
        </w:trPr>
        <w:tc>
          <w:tcPr>
            <w:tcW w:w="3395" w:type="dxa"/>
            <w:tcBorders>
              <w:top w:val="single" w:sz="4" w:space="0" w:color="auto"/>
              <w:left w:val="nil"/>
              <w:bottom w:val="nil"/>
              <w:right w:val="nil"/>
            </w:tcBorders>
            <w:vAlign w:val="center"/>
            <w:hideMark/>
          </w:tcPr>
          <w:p w14:paraId="1B4A5DD2" w14:textId="77777777" w:rsidR="00D80FA8" w:rsidRPr="00D80FA8" w:rsidRDefault="00D80FA8" w:rsidP="00C67119">
            <w:pPr>
              <w:pStyle w:val="TableLeftHeading"/>
            </w:pPr>
          </w:p>
        </w:tc>
        <w:tc>
          <w:tcPr>
            <w:tcW w:w="1012" w:type="dxa"/>
            <w:tcBorders>
              <w:top w:val="single" w:sz="4" w:space="0" w:color="auto"/>
              <w:left w:val="nil"/>
              <w:bottom w:val="nil"/>
              <w:right w:val="nil"/>
            </w:tcBorders>
            <w:vAlign w:val="center"/>
            <w:hideMark/>
          </w:tcPr>
          <w:p w14:paraId="0EFE0314" w14:textId="77777777" w:rsidR="00D80FA8" w:rsidRPr="00C67119" w:rsidRDefault="00D80FA8" w:rsidP="00C67119">
            <w:pPr>
              <w:pStyle w:val="TableRightHeading"/>
            </w:pPr>
            <w:r w:rsidRPr="00C67119">
              <w:t>$m </w:t>
            </w:r>
          </w:p>
        </w:tc>
        <w:tc>
          <w:tcPr>
            <w:tcW w:w="1075" w:type="dxa"/>
            <w:tcBorders>
              <w:top w:val="single" w:sz="4" w:space="0" w:color="auto"/>
              <w:left w:val="nil"/>
              <w:bottom w:val="nil"/>
              <w:right w:val="nil"/>
            </w:tcBorders>
            <w:vAlign w:val="center"/>
            <w:hideMark/>
          </w:tcPr>
          <w:p w14:paraId="41C8DC2D" w14:textId="77777777" w:rsidR="00D80FA8" w:rsidRPr="00C67119" w:rsidRDefault="00D80FA8" w:rsidP="00C67119">
            <w:pPr>
              <w:pStyle w:val="TableRightHeading"/>
            </w:pPr>
            <w:r w:rsidRPr="00C67119">
              <w:t>$m </w:t>
            </w:r>
          </w:p>
        </w:tc>
        <w:tc>
          <w:tcPr>
            <w:tcW w:w="1012" w:type="dxa"/>
            <w:tcBorders>
              <w:top w:val="single" w:sz="4" w:space="0" w:color="auto"/>
              <w:left w:val="nil"/>
              <w:bottom w:val="nil"/>
              <w:right w:val="nil"/>
            </w:tcBorders>
            <w:vAlign w:val="center"/>
            <w:hideMark/>
          </w:tcPr>
          <w:p w14:paraId="51B36FE1" w14:textId="77777777" w:rsidR="00D80FA8" w:rsidRPr="00C67119" w:rsidRDefault="00D80FA8" w:rsidP="00C67119">
            <w:pPr>
              <w:pStyle w:val="TableRightHeading"/>
            </w:pPr>
            <w:r w:rsidRPr="00C67119">
              <w:t>$m </w:t>
            </w:r>
          </w:p>
        </w:tc>
        <w:tc>
          <w:tcPr>
            <w:tcW w:w="1012" w:type="dxa"/>
            <w:tcBorders>
              <w:top w:val="single" w:sz="4" w:space="0" w:color="auto"/>
              <w:left w:val="nil"/>
              <w:bottom w:val="nil"/>
              <w:right w:val="nil"/>
            </w:tcBorders>
            <w:vAlign w:val="center"/>
            <w:hideMark/>
          </w:tcPr>
          <w:p w14:paraId="6BD7FA28" w14:textId="77777777" w:rsidR="00D80FA8" w:rsidRPr="00C67119" w:rsidRDefault="00D80FA8" w:rsidP="00C67119">
            <w:pPr>
              <w:pStyle w:val="TableRightHeading"/>
            </w:pPr>
            <w:r w:rsidRPr="00C67119">
              <w:t>$m </w:t>
            </w:r>
          </w:p>
        </w:tc>
        <w:tc>
          <w:tcPr>
            <w:tcW w:w="1012" w:type="dxa"/>
            <w:tcBorders>
              <w:top w:val="single" w:sz="4" w:space="0" w:color="auto"/>
              <w:left w:val="nil"/>
              <w:bottom w:val="nil"/>
              <w:right w:val="nil"/>
            </w:tcBorders>
            <w:vAlign w:val="center"/>
            <w:hideMark/>
          </w:tcPr>
          <w:p w14:paraId="57A4AE31" w14:textId="77777777" w:rsidR="00D80FA8" w:rsidRPr="00C67119" w:rsidRDefault="00D80FA8" w:rsidP="00C67119">
            <w:pPr>
              <w:pStyle w:val="TableRightHeading"/>
            </w:pPr>
            <w:r w:rsidRPr="00C67119">
              <w:t>$m </w:t>
            </w:r>
          </w:p>
        </w:tc>
        <w:tc>
          <w:tcPr>
            <w:tcW w:w="1006" w:type="dxa"/>
            <w:tcBorders>
              <w:top w:val="single" w:sz="4" w:space="0" w:color="auto"/>
              <w:left w:val="nil"/>
              <w:bottom w:val="nil"/>
              <w:right w:val="nil"/>
            </w:tcBorders>
            <w:vAlign w:val="center"/>
            <w:hideMark/>
          </w:tcPr>
          <w:p w14:paraId="63BB69BC" w14:textId="77777777" w:rsidR="00D80FA8" w:rsidRPr="00C67119" w:rsidRDefault="00D80FA8" w:rsidP="00C67119">
            <w:pPr>
              <w:pStyle w:val="TableRightHeading"/>
            </w:pPr>
            <w:r w:rsidRPr="00C67119">
              <w:t>$m </w:t>
            </w:r>
          </w:p>
        </w:tc>
      </w:tr>
      <w:tr w:rsidR="00D80FA8" w14:paraId="453FAD11" w14:textId="77777777" w:rsidTr="003D594D">
        <w:trPr>
          <w:trHeight w:val="315"/>
        </w:trPr>
        <w:tc>
          <w:tcPr>
            <w:tcW w:w="3395" w:type="dxa"/>
            <w:vAlign w:val="center"/>
          </w:tcPr>
          <w:p w14:paraId="168C9595" w14:textId="77777777" w:rsidR="00D80FA8" w:rsidRPr="00D80FA8" w:rsidRDefault="00D80FA8">
            <w:pPr>
              <w:pStyle w:val="TableRight"/>
            </w:pPr>
          </w:p>
        </w:tc>
        <w:tc>
          <w:tcPr>
            <w:tcW w:w="1012" w:type="dxa"/>
            <w:vAlign w:val="center"/>
          </w:tcPr>
          <w:p w14:paraId="2A53277B" w14:textId="77777777" w:rsidR="00D80FA8" w:rsidRPr="00D80FA8" w:rsidRDefault="00D80FA8">
            <w:pPr>
              <w:pStyle w:val="TableRight"/>
            </w:pPr>
          </w:p>
        </w:tc>
        <w:tc>
          <w:tcPr>
            <w:tcW w:w="1075" w:type="dxa"/>
            <w:vAlign w:val="center"/>
          </w:tcPr>
          <w:p w14:paraId="531E75EB" w14:textId="77777777" w:rsidR="00D80FA8" w:rsidRPr="00D80FA8" w:rsidRDefault="00D80FA8">
            <w:pPr>
              <w:pStyle w:val="TableRight"/>
            </w:pPr>
          </w:p>
        </w:tc>
        <w:tc>
          <w:tcPr>
            <w:tcW w:w="1012" w:type="dxa"/>
            <w:vAlign w:val="center"/>
          </w:tcPr>
          <w:p w14:paraId="529EA936" w14:textId="77777777" w:rsidR="00D80FA8" w:rsidRPr="00D80FA8" w:rsidRDefault="00D80FA8">
            <w:pPr>
              <w:pStyle w:val="TableRight"/>
            </w:pPr>
          </w:p>
        </w:tc>
        <w:tc>
          <w:tcPr>
            <w:tcW w:w="1012" w:type="dxa"/>
            <w:vAlign w:val="center"/>
          </w:tcPr>
          <w:p w14:paraId="2BCE6B96" w14:textId="77777777" w:rsidR="00D80FA8" w:rsidRPr="00D80FA8" w:rsidRDefault="00D80FA8">
            <w:pPr>
              <w:pStyle w:val="TableRight"/>
            </w:pPr>
          </w:p>
        </w:tc>
        <w:tc>
          <w:tcPr>
            <w:tcW w:w="1012" w:type="dxa"/>
            <w:vAlign w:val="center"/>
          </w:tcPr>
          <w:p w14:paraId="290233B5" w14:textId="77777777" w:rsidR="00D80FA8" w:rsidRPr="00D80FA8" w:rsidRDefault="00D80FA8">
            <w:pPr>
              <w:pStyle w:val="TableRight"/>
            </w:pPr>
          </w:p>
        </w:tc>
        <w:tc>
          <w:tcPr>
            <w:tcW w:w="1006" w:type="dxa"/>
            <w:vAlign w:val="center"/>
          </w:tcPr>
          <w:p w14:paraId="548674E7" w14:textId="77777777" w:rsidR="00D80FA8" w:rsidRPr="00D80FA8" w:rsidRDefault="00D80FA8">
            <w:pPr>
              <w:pStyle w:val="TableRight"/>
            </w:pPr>
          </w:p>
        </w:tc>
      </w:tr>
      <w:tr w:rsidR="00D80FA8" w14:paraId="46BCC4BB" w14:textId="77777777" w:rsidTr="003D594D">
        <w:trPr>
          <w:trHeight w:val="315"/>
        </w:trPr>
        <w:tc>
          <w:tcPr>
            <w:tcW w:w="3395" w:type="dxa"/>
            <w:vAlign w:val="center"/>
            <w:hideMark/>
          </w:tcPr>
          <w:p w14:paraId="36DF3546" w14:textId="77777777" w:rsidR="00D80FA8" w:rsidRPr="00D80FA8" w:rsidRDefault="00D80FA8">
            <w:pPr>
              <w:pStyle w:val="TableLeft"/>
            </w:pPr>
            <w:r w:rsidRPr="00D80FA8">
              <w:t>Borrowings</w:t>
            </w:r>
          </w:p>
        </w:tc>
        <w:tc>
          <w:tcPr>
            <w:tcW w:w="1012" w:type="dxa"/>
            <w:hideMark/>
          </w:tcPr>
          <w:p w14:paraId="2C0B9EF0" w14:textId="77777777" w:rsidR="00D80FA8" w:rsidRPr="00D80FA8" w:rsidRDefault="00D80FA8">
            <w:pPr>
              <w:pStyle w:val="TableRight"/>
            </w:pPr>
            <w:r w:rsidRPr="00D80FA8">
              <w:t>4 125.6 </w:t>
            </w:r>
          </w:p>
        </w:tc>
        <w:tc>
          <w:tcPr>
            <w:tcW w:w="1075" w:type="dxa"/>
            <w:hideMark/>
          </w:tcPr>
          <w:p w14:paraId="54DD353A" w14:textId="77777777" w:rsidR="00D80FA8" w:rsidRPr="00D80FA8" w:rsidRDefault="00D80FA8">
            <w:pPr>
              <w:pStyle w:val="TableRight"/>
            </w:pPr>
            <w:r w:rsidRPr="00D80FA8">
              <w:t>3 286.1 </w:t>
            </w:r>
          </w:p>
        </w:tc>
        <w:tc>
          <w:tcPr>
            <w:tcW w:w="1012" w:type="dxa"/>
            <w:hideMark/>
          </w:tcPr>
          <w:p w14:paraId="454FDC52" w14:textId="77777777" w:rsidR="00D80FA8" w:rsidRPr="00D80FA8" w:rsidRDefault="00D80FA8">
            <w:pPr>
              <w:pStyle w:val="TableRight"/>
            </w:pPr>
            <w:r w:rsidRPr="00D80FA8">
              <w:t>4 555.0 </w:t>
            </w:r>
          </w:p>
        </w:tc>
        <w:tc>
          <w:tcPr>
            <w:tcW w:w="1012" w:type="dxa"/>
            <w:hideMark/>
          </w:tcPr>
          <w:p w14:paraId="23C3FEFF" w14:textId="77777777" w:rsidR="00D80FA8" w:rsidRPr="00D80FA8" w:rsidRDefault="00D80FA8">
            <w:pPr>
              <w:pStyle w:val="TableRight"/>
            </w:pPr>
            <w:r w:rsidRPr="00D80FA8">
              <w:t>5 599.0 </w:t>
            </w:r>
          </w:p>
        </w:tc>
        <w:tc>
          <w:tcPr>
            <w:tcW w:w="1012" w:type="dxa"/>
            <w:hideMark/>
          </w:tcPr>
          <w:p w14:paraId="311A41DF" w14:textId="77777777" w:rsidR="00D80FA8" w:rsidRPr="00D80FA8" w:rsidRDefault="00D80FA8">
            <w:pPr>
              <w:pStyle w:val="TableRight"/>
            </w:pPr>
            <w:r w:rsidRPr="00D80FA8">
              <w:t>6 204.8 </w:t>
            </w:r>
          </w:p>
        </w:tc>
        <w:tc>
          <w:tcPr>
            <w:tcW w:w="1006" w:type="dxa"/>
            <w:hideMark/>
          </w:tcPr>
          <w:p w14:paraId="575DDB8E" w14:textId="77777777" w:rsidR="00D80FA8" w:rsidRPr="00D80FA8" w:rsidRDefault="00D80FA8">
            <w:pPr>
              <w:pStyle w:val="TableRight"/>
            </w:pPr>
            <w:r w:rsidRPr="00D80FA8">
              <w:t>6 677.3 </w:t>
            </w:r>
          </w:p>
        </w:tc>
      </w:tr>
      <w:tr w:rsidR="00D80FA8" w14:paraId="72CDF42F" w14:textId="77777777" w:rsidTr="003D594D">
        <w:trPr>
          <w:trHeight w:val="315"/>
        </w:trPr>
        <w:tc>
          <w:tcPr>
            <w:tcW w:w="3395" w:type="dxa"/>
            <w:vAlign w:val="center"/>
            <w:hideMark/>
          </w:tcPr>
          <w:p w14:paraId="52D41439" w14:textId="77777777" w:rsidR="00D80FA8" w:rsidRPr="00D80FA8" w:rsidRDefault="00D80FA8">
            <w:pPr>
              <w:pStyle w:val="TableLeft"/>
            </w:pPr>
            <w:r w:rsidRPr="00D80FA8">
              <w:t>plus Lease liabilities</w:t>
            </w:r>
          </w:p>
        </w:tc>
        <w:tc>
          <w:tcPr>
            <w:tcW w:w="1012" w:type="dxa"/>
            <w:hideMark/>
          </w:tcPr>
          <w:p w14:paraId="2D18A3D4" w14:textId="77777777" w:rsidR="00D80FA8" w:rsidRPr="00D80FA8" w:rsidRDefault="00D80FA8">
            <w:pPr>
              <w:pStyle w:val="TableRight"/>
            </w:pPr>
            <w:r w:rsidRPr="00D80FA8">
              <w:t xml:space="preserve"> 360.2 </w:t>
            </w:r>
          </w:p>
        </w:tc>
        <w:tc>
          <w:tcPr>
            <w:tcW w:w="1075" w:type="dxa"/>
            <w:hideMark/>
          </w:tcPr>
          <w:p w14:paraId="2551BCAE" w14:textId="77777777" w:rsidR="00D80FA8" w:rsidRPr="00D80FA8" w:rsidRDefault="00D80FA8">
            <w:pPr>
              <w:pStyle w:val="TableRight"/>
            </w:pPr>
            <w:r w:rsidRPr="00D80FA8">
              <w:t xml:space="preserve"> 782.0 </w:t>
            </w:r>
          </w:p>
        </w:tc>
        <w:tc>
          <w:tcPr>
            <w:tcW w:w="1012" w:type="dxa"/>
            <w:hideMark/>
          </w:tcPr>
          <w:p w14:paraId="4BC02FAF" w14:textId="77777777" w:rsidR="00D80FA8" w:rsidRPr="00D80FA8" w:rsidRDefault="00D80FA8">
            <w:pPr>
              <w:pStyle w:val="TableRight"/>
            </w:pPr>
            <w:r w:rsidRPr="00D80FA8">
              <w:t xml:space="preserve"> 765.1 </w:t>
            </w:r>
          </w:p>
        </w:tc>
        <w:tc>
          <w:tcPr>
            <w:tcW w:w="1012" w:type="dxa"/>
            <w:hideMark/>
          </w:tcPr>
          <w:p w14:paraId="26F22990" w14:textId="77777777" w:rsidR="00D80FA8" w:rsidRPr="00D80FA8" w:rsidRDefault="00D80FA8">
            <w:pPr>
              <w:pStyle w:val="TableRight"/>
            </w:pPr>
            <w:r w:rsidRPr="00D80FA8">
              <w:t xml:space="preserve"> 728.1 </w:t>
            </w:r>
          </w:p>
        </w:tc>
        <w:tc>
          <w:tcPr>
            <w:tcW w:w="1012" w:type="dxa"/>
            <w:hideMark/>
          </w:tcPr>
          <w:p w14:paraId="33313CC0" w14:textId="77777777" w:rsidR="00D80FA8" w:rsidRPr="00D80FA8" w:rsidRDefault="00D80FA8">
            <w:pPr>
              <w:pStyle w:val="TableRight"/>
            </w:pPr>
            <w:r w:rsidRPr="00D80FA8">
              <w:t xml:space="preserve"> 690.9 </w:t>
            </w:r>
          </w:p>
        </w:tc>
        <w:tc>
          <w:tcPr>
            <w:tcW w:w="1006" w:type="dxa"/>
            <w:hideMark/>
          </w:tcPr>
          <w:p w14:paraId="02F45783" w14:textId="77777777" w:rsidR="00D80FA8" w:rsidRPr="00D80FA8" w:rsidRDefault="00D80FA8">
            <w:pPr>
              <w:pStyle w:val="TableRight"/>
            </w:pPr>
            <w:r w:rsidRPr="00D80FA8">
              <w:t xml:space="preserve"> 653.5 </w:t>
            </w:r>
          </w:p>
        </w:tc>
      </w:tr>
      <w:tr w:rsidR="00D80FA8" w14:paraId="3EDDE56A" w14:textId="77777777" w:rsidTr="003D594D">
        <w:trPr>
          <w:trHeight w:val="315"/>
        </w:trPr>
        <w:tc>
          <w:tcPr>
            <w:tcW w:w="3395" w:type="dxa"/>
            <w:vAlign w:val="center"/>
            <w:hideMark/>
          </w:tcPr>
          <w:p w14:paraId="621DA6BC" w14:textId="77777777" w:rsidR="00D80FA8" w:rsidRPr="00D80FA8" w:rsidRDefault="00D80FA8">
            <w:pPr>
              <w:pStyle w:val="TableLeft"/>
            </w:pPr>
            <w:r w:rsidRPr="00D80FA8">
              <w:t>less Cash and deposits</w:t>
            </w:r>
          </w:p>
        </w:tc>
        <w:tc>
          <w:tcPr>
            <w:tcW w:w="1012" w:type="dxa"/>
            <w:hideMark/>
          </w:tcPr>
          <w:p w14:paraId="26926E36" w14:textId="77777777" w:rsidR="00D80FA8" w:rsidRPr="00D80FA8" w:rsidRDefault="00D80FA8">
            <w:pPr>
              <w:pStyle w:val="TableRight"/>
            </w:pPr>
            <w:r w:rsidRPr="00D80FA8">
              <w:t xml:space="preserve"> 624.6 </w:t>
            </w:r>
          </w:p>
        </w:tc>
        <w:tc>
          <w:tcPr>
            <w:tcW w:w="1075" w:type="dxa"/>
            <w:hideMark/>
          </w:tcPr>
          <w:p w14:paraId="5A9AE761" w14:textId="77777777" w:rsidR="00D80FA8" w:rsidRPr="00D80FA8" w:rsidRDefault="00D80FA8">
            <w:pPr>
              <w:pStyle w:val="TableRight"/>
            </w:pPr>
            <w:r w:rsidRPr="00D80FA8">
              <w:t xml:space="preserve"> 932.9 </w:t>
            </w:r>
          </w:p>
        </w:tc>
        <w:tc>
          <w:tcPr>
            <w:tcW w:w="1012" w:type="dxa"/>
            <w:hideMark/>
          </w:tcPr>
          <w:p w14:paraId="03AB654F" w14:textId="77777777" w:rsidR="00D80FA8" w:rsidRPr="00D80FA8" w:rsidRDefault="00D80FA8">
            <w:pPr>
              <w:pStyle w:val="TableRight"/>
            </w:pPr>
            <w:r w:rsidRPr="00D80FA8">
              <w:t xml:space="preserve"> 937.6 </w:t>
            </w:r>
          </w:p>
        </w:tc>
        <w:tc>
          <w:tcPr>
            <w:tcW w:w="1012" w:type="dxa"/>
            <w:hideMark/>
          </w:tcPr>
          <w:p w14:paraId="615A3ED8" w14:textId="77777777" w:rsidR="00D80FA8" w:rsidRPr="00D80FA8" w:rsidRDefault="00D80FA8">
            <w:pPr>
              <w:pStyle w:val="TableRight"/>
            </w:pPr>
            <w:r w:rsidRPr="00D80FA8">
              <w:t xml:space="preserve"> 891.2 </w:t>
            </w:r>
          </w:p>
        </w:tc>
        <w:tc>
          <w:tcPr>
            <w:tcW w:w="1012" w:type="dxa"/>
            <w:hideMark/>
          </w:tcPr>
          <w:p w14:paraId="5E29D8AE" w14:textId="77777777" w:rsidR="00D80FA8" w:rsidRPr="00D80FA8" w:rsidRDefault="00D80FA8">
            <w:pPr>
              <w:pStyle w:val="TableRight"/>
            </w:pPr>
            <w:r w:rsidRPr="00D80FA8">
              <w:t xml:space="preserve"> 916.9 </w:t>
            </w:r>
          </w:p>
        </w:tc>
        <w:tc>
          <w:tcPr>
            <w:tcW w:w="1006" w:type="dxa"/>
            <w:hideMark/>
          </w:tcPr>
          <w:p w14:paraId="066A80DA" w14:textId="77777777" w:rsidR="00D80FA8" w:rsidRPr="00D80FA8" w:rsidRDefault="00D80FA8">
            <w:pPr>
              <w:pStyle w:val="TableRight"/>
            </w:pPr>
            <w:r w:rsidRPr="00D80FA8">
              <w:t xml:space="preserve"> 887.9 </w:t>
            </w:r>
          </w:p>
        </w:tc>
      </w:tr>
      <w:tr w:rsidR="00D80FA8" w14:paraId="79EC9845" w14:textId="77777777" w:rsidTr="003D594D">
        <w:trPr>
          <w:trHeight w:val="330"/>
        </w:trPr>
        <w:tc>
          <w:tcPr>
            <w:tcW w:w="3395" w:type="dxa"/>
            <w:vAlign w:val="center"/>
            <w:hideMark/>
          </w:tcPr>
          <w:p w14:paraId="61B6F284" w14:textId="77777777" w:rsidR="00D80FA8" w:rsidRPr="00D80FA8" w:rsidRDefault="00D80FA8">
            <w:pPr>
              <w:pStyle w:val="TableLeft"/>
            </w:pPr>
            <w:r w:rsidRPr="00D80FA8">
              <w:t>less Investments</w:t>
            </w:r>
          </w:p>
        </w:tc>
        <w:tc>
          <w:tcPr>
            <w:tcW w:w="1012" w:type="dxa"/>
            <w:tcBorders>
              <w:top w:val="nil"/>
              <w:left w:val="nil"/>
              <w:bottom w:val="single" w:sz="4" w:space="0" w:color="auto"/>
              <w:right w:val="nil"/>
            </w:tcBorders>
            <w:hideMark/>
          </w:tcPr>
          <w:p w14:paraId="42829815" w14:textId="77777777" w:rsidR="00D80FA8" w:rsidRPr="00D80FA8" w:rsidRDefault="00D80FA8">
            <w:pPr>
              <w:pStyle w:val="TableRight"/>
            </w:pPr>
            <w:r w:rsidRPr="00D80FA8">
              <w:t xml:space="preserve"> 867.2 </w:t>
            </w:r>
          </w:p>
        </w:tc>
        <w:tc>
          <w:tcPr>
            <w:tcW w:w="1075" w:type="dxa"/>
            <w:tcBorders>
              <w:top w:val="nil"/>
              <w:left w:val="nil"/>
              <w:bottom w:val="single" w:sz="4" w:space="0" w:color="auto"/>
              <w:right w:val="nil"/>
            </w:tcBorders>
            <w:hideMark/>
          </w:tcPr>
          <w:p w14:paraId="27112736" w14:textId="77777777" w:rsidR="00D80FA8" w:rsidRPr="00D80FA8" w:rsidRDefault="00D80FA8">
            <w:pPr>
              <w:pStyle w:val="TableRight"/>
            </w:pPr>
            <w:r w:rsidRPr="00D80FA8">
              <w:t xml:space="preserve"> 852.3 </w:t>
            </w:r>
          </w:p>
        </w:tc>
        <w:tc>
          <w:tcPr>
            <w:tcW w:w="1012" w:type="dxa"/>
            <w:tcBorders>
              <w:top w:val="nil"/>
              <w:left w:val="nil"/>
              <w:bottom w:val="single" w:sz="4" w:space="0" w:color="auto"/>
              <w:right w:val="nil"/>
            </w:tcBorders>
            <w:hideMark/>
          </w:tcPr>
          <w:p w14:paraId="581A0454" w14:textId="77777777" w:rsidR="00D80FA8" w:rsidRPr="00D80FA8" w:rsidRDefault="00D80FA8">
            <w:pPr>
              <w:pStyle w:val="TableRight"/>
            </w:pPr>
            <w:r w:rsidRPr="00D80FA8">
              <w:t xml:space="preserve"> 885.3 </w:t>
            </w:r>
          </w:p>
        </w:tc>
        <w:tc>
          <w:tcPr>
            <w:tcW w:w="1012" w:type="dxa"/>
            <w:tcBorders>
              <w:top w:val="nil"/>
              <w:left w:val="nil"/>
              <w:bottom w:val="single" w:sz="4" w:space="0" w:color="auto"/>
              <w:right w:val="nil"/>
            </w:tcBorders>
            <w:hideMark/>
          </w:tcPr>
          <w:p w14:paraId="7924EFD1" w14:textId="77777777" w:rsidR="00D80FA8" w:rsidRPr="00D80FA8" w:rsidRDefault="00D80FA8">
            <w:pPr>
              <w:pStyle w:val="TableRight"/>
            </w:pPr>
            <w:r w:rsidRPr="00D80FA8">
              <w:t xml:space="preserve"> 843.1 </w:t>
            </w:r>
          </w:p>
        </w:tc>
        <w:tc>
          <w:tcPr>
            <w:tcW w:w="1012" w:type="dxa"/>
            <w:tcBorders>
              <w:top w:val="nil"/>
              <w:left w:val="nil"/>
              <w:bottom w:val="single" w:sz="4" w:space="0" w:color="auto"/>
              <w:right w:val="nil"/>
            </w:tcBorders>
            <w:hideMark/>
          </w:tcPr>
          <w:p w14:paraId="191114F2" w14:textId="77777777" w:rsidR="00D80FA8" w:rsidRPr="00D80FA8" w:rsidRDefault="00D80FA8">
            <w:pPr>
              <w:pStyle w:val="TableRight"/>
            </w:pPr>
            <w:r w:rsidRPr="00D80FA8">
              <w:t xml:space="preserve"> 843.1 </w:t>
            </w:r>
          </w:p>
        </w:tc>
        <w:tc>
          <w:tcPr>
            <w:tcW w:w="1006" w:type="dxa"/>
            <w:tcBorders>
              <w:top w:val="nil"/>
              <w:left w:val="nil"/>
              <w:bottom w:val="single" w:sz="4" w:space="0" w:color="auto"/>
              <w:right w:val="nil"/>
            </w:tcBorders>
            <w:hideMark/>
          </w:tcPr>
          <w:p w14:paraId="3F5D50AB" w14:textId="77777777" w:rsidR="00D80FA8" w:rsidRPr="00D80FA8" w:rsidRDefault="00D80FA8">
            <w:pPr>
              <w:pStyle w:val="TableRight"/>
            </w:pPr>
            <w:r w:rsidRPr="00D80FA8">
              <w:t xml:space="preserve"> 847.0 </w:t>
            </w:r>
          </w:p>
        </w:tc>
      </w:tr>
      <w:tr w:rsidR="00D80FA8" w14:paraId="75AC1F74" w14:textId="77777777" w:rsidTr="003D594D">
        <w:trPr>
          <w:trHeight w:val="315"/>
        </w:trPr>
        <w:tc>
          <w:tcPr>
            <w:tcW w:w="3395" w:type="dxa"/>
            <w:vAlign w:val="center"/>
            <w:hideMark/>
          </w:tcPr>
          <w:p w14:paraId="049A7B57" w14:textId="77777777" w:rsidR="00D80FA8" w:rsidRPr="009750BC" w:rsidRDefault="00D80FA8" w:rsidP="009750BC">
            <w:pPr>
              <w:pStyle w:val="TableLeftHeading"/>
            </w:pPr>
            <w:r w:rsidRPr="009750BC">
              <w:t>NET DEBT</w:t>
            </w:r>
          </w:p>
        </w:tc>
        <w:tc>
          <w:tcPr>
            <w:tcW w:w="1012" w:type="dxa"/>
            <w:tcBorders>
              <w:top w:val="single" w:sz="4" w:space="0" w:color="auto"/>
              <w:left w:val="nil"/>
              <w:bottom w:val="nil"/>
              <w:right w:val="nil"/>
            </w:tcBorders>
            <w:hideMark/>
          </w:tcPr>
          <w:p w14:paraId="357A7E37" w14:textId="77777777" w:rsidR="00D80FA8" w:rsidRPr="00D80FA8" w:rsidRDefault="00D80FA8">
            <w:pPr>
              <w:pStyle w:val="TableRightHeading"/>
            </w:pPr>
            <w:r w:rsidRPr="00D80FA8">
              <w:t>2 994.0 </w:t>
            </w:r>
          </w:p>
        </w:tc>
        <w:tc>
          <w:tcPr>
            <w:tcW w:w="1075" w:type="dxa"/>
            <w:tcBorders>
              <w:top w:val="single" w:sz="4" w:space="0" w:color="auto"/>
              <w:left w:val="nil"/>
              <w:bottom w:val="nil"/>
              <w:right w:val="nil"/>
            </w:tcBorders>
            <w:hideMark/>
          </w:tcPr>
          <w:p w14:paraId="3748D401" w14:textId="77777777" w:rsidR="00D80FA8" w:rsidRPr="00D80FA8" w:rsidRDefault="00D80FA8">
            <w:pPr>
              <w:pStyle w:val="TableRightHeading"/>
            </w:pPr>
            <w:r w:rsidRPr="00D80FA8">
              <w:t>2 282.9 </w:t>
            </w:r>
          </w:p>
        </w:tc>
        <w:tc>
          <w:tcPr>
            <w:tcW w:w="1012" w:type="dxa"/>
            <w:tcBorders>
              <w:top w:val="single" w:sz="4" w:space="0" w:color="auto"/>
              <w:left w:val="nil"/>
              <w:bottom w:val="nil"/>
              <w:right w:val="nil"/>
            </w:tcBorders>
            <w:hideMark/>
          </w:tcPr>
          <w:p w14:paraId="7FFA03E6" w14:textId="77777777" w:rsidR="00D80FA8" w:rsidRPr="00D80FA8" w:rsidRDefault="00D80FA8">
            <w:pPr>
              <w:pStyle w:val="TableRightHeading"/>
            </w:pPr>
            <w:r w:rsidRPr="00D80FA8">
              <w:t>3 497.2 </w:t>
            </w:r>
          </w:p>
        </w:tc>
        <w:tc>
          <w:tcPr>
            <w:tcW w:w="1012" w:type="dxa"/>
            <w:tcBorders>
              <w:top w:val="single" w:sz="4" w:space="0" w:color="auto"/>
              <w:left w:val="nil"/>
              <w:bottom w:val="nil"/>
              <w:right w:val="nil"/>
            </w:tcBorders>
            <w:hideMark/>
          </w:tcPr>
          <w:p w14:paraId="35749115" w14:textId="77777777" w:rsidR="00D80FA8" w:rsidRPr="00D80FA8" w:rsidRDefault="00D80FA8">
            <w:pPr>
              <w:pStyle w:val="TableRightHeading"/>
            </w:pPr>
            <w:r w:rsidRPr="00D80FA8">
              <w:t>4 592.8 </w:t>
            </w:r>
          </w:p>
        </w:tc>
        <w:tc>
          <w:tcPr>
            <w:tcW w:w="1012" w:type="dxa"/>
            <w:tcBorders>
              <w:top w:val="single" w:sz="4" w:space="0" w:color="auto"/>
              <w:left w:val="nil"/>
              <w:bottom w:val="nil"/>
              <w:right w:val="nil"/>
            </w:tcBorders>
            <w:hideMark/>
          </w:tcPr>
          <w:p w14:paraId="53EE964A" w14:textId="77777777" w:rsidR="00D80FA8" w:rsidRPr="00D80FA8" w:rsidRDefault="00D80FA8">
            <w:pPr>
              <w:pStyle w:val="TableRightHeading"/>
            </w:pPr>
            <w:r w:rsidRPr="00D80FA8">
              <w:t>5 135.7 </w:t>
            </w:r>
          </w:p>
        </w:tc>
        <w:tc>
          <w:tcPr>
            <w:tcW w:w="1006" w:type="dxa"/>
            <w:tcBorders>
              <w:top w:val="single" w:sz="4" w:space="0" w:color="auto"/>
              <w:left w:val="nil"/>
              <w:bottom w:val="nil"/>
              <w:right w:val="nil"/>
            </w:tcBorders>
            <w:hideMark/>
          </w:tcPr>
          <w:p w14:paraId="03086F8D" w14:textId="77777777" w:rsidR="00D80FA8" w:rsidRPr="00D80FA8" w:rsidRDefault="00D80FA8">
            <w:pPr>
              <w:pStyle w:val="TableRightHeading"/>
            </w:pPr>
            <w:r w:rsidRPr="00D80FA8">
              <w:t>5 596.0 </w:t>
            </w:r>
          </w:p>
        </w:tc>
      </w:tr>
      <w:tr w:rsidR="00D80FA8" w14:paraId="481635CF" w14:textId="77777777" w:rsidTr="003D594D">
        <w:trPr>
          <w:trHeight w:val="315"/>
        </w:trPr>
        <w:tc>
          <w:tcPr>
            <w:tcW w:w="3395" w:type="dxa"/>
            <w:vAlign w:val="center"/>
          </w:tcPr>
          <w:p w14:paraId="673F9DED" w14:textId="77777777" w:rsidR="00D80FA8" w:rsidRPr="00D80FA8" w:rsidRDefault="00D80FA8">
            <w:pPr>
              <w:pStyle w:val="TableLeft"/>
            </w:pPr>
          </w:p>
        </w:tc>
        <w:tc>
          <w:tcPr>
            <w:tcW w:w="1012" w:type="dxa"/>
            <w:vAlign w:val="bottom"/>
          </w:tcPr>
          <w:p w14:paraId="0E9A7686" w14:textId="77777777" w:rsidR="00D80FA8" w:rsidRPr="00D80FA8" w:rsidRDefault="00D80FA8">
            <w:pPr>
              <w:pStyle w:val="TableRight"/>
            </w:pPr>
          </w:p>
        </w:tc>
        <w:tc>
          <w:tcPr>
            <w:tcW w:w="1075" w:type="dxa"/>
            <w:vAlign w:val="center"/>
          </w:tcPr>
          <w:p w14:paraId="56C1BBF5" w14:textId="77777777" w:rsidR="00D80FA8" w:rsidRPr="00D80FA8" w:rsidRDefault="00D80FA8">
            <w:pPr>
              <w:pStyle w:val="TableRight"/>
            </w:pPr>
          </w:p>
        </w:tc>
        <w:tc>
          <w:tcPr>
            <w:tcW w:w="1012" w:type="dxa"/>
            <w:vAlign w:val="center"/>
          </w:tcPr>
          <w:p w14:paraId="61549891" w14:textId="77777777" w:rsidR="00D80FA8" w:rsidRPr="00D80FA8" w:rsidRDefault="00D80FA8">
            <w:pPr>
              <w:pStyle w:val="TableRight"/>
            </w:pPr>
          </w:p>
        </w:tc>
        <w:tc>
          <w:tcPr>
            <w:tcW w:w="1012" w:type="dxa"/>
            <w:vAlign w:val="center"/>
          </w:tcPr>
          <w:p w14:paraId="056DE878" w14:textId="77777777" w:rsidR="00D80FA8" w:rsidRPr="00D80FA8" w:rsidRDefault="00D80FA8">
            <w:pPr>
              <w:pStyle w:val="TableRight"/>
            </w:pPr>
          </w:p>
        </w:tc>
        <w:tc>
          <w:tcPr>
            <w:tcW w:w="1012" w:type="dxa"/>
            <w:vAlign w:val="center"/>
          </w:tcPr>
          <w:p w14:paraId="647BE562" w14:textId="77777777" w:rsidR="00D80FA8" w:rsidRPr="00D80FA8" w:rsidRDefault="00D80FA8">
            <w:pPr>
              <w:pStyle w:val="TableRight"/>
            </w:pPr>
          </w:p>
        </w:tc>
        <w:tc>
          <w:tcPr>
            <w:tcW w:w="1006" w:type="dxa"/>
            <w:vAlign w:val="center"/>
          </w:tcPr>
          <w:p w14:paraId="001BDDBC" w14:textId="77777777" w:rsidR="00D80FA8" w:rsidRPr="00D80FA8" w:rsidRDefault="00D80FA8">
            <w:pPr>
              <w:pStyle w:val="TableRight"/>
            </w:pPr>
          </w:p>
        </w:tc>
      </w:tr>
      <w:tr w:rsidR="00D80FA8" w14:paraId="7BEBC76C" w14:textId="77777777" w:rsidTr="003D594D">
        <w:trPr>
          <w:trHeight w:val="315"/>
        </w:trPr>
        <w:tc>
          <w:tcPr>
            <w:tcW w:w="3395" w:type="dxa"/>
            <w:vAlign w:val="center"/>
            <w:hideMark/>
          </w:tcPr>
          <w:p w14:paraId="171B2F1A" w14:textId="77777777" w:rsidR="00D80FA8" w:rsidRPr="00D80FA8" w:rsidRDefault="00D80FA8">
            <w:pPr>
              <w:pStyle w:val="TableLeft"/>
            </w:pPr>
            <w:r w:rsidRPr="00D80FA8">
              <w:t>less Lease liabilities</w:t>
            </w:r>
          </w:p>
        </w:tc>
        <w:tc>
          <w:tcPr>
            <w:tcW w:w="1012" w:type="dxa"/>
            <w:hideMark/>
          </w:tcPr>
          <w:p w14:paraId="08EAC5B3" w14:textId="77777777" w:rsidR="00D80FA8" w:rsidRPr="00D80FA8" w:rsidRDefault="00D80FA8">
            <w:pPr>
              <w:pStyle w:val="TableRight"/>
            </w:pPr>
            <w:r w:rsidRPr="00D80FA8">
              <w:t xml:space="preserve"> 360.2 </w:t>
            </w:r>
          </w:p>
        </w:tc>
        <w:tc>
          <w:tcPr>
            <w:tcW w:w="1075" w:type="dxa"/>
            <w:hideMark/>
          </w:tcPr>
          <w:p w14:paraId="31AF21EB" w14:textId="77777777" w:rsidR="00D80FA8" w:rsidRPr="00D80FA8" w:rsidRDefault="00D80FA8">
            <w:pPr>
              <w:pStyle w:val="TableRight"/>
            </w:pPr>
            <w:r w:rsidRPr="00D80FA8">
              <w:t xml:space="preserve"> 782.0 </w:t>
            </w:r>
          </w:p>
        </w:tc>
        <w:tc>
          <w:tcPr>
            <w:tcW w:w="1012" w:type="dxa"/>
            <w:hideMark/>
          </w:tcPr>
          <w:p w14:paraId="26B50F90" w14:textId="77777777" w:rsidR="00D80FA8" w:rsidRPr="00D80FA8" w:rsidRDefault="00D80FA8">
            <w:pPr>
              <w:pStyle w:val="TableRight"/>
            </w:pPr>
            <w:r w:rsidRPr="00D80FA8">
              <w:t xml:space="preserve"> 765.1 </w:t>
            </w:r>
          </w:p>
        </w:tc>
        <w:tc>
          <w:tcPr>
            <w:tcW w:w="1012" w:type="dxa"/>
            <w:hideMark/>
          </w:tcPr>
          <w:p w14:paraId="0B22BCF7" w14:textId="77777777" w:rsidR="00D80FA8" w:rsidRPr="00D80FA8" w:rsidRDefault="00D80FA8">
            <w:pPr>
              <w:pStyle w:val="TableRight"/>
            </w:pPr>
            <w:r w:rsidRPr="00D80FA8">
              <w:t xml:space="preserve"> 728.1 </w:t>
            </w:r>
          </w:p>
        </w:tc>
        <w:tc>
          <w:tcPr>
            <w:tcW w:w="1012" w:type="dxa"/>
            <w:hideMark/>
          </w:tcPr>
          <w:p w14:paraId="4EB8054E" w14:textId="77777777" w:rsidR="00D80FA8" w:rsidRPr="00D80FA8" w:rsidRDefault="00D80FA8">
            <w:pPr>
              <w:pStyle w:val="TableRight"/>
            </w:pPr>
            <w:r w:rsidRPr="00D80FA8">
              <w:t xml:space="preserve"> 690.9 </w:t>
            </w:r>
          </w:p>
        </w:tc>
        <w:tc>
          <w:tcPr>
            <w:tcW w:w="1006" w:type="dxa"/>
            <w:hideMark/>
          </w:tcPr>
          <w:p w14:paraId="04B0564F" w14:textId="77777777" w:rsidR="00D80FA8" w:rsidRPr="00D80FA8" w:rsidRDefault="00D80FA8">
            <w:pPr>
              <w:pStyle w:val="TableRight"/>
            </w:pPr>
            <w:r w:rsidRPr="00D80FA8">
              <w:t xml:space="preserve"> 653.5 </w:t>
            </w:r>
          </w:p>
        </w:tc>
      </w:tr>
      <w:tr w:rsidR="00D80FA8" w14:paraId="6889F6F3" w14:textId="77777777" w:rsidTr="003D594D">
        <w:trPr>
          <w:trHeight w:val="330"/>
        </w:trPr>
        <w:tc>
          <w:tcPr>
            <w:tcW w:w="3395" w:type="dxa"/>
            <w:vAlign w:val="center"/>
          </w:tcPr>
          <w:p w14:paraId="1F4E7951" w14:textId="77777777" w:rsidR="00D80FA8" w:rsidRPr="00D80FA8" w:rsidRDefault="00D80FA8">
            <w:pPr>
              <w:pStyle w:val="TableLeft"/>
            </w:pPr>
          </w:p>
        </w:tc>
        <w:tc>
          <w:tcPr>
            <w:tcW w:w="1012" w:type="dxa"/>
            <w:tcBorders>
              <w:top w:val="nil"/>
              <w:left w:val="nil"/>
              <w:bottom w:val="single" w:sz="4" w:space="0" w:color="auto"/>
              <w:right w:val="nil"/>
            </w:tcBorders>
            <w:vAlign w:val="bottom"/>
          </w:tcPr>
          <w:p w14:paraId="2090CE4D" w14:textId="77777777" w:rsidR="00D80FA8" w:rsidRPr="00D80FA8" w:rsidRDefault="00D80FA8">
            <w:pPr>
              <w:pStyle w:val="TableRight"/>
            </w:pPr>
          </w:p>
        </w:tc>
        <w:tc>
          <w:tcPr>
            <w:tcW w:w="1075" w:type="dxa"/>
            <w:tcBorders>
              <w:top w:val="nil"/>
              <w:left w:val="nil"/>
              <w:bottom w:val="single" w:sz="4" w:space="0" w:color="auto"/>
              <w:right w:val="nil"/>
            </w:tcBorders>
            <w:vAlign w:val="center"/>
          </w:tcPr>
          <w:p w14:paraId="6E472A73" w14:textId="77777777" w:rsidR="00D80FA8" w:rsidRPr="00D80FA8" w:rsidRDefault="00D80FA8">
            <w:pPr>
              <w:pStyle w:val="TableRight"/>
            </w:pPr>
          </w:p>
        </w:tc>
        <w:tc>
          <w:tcPr>
            <w:tcW w:w="1012" w:type="dxa"/>
            <w:tcBorders>
              <w:top w:val="nil"/>
              <w:left w:val="nil"/>
              <w:bottom w:val="single" w:sz="4" w:space="0" w:color="auto"/>
              <w:right w:val="nil"/>
            </w:tcBorders>
            <w:vAlign w:val="center"/>
          </w:tcPr>
          <w:p w14:paraId="3B346CBF" w14:textId="77777777" w:rsidR="00D80FA8" w:rsidRPr="00D80FA8" w:rsidRDefault="00D80FA8">
            <w:pPr>
              <w:pStyle w:val="TableRight"/>
            </w:pPr>
          </w:p>
        </w:tc>
        <w:tc>
          <w:tcPr>
            <w:tcW w:w="1012" w:type="dxa"/>
            <w:tcBorders>
              <w:top w:val="nil"/>
              <w:left w:val="nil"/>
              <w:bottom w:val="single" w:sz="4" w:space="0" w:color="auto"/>
              <w:right w:val="nil"/>
            </w:tcBorders>
            <w:vAlign w:val="center"/>
          </w:tcPr>
          <w:p w14:paraId="653CB5AC" w14:textId="77777777" w:rsidR="00D80FA8" w:rsidRPr="00D80FA8" w:rsidRDefault="00D80FA8">
            <w:pPr>
              <w:pStyle w:val="TableRight"/>
            </w:pPr>
          </w:p>
        </w:tc>
        <w:tc>
          <w:tcPr>
            <w:tcW w:w="1012" w:type="dxa"/>
            <w:tcBorders>
              <w:top w:val="nil"/>
              <w:left w:val="nil"/>
              <w:bottom w:val="single" w:sz="4" w:space="0" w:color="auto"/>
              <w:right w:val="nil"/>
            </w:tcBorders>
            <w:vAlign w:val="center"/>
          </w:tcPr>
          <w:p w14:paraId="651282F7" w14:textId="77777777" w:rsidR="00D80FA8" w:rsidRPr="00D80FA8" w:rsidRDefault="00D80FA8">
            <w:pPr>
              <w:pStyle w:val="TableRight"/>
            </w:pPr>
          </w:p>
        </w:tc>
        <w:tc>
          <w:tcPr>
            <w:tcW w:w="1006" w:type="dxa"/>
            <w:tcBorders>
              <w:top w:val="nil"/>
              <w:left w:val="nil"/>
              <w:bottom w:val="single" w:sz="4" w:space="0" w:color="auto"/>
              <w:right w:val="nil"/>
            </w:tcBorders>
            <w:vAlign w:val="center"/>
          </w:tcPr>
          <w:p w14:paraId="123724C3" w14:textId="77777777" w:rsidR="00D80FA8" w:rsidRPr="00D80FA8" w:rsidRDefault="00D80FA8">
            <w:pPr>
              <w:pStyle w:val="TableRight"/>
            </w:pPr>
          </w:p>
        </w:tc>
      </w:tr>
      <w:tr w:rsidR="00D80FA8" w14:paraId="22E61AA4" w14:textId="77777777" w:rsidTr="003D594D">
        <w:trPr>
          <w:trHeight w:val="315"/>
        </w:trPr>
        <w:tc>
          <w:tcPr>
            <w:tcW w:w="3395" w:type="dxa"/>
            <w:vAlign w:val="center"/>
            <w:hideMark/>
          </w:tcPr>
          <w:p w14:paraId="0FD3A544" w14:textId="77777777" w:rsidR="00D80FA8" w:rsidRPr="009750BC" w:rsidRDefault="00D80FA8" w:rsidP="009750BC">
            <w:pPr>
              <w:pStyle w:val="TableLeftHeading"/>
            </w:pPr>
            <w:r w:rsidRPr="009750BC">
              <w:t>GFS NET DEBT</w:t>
            </w:r>
          </w:p>
        </w:tc>
        <w:tc>
          <w:tcPr>
            <w:tcW w:w="1012" w:type="dxa"/>
            <w:tcBorders>
              <w:top w:val="single" w:sz="4" w:space="0" w:color="auto"/>
              <w:left w:val="nil"/>
              <w:bottom w:val="double" w:sz="4" w:space="0" w:color="auto"/>
              <w:right w:val="nil"/>
            </w:tcBorders>
            <w:hideMark/>
          </w:tcPr>
          <w:p w14:paraId="4577E523" w14:textId="77777777" w:rsidR="00D80FA8" w:rsidRPr="009750BC" w:rsidRDefault="00D80FA8" w:rsidP="009750BC">
            <w:pPr>
              <w:pStyle w:val="TableRightHeading"/>
            </w:pPr>
            <w:r w:rsidRPr="009750BC">
              <w:t>2 633.8 </w:t>
            </w:r>
          </w:p>
        </w:tc>
        <w:tc>
          <w:tcPr>
            <w:tcW w:w="1075" w:type="dxa"/>
            <w:tcBorders>
              <w:top w:val="single" w:sz="4" w:space="0" w:color="auto"/>
              <w:left w:val="nil"/>
              <w:bottom w:val="double" w:sz="4" w:space="0" w:color="auto"/>
              <w:right w:val="nil"/>
            </w:tcBorders>
            <w:hideMark/>
          </w:tcPr>
          <w:p w14:paraId="239E5BD7" w14:textId="77777777" w:rsidR="00D80FA8" w:rsidRPr="009750BC" w:rsidRDefault="00D80FA8" w:rsidP="009750BC">
            <w:pPr>
              <w:pStyle w:val="TableRightHeading"/>
            </w:pPr>
            <w:r w:rsidRPr="009750BC">
              <w:t>1 500.9 </w:t>
            </w:r>
          </w:p>
        </w:tc>
        <w:tc>
          <w:tcPr>
            <w:tcW w:w="1012" w:type="dxa"/>
            <w:tcBorders>
              <w:top w:val="single" w:sz="4" w:space="0" w:color="auto"/>
              <w:left w:val="nil"/>
              <w:bottom w:val="double" w:sz="4" w:space="0" w:color="auto"/>
              <w:right w:val="nil"/>
            </w:tcBorders>
            <w:hideMark/>
          </w:tcPr>
          <w:p w14:paraId="0D35FEB5" w14:textId="77777777" w:rsidR="00D80FA8" w:rsidRPr="009750BC" w:rsidRDefault="00D80FA8" w:rsidP="009750BC">
            <w:pPr>
              <w:pStyle w:val="TableRightHeading"/>
            </w:pPr>
            <w:r w:rsidRPr="009750BC">
              <w:t>2 732.0 </w:t>
            </w:r>
          </w:p>
        </w:tc>
        <w:tc>
          <w:tcPr>
            <w:tcW w:w="1012" w:type="dxa"/>
            <w:tcBorders>
              <w:top w:val="single" w:sz="4" w:space="0" w:color="auto"/>
              <w:left w:val="nil"/>
              <w:bottom w:val="double" w:sz="4" w:space="0" w:color="auto"/>
              <w:right w:val="nil"/>
            </w:tcBorders>
            <w:hideMark/>
          </w:tcPr>
          <w:p w14:paraId="6B7910AF" w14:textId="77777777" w:rsidR="00D80FA8" w:rsidRPr="009750BC" w:rsidRDefault="00D80FA8" w:rsidP="009750BC">
            <w:pPr>
              <w:pStyle w:val="TableRightHeading"/>
            </w:pPr>
            <w:r w:rsidRPr="009750BC">
              <w:t>3 864.7 </w:t>
            </w:r>
          </w:p>
        </w:tc>
        <w:tc>
          <w:tcPr>
            <w:tcW w:w="1012" w:type="dxa"/>
            <w:tcBorders>
              <w:top w:val="single" w:sz="4" w:space="0" w:color="auto"/>
              <w:left w:val="nil"/>
              <w:bottom w:val="double" w:sz="4" w:space="0" w:color="auto"/>
              <w:right w:val="nil"/>
            </w:tcBorders>
            <w:hideMark/>
          </w:tcPr>
          <w:p w14:paraId="1E820CDA" w14:textId="77777777" w:rsidR="00D80FA8" w:rsidRPr="009750BC" w:rsidRDefault="00D80FA8" w:rsidP="009750BC">
            <w:pPr>
              <w:pStyle w:val="TableRightHeading"/>
            </w:pPr>
            <w:r w:rsidRPr="009750BC">
              <w:t>4 444.7 </w:t>
            </w:r>
          </w:p>
        </w:tc>
        <w:tc>
          <w:tcPr>
            <w:tcW w:w="1006" w:type="dxa"/>
            <w:tcBorders>
              <w:top w:val="single" w:sz="4" w:space="0" w:color="auto"/>
              <w:left w:val="nil"/>
              <w:bottom w:val="double" w:sz="4" w:space="0" w:color="auto"/>
              <w:right w:val="nil"/>
            </w:tcBorders>
            <w:hideMark/>
          </w:tcPr>
          <w:p w14:paraId="7E33C3A9" w14:textId="77777777" w:rsidR="00D80FA8" w:rsidRPr="009750BC" w:rsidRDefault="00D80FA8" w:rsidP="009750BC">
            <w:pPr>
              <w:pStyle w:val="TableRightHeading"/>
            </w:pPr>
            <w:r w:rsidRPr="009750BC">
              <w:t>4 942.4 </w:t>
            </w:r>
          </w:p>
        </w:tc>
      </w:tr>
      <w:tr w:rsidR="00D80FA8" w14:paraId="4C8E535E" w14:textId="77777777" w:rsidTr="003D594D">
        <w:trPr>
          <w:trHeight w:val="264"/>
        </w:trPr>
        <w:tc>
          <w:tcPr>
            <w:tcW w:w="3395" w:type="dxa"/>
            <w:tcBorders>
              <w:top w:val="nil"/>
              <w:left w:val="nil"/>
              <w:bottom w:val="single" w:sz="4" w:space="0" w:color="auto"/>
              <w:right w:val="nil"/>
            </w:tcBorders>
            <w:vAlign w:val="center"/>
            <w:hideMark/>
          </w:tcPr>
          <w:p w14:paraId="7098BCF3" w14:textId="77777777" w:rsidR="00D80FA8" w:rsidRPr="00D80FA8" w:rsidRDefault="00D80FA8">
            <w:pPr>
              <w:pStyle w:val="TableRightHeading"/>
            </w:pPr>
            <w:r w:rsidRPr="00D80FA8">
              <w:t> </w:t>
            </w:r>
          </w:p>
        </w:tc>
        <w:tc>
          <w:tcPr>
            <w:tcW w:w="1012" w:type="dxa"/>
            <w:tcBorders>
              <w:top w:val="double" w:sz="4" w:space="0" w:color="auto"/>
              <w:left w:val="nil"/>
              <w:bottom w:val="single" w:sz="4" w:space="0" w:color="auto"/>
              <w:right w:val="nil"/>
            </w:tcBorders>
            <w:vAlign w:val="center"/>
          </w:tcPr>
          <w:p w14:paraId="2E959909" w14:textId="77777777" w:rsidR="00D80FA8" w:rsidRPr="00D80FA8" w:rsidRDefault="00D80FA8">
            <w:pPr>
              <w:pStyle w:val="TableRightHeading"/>
            </w:pPr>
          </w:p>
        </w:tc>
        <w:tc>
          <w:tcPr>
            <w:tcW w:w="1075" w:type="dxa"/>
            <w:tcBorders>
              <w:top w:val="double" w:sz="4" w:space="0" w:color="auto"/>
              <w:left w:val="nil"/>
              <w:bottom w:val="single" w:sz="4" w:space="0" w:color="auto"/>
              <w:right w:val="nil"/>
            </w:tcBorders>
            <w:vAlign w:val="center"/>
          </w:tcPr>
          <w:p w14:paraId="3C1CB155" w14:textId="77777777" w:rsidR="00D80FA8" w:rsidRPr="00D80FA8" w:rsidRDefault="00D80FA8">
            <w:pPr>
              <w:pStyle w:val="TableRightHeading"/>
            </w:pPr>
          </w:p>
        </w:tc>
        <w:tc>
          <w:tcPr>
            <w:tcW w:w="1012" w:type="dxa"/>
            <w:tcBorders>
              <w:top w:val="double" w:sz="4" w:space="0" w:color="auto"/>
              <w:left w:val="nil"/>
              <w:bottom w:val="single" w:sz="4" w:space="0" w:color="auto"/>
              <w:right w:val="nil"/>
            </w:tcBorders>
            <w:vAlign w:val="center"/>
          </w:tcPr>
          <w:p w14:paraId="33CBD329" w14:textId="77777777" w:rsidR="00D80FA8" w:rsidRPr="00D80FA8" w:rsidRDefault="00D80FA8">
            <w:pPr>
              <w:pStyle w:val="TableRightHeading"/>
            </w:pPr>
          </w:p>
        </w:tc>
        <w:tc>
          <w:tcPr>
            <w:tcW w:w="1012" w:type="dxa"/>
            <w:tcBorders>
              <w:top w:val="double" w:sz="4" w:space="0" w:color="auto"/>
              <w:left w:val="nil"/>
              <w:bottom w:val="single" w:sz="4" w:space="0" w:color="auto"/>
              <w:right w:val="nil"/>
            </w:tcBorders>
            <w:vAlign w:val="center"/>
          </w:tcPr>
          <w:p w14:paraId="2D709819" w14:textId="77777777" w:rsidR="00D80FA8" w:rsidRPr="00D80FA8" w:rsidRDefault="00D80FA8">
            <w:pPr>
              <w:pStyle w:val="TableRightHeading"/>
            </w:pPr>
          </w:p>
        </w:tc>
        <w:tc>
          <w:tcPr>
            <w:tcW w:w="1012" w:type="dxa"/>
            <w:tcBorders>
              <w:top w:val="double" w:sz="4" w:space="0" w:color="auto"/>
              <w:left w:val="nil"/>
              <w:bottom w:val="single" w:sz="4" w:space="0" w:color="auto"/>
              <w:right w:val="nil"/>
            </w:tcBorders>
            <w:vAlign w:val="center"/>
          </w:tcPr>
          <w:p w14:paraId="5387C681" w14:textId="77777777" w:rsidR="00D80FA8" w:rsidRPr="00D80FA8" w:rsidRDefault="00D80FA8">
            <w:pPr>
              <w:pStyle w:val="TableRightHeading"/>
            </w:pPr>
          </w:p>
        </w:tc>
        <w:tc>
          <w:tcPr>
            <w:tcW w:w="1006" w:type="dxa"/>
            <w:tcBorders>
              <w:top w:val="double" w:sz="4" w:space="0" w:color="auto"/>
              <w:left w:val="nil"/>
              <w:bottom w:val="single" w:sz="4" w:space="0" w:color="auto"/>
              <w:right w:val="nil"/>
            </w:tcBorders>
            <w:vAlign w:val="center"/>
          </w:tcPr>
          <w:p w14:paraId="1AD73163" w14:textId="77777777" w:rsidR="00D80FA8" w:rsidRPr="00D80FA8" w:rsidRDefault="00D80FA8">
            <w:pPr>
              <w:pStyle w:val="TableRightHeading"/>
            </w:pPr>
          </w:p>
        </w:tc>
      </w:tr>
    </w:tbl>
    <w:p w14:paraId="0B212407" w14:textId="77777777" w:rsidR="00D80FA8" w:rsidRPr="00D80FA8" w:rsidRDefault="00D80FA8" w:rsidP="00D80FA8">
      <w:pPr>
        <w:pStyle w:val="NotesHeading"/>
      </w:pPr>
    </w:p>
    <w:p w14:paraId="116FE315" w14:textId="35CA9658" w:rsidR="00D80FA8" w:rsidRPr="00D80FA8" w:rsidRDefault="00D80FA8" w:rsidP="00D80FA8">
      <w:pPr>
        <w:pStyle w:val="Body"/>
      </w:pPr>
      <w:r w:rsidRPr="00D80FA8">
        <w:t>As shown in Table 7.2 GFS Net Debt is estimated to be $2 732 million as at 30 June 2024, increasing to $4 942.4 million as at 30 June 2027. The increase is primarily due to:</w:t>
      </w:r>
    </w:p>
    <w:p w14:paraId="0C675B7F" w14:textId="1E438EBD" w:rsidR="00D80FA8" w:rsidRPr="00EA0FC8" w:rsidRDefault="00D80FA8" w:rsidP="00EA0FC8">
      <w:pPr>
        <w:pStyle w:val="Dotpoint"/>
      </w:pPr>
      <w:r w:rsidRPr="00EA0FC8">
        <w:t>an increase in Borrowings of $2 122.3 million. This reflects new borrowings to support the General</w:t>
      </w:r>
      <w:r w:rsidR="009C2D16">
        <w:t> </w:t>
      </w:r>
      <w:r w:rsidRPr="00EA0FC8">
        <w:t>Government Sector cash deficit;</w:t>
      </w:r>
    </w:p>
    <w:p w14:paraId="742DD9D2" w14:textId="76ABB98E" w:rsidR="00D80FA8" w:rsidRPr="00EA0FC8" w:rsidRDefault="00D80FA8" w:rsidP="00EA0FC8">
      <w:pPr>
        <w:pStyle w:val="Dotpoint"/>
      </w:pPr>
      <w:r w:rsidRPr="00EA0FC8">
        <w:t xml:space="preserve">a decrease in Cash and deposits of $49.7 million. </w:t>
      </w:r>
      <w:r w:rsidR="00A411E8" w:rsidRPr="00EA0FC8">
        <w:t xml:space="preserve">The change is primarily due to variations in </w:t>
      </w:r>
      <w:r w:rsidRPr="00EA0FC8">
        <w:t>the balance of Specific Purpose Accounts held in the Public Account; and</w:t>
      </w:r>
    </w:p>
    <w:p w14:paraId="1E0A4075" w14:textId="3F7E38D1" w:rsidR="00C1342A" w:rsidRDefault="00D80FA8" w:rsidP="00EA0FC8">
      <w:pPr>
        <w:pStyle w:val="Dotpoint"/>
      </w:pPr>
      <w:r w:rsidRPr="00EA0FC8">
        <w:t>a decrease in Investments of $38.3 million. The decrease is primarily due to the repayment of advances made by the Department of State Growth.</w:t>
      </w:r>
    </w:p>
    <w:p w14:paraId="68567D3E" w14:textId="77777777" w:rsidR="00C1342A" w:rsidRDefault="00C1342A">
      <w:r>
        <w:br w:type="page"/>
      </w:r>
    </w:p>
    <w:p w14:paraId="0A578307" w14:textId="77777777" w:rsidR="00D80FA8" w:rsidRPr="00D80FA8" w:rsidRDefault="00D80FA8" w:rsidP="00D80FA8">
      <w:pPr>
        <w:pStyle w:val="Heading3"/>
      </w:pPr>
      <w:r w:rsidRPr="00D80FA8">
        <w:lastRenderedPageBreak/>
        <w:t>GFS Net Debt as a percentage of GSP/Revenue</w:t>
      </w:r>
    </w:p>
    <w:p w14:paraId="5A4A51B3" w14:textId="06B3F70F" w:rsidR="00D80FA8" w:rsidRPr="00D80FA8" w:rsidRDefault="00D80FA8" w:rsidP="00D80FA8">
      <w:pPr>
        <w:pStyle w:val="Body"/>
      </w:pPr>
      <w:r w:rsidRPr="00D80FA8">
        <w:t>GFS Net Debt as a percentage of G</w:t>
      </w:r>
      <w:r w:rsidR="00F521B4">
        <w:t xml:space="preserve">ross </w:t>
      </w:r>
      <w:r w:rsidRPr="00D80FA8">
        <w:t>S</w:t>
      </w:r>
      <w:r w:rsidR="00F521B4">
        <w:t xml:space="preserve">tate </w:t>
      </w:r>
      <w:r w:rsidRPr="00D80FA8">
        <w:t>P</w:t>
      </w:r>
      <w:r w:rsidR="00F521B4">
        <w:t>roduct</w:t>
      </w:r>
      <w:r w:rsidRPr="00D80FA8">
        <w:t xml:space="preserve"> and GFS Net Debt as a percentage of Revenue provide an indicator of the State’s ability to make future payments on its debt. Table 7.3 shows the 2023</w:t>
      </w:r>
      <w:r w:rsidRPr="00D80FA8">
        <w:noBreakHyphen/>
        <w:t>24 Budget and Forward</w:t>
      </w:r>
      <w:r w:rsidR="00C1342A">
        <w:t> </w:t>
      </w:r>
      <w:r w:rsidRPr="00D80FA8">
        <w:t>Estimates for GFS Net Debt as a percentage of estimated Revenue and estimated GSP for the period 30 June 2023 to 30 June 2027.</w:t>
      </w:r>
    </w:p>
    <w:p w14:paraId="702D15AB" w14:textId="77777777" w:rsidR="00D80FA8" w:rsidRPr="00D80FA8" w:rsidRDefault="00D80FA8" w:rsidP="00D80FA8">
      <w:pPr>
        <w:pStyle w:val="Heading6"/>
      </w:pPr>
      <w:r w:rsidRPr="00D80FA8">
        <w:t>Table 7.3:</w:t>
      </w:r>
      <w:r w:rsidRPr="00D80FA8">
        <w:tab/>
        <w:t>GFS Net Debt as a percentage of GSP/Revenue</w:t>
      </w:r>
    </w:p>
    <w:tbl>
      <w:tblPr>
        <w:tblW w:w="9567" w:type="dxa"/>
        <w:tblCellMar>
          <w:left w:w="28" w:type="dxa"/>
          <w:right w:w="28" w:type="dxa"/>
        </w:tblCellMar>
        <w:tblLook w:val="04A0" w:firstRow="1" w:lastRow="0" w:firstColumn="1" w:lastColumn="0" w:noHBand="0" w:noVBand="1"/>
      </w:tblPr>
      <w:tblGrid>
        <w:gridCol w:w="3855"/>
        <w:gridCol w:w="952"/>
        <w:gridCol w:w="952"/>
        <w:gridCol w:w="952"/>
        <w:gridCol w:w="952"/>
        <w:gridCol w:w="952"/>
        <w:gridCol w:w="952"/>
      </w:tblGrid>
      <w:tr w:rsidR="00D80FA8" w14:paraId="0A43748C" w14:textId="77777777" w:rsidTr="001B5757">
        <w:tc>
          <w:tcPr>
            <w:tcW w:w="3855" w:type="dxa"/>
            <w:tcBorders>
              <w:top w:val="single" w:sz="6" w:space="0" w:color="auto"/>
              <w:left w:val="nil"/>
              <w:bottom w:val="nil"/>
              <w:right w:val="nil"/>
            </w:tcBorders>
            <w:vAlign w:val="center"/>
            <w:hideMark/>
          </w:tcPr>
          <w:p w14:paraId="0CA53291" w14:textId="77777777" w:rsidR="00D80FA8" w:rsidRPr="00D80FA8" w:rsidRDefault="00D80FA8">
            <w:pPr>
              <w:pStyle w:val="TableLeft"/>
            </w:pPr>
            <w:r w:rsidRPr="00D80FA8">
              <w:t> </w:t>
            </w:r>
          </w:p>
        </w:tc>
        <w:tc>
          <w:tcPr>
            <w:tcW w:w="952" w:type="dxa"/>
            <w:tcBorders>
              <w:top w:val="single" w:sz="6" w:space="0" w:color="auto"/>
              <w:left w:val="nil"/>
              <w:bottom w:val="nil"/>
              <w:right w:val="nil"/>
            </w:tcBorders>
            <w:hideMark/>
          </w:tcPr>
          <w:p w14:paraId="38919874" w14:textId="77777777" w:rsidR="00D80FA8" w:rsidRPr="00D80FA8" w:rsidRDefault="00D80FA8">
            <w:pPr>
              <w:pStyle w:val="TableRightHeading"/>
            </w:pPr>
            <w:r w:rsidRPr="00D80FA8">
              <w:t>2023</w:t>
            </w:r>
          </w:p>
        </w:tc>
        <w:tc>
          <w:tcPr>
            <w:tcW w:w="952" w:type="dxa"/>
            <w:tcBorders>
              <w:top w:val="single" w:sz="6" w:space="0" w:color="auto"/>
              <w:left w:val="nil"/>
              <w:bottom w:val="nil"/>
              <w:right w:val="nil"/>
            </w:tcBorders>
            <w:hideMark/>
          </w:tcPr>
          <w:p w14:paraId="44926153" w14:textId="77777777" w:rsidR="00D80FA8" w:rsidRPr="00D80FA8" w:rsidRDefault="00D80FA8">
            <w:pPr>
              <w:pStyle w:val="TableRightHeading"/>
            </w:pPr>
            <w:r w:rsidRPr="00D80FA8">
              <w:t>2023</w:t>
            </w:r>
          </w:p>
        </w:tc>
        <w:tc>
          <w:tcPr>
            <w:tcW w:w="952" w:type="dxa"/>
            <w:tcBorders>
              <w:top w:val="single" w:sz="6" w:space="0" w:color="auto"/>
              <w:left w:val="nil"/>
              <w:bottom w:val="nil"/>
              <w:right w:val="nil"/>
            </w:tcBorders>
            <w:vAlign w:val="center"/>
            <w:hideMark/>
          </w:tcPr>
          <w:p w14:paraId="3EAC760F" w14:textId="77777777" w:rsidR="00D80FA8" w:rsidRPr="00D80FA8" w:rsidRDefault="00D80FA8">
            <w:pPr>
              <w:pStyle w:val="TableRightHeading"/>
            </w:pPr>
            <w:r w:rsidRPr="00D80FA8">
              <w:t>2024</w:t>
            </w:r>
          </w:p>
        </w:tc>
        <w:tc>
          <w:tcPr>
            <w:tcW w:w="952" w:type="dxa"/>
            <w:tcBorders>
              <w:top w:val="single" w:sz="6" w:space="0" w:color="auto"/>
              <w:left w:val="nil"/>
              <w:bottom w:val="nil"/>
              <w:right w:val="nil"/>
            </w:tcBorders>
            <w:vAlign w:val="center"/>
            <w:hideMark/>
          </w:tcPr>
          <w:p w14:paraId="7939ED2B" w14:textId="77777777" w:rsidR="00D80FA8" w:rsidRPr="00D80FA8" w:rsidRDefault="00D80FA8">
            <w:pPr>
              <w:pStyle w:val="TableRightHeading"/>
            </w:pPr>
            <w:r w:rsidRPr="00D80FA8">
              <w:t>2025</w:t>
            </w:r>
          </w:p>
        </w:tc>
        <w:tc>
          <w:tcPr>
            <w:tcW w:w="952" w:type="dxa"/>
            <w:tcBorders>
              <w:top w:val="single" w:sz="6" w:space="0" w:color="auto"/>
              <w:left w:val="nil"/>
              <w:bottom w:val="nil"/>
              <w:right w:val="nil"/>
            </w:tcBorders>
            <w:vAlign w:val="center"/>
            <w:hideMark/>
          </w:tcPr>
          <w:p w14:paraId="3E4C9504" w14:textId="77777777" w:rsidR="00D80FA8" w:rsidRPr="00D80FA8" w:rsidRDefault="00D80FA8">
            <w:pPr>
              <w:pStyle w:val="TableRightHeading"/>
            </w:pPr>
            <w:r w:rsidRPr="00D80FA8">
              <w:t>2026</w:t>
            </w:r>
          </w:p>
        </w:tc>
        <w:tc>
          <w:tcPr>
            <w:tcW w:w="952" w:type="dxa"/>
            <w:tcBorders>
              <w:top w:val="single" w:sz="6" w:space="0" w:color="auto"/>
              <w:left w:val="nil"/>
              <w:bottom w:val="nil"/>
              <w:right w:val="nil"/>
            </w:tcBorders>
            <w:vAlign w:val="center"/>
            <w:hideMark/>
          </w:tcPr>
          <w:p w14:paraId="1AFD80D0" w14:textId="77777777" w:rsidR="00D80FA8" w:rsidRPr="00D80FA8" w:rsidRDefault="00D80FA8">
            <w:pPr>
              <w:pStyle w:val="TableRightHeading"/>
            </w:pPr>
            <w:r w:rsidRPr="00D80FA8">
              <w:t>2027</w:t>
            </w:r>
          </w:p>
        </w:tc>
      </w:tr>
      <w:tr w:rsidR="00D80FA8" w14:paraId="4B3999B1" w14:textId="77777777" w:rsidTr="001B5757">
        <w:tc>
          <w:tcPr>
            <w:tcW w:w="3855" w:type="dxa"/>
            <w:vAlign w:val="center"/>
            <w:hideMark/>
          </w:tcPr>
          <w:p w14:paraId="58DACF30" w14:textId="77777777" w:rsidR="00D80FA8" w:rsidRPr="00D80FA8" w:rsidRDefault="00D80FA8" w:rsidP="00C044AD">
            <w:pPr>
              <w:pStyle w:val="TableRightHeading"/>
            </w:pPr>
          </w:p>
        </w:tc>
        <w:tc>
          <w:tcPr>
            <w:tcW w:w="952" w:type="dxa"/>
            <w:vAlign w:val="center"/>
            <w:hideMark/>
          </w:tcPr>
          <w:p w14:paraId="5D4B4458" w14:textId="77777777" w:rsidR="00D80FA8" w:rsidRPr="00D80FA8" w:rsidRDefault="00D80FA8" w:rsidP="00C044AD">
            <w:pPr>
              <w:pStyle w:val="TableRightHeading"/>
            </w:pPr>
          </w:p>
        </w:tc>
        <w:tc>
          <w:tcPr>
            <w:tcW w:w="952" w:type="dxa"/>
            <w:vAlign w:val="center"/>
            <w:hideMark/>
          </w:tcPr>
          <w:p w14:paraId="2B89D0FE" w14:textId="77777777" w:rsidR="00D80FA8" w:rsidRPr="00D80FA8" w:rsidRDefault="00D80FA8" w:rsidP="00C044AD">
            <w:pPr>
              <w:pStyle w:val="TableRightHeading"/>
            </w:pPr>
            <w:r w:rsidRPr="00D80FA8">
              <w:t>Estimated</w:t>
            </w:r>
          </w:p>
        </w:tc>
        <w:tc>
          <w:tcPr>
            <w:tcW w:w="952" w:type="dxa"/>
            <w:vAlign w:val="center"/>
            <w:hideMark/>
          </w:tcPr>
          <w:p w14:paraId="61235EC3" w14:textId="77777777" w:rsidR="00D80FA8" w:rsidRPr="00D80FA8" w:rsidRDefault="00D80FA8" w:rsidP="00C044AD">
            <w:pPr>
              <w:pStyle w:val="TableRightHeading"/>
            </w:pPr>
          </w:p>
        </w:tc>
        <w:tc>
          <w:tcPr>
            <w:tcW w:w="952" w:type="dxa"/>
            <w:vAlign w:val="center"/>
            <w:hideMark/>
          </w:tcPr>
          <w:p w14:paraId="24F74B6A" w14:textId="77777777" w:rsidR="00D80FA8" w:rsidRPr="00D80FA8" w:rsidRDefault="00D80FA8" w:rsidP="00C044AD">
            <w:pPr>
              <w:pStyle w:val="TableRightHeading"/>
            </w:pPr>
            <w:r w:rsidRPr="00D80FA8">
              <w:t xml:space="preserve">Forward </w:t>
            </w:r>
          </w:p>
        </w:tc>
        <w:tc>
          <w:tcPr>
            <w:tcW w:w="952" w:type="dxa"/>
            <w:vAlign w:val="center"/>
            <w:hideMark/>
          </w:tcPr>
          <w:p w14:paraId="3E14DC8D" w14:textId="77777777" w:rsidR="00D80FA8" w:rsidRPr="00D80FA8" w:rsidRDefault="00D80FA8" w:rsidP="00C044AD">
            <w:pPr>
              <w:pStyle w:val="TableRightHeading"/>
            </w:pPr>
            <w:r w:rsidRPr="00D80FA8">
              <w:t xml:space="preserve">Forward </w:t>
            </w:r>
          </w:p>
        </w:tc>
        <w:tc>
          <w:tcPr>
            <w:tcW w:w="952" w:type="dxa"/>
            <w:vAlign w:val="center"/>
            <w:hideMark/>
          </w:tcPr>
          <w:p w14:paraId="415DEC28" w14:textId="77777777" w:rsidR="00D80FA8" w:rsidRPr="00D80FA8" w:rsidRDefault="00D80FA8" w:rsidP="00C044AD">
            <w:pPr>
              <w:pStyle w:val="TableRightHeading"/>
            </w:pPr>
            <w:r w:rsidRPr="00D80FA8">
              <w:t xml:space="preserve">Forward </w:t>
            </w:r>
          </w:p>
        </w:tc>
      </w:tr>
      <w:tr w:rsidR="00D80FA8" w14:paraId="30D49839" w14:textId="77777777" w:rsidTr="001B5757">
        <w:tc>
          <w:tcPr>
            <w:tcW w:w="3855" w:type="dxa"/>
            <w:tcBorders>
              <w:top w:val="nil"/>
              <w:left w:val="nil"/>
              <w:bottom w:val="single" w:sz="6" w:space="0" w:color="auto"/>
              <w:right w:val="nil"/>
            </w:tcBorders>
            <w:vAlign w:val="center"/>
            <w:hideMark/>
          </w:tcPr>
          <w:p w14:paraId="7BC9E900" w14:textId="77777777" w:rsidR="00D80FA8" w:rsidRPr="00D80FA8" w:rsidRDefault="00D80FA8">
            <w:pPr>
              <w:pStyle w:val="TableLeft"/>
            </w:pPr>
            <w:r w:rsidRPr="00D80FA8">
              <w:t> </w:t>
            </w:r>
          </w:p>
        </w:tc>
        <w:tc>
          <w:tcPr>
            <w:tcW w:w="952" w:type="dxa"/>
            <w:tcBorders>
              <w:top w:val="nil"/>
              <w:left w:val="nil"/>
              <w:bottom w:val="single" w:sz="6" w:space="0" w:color="auto"/>
              <w:right w:val="nil"/>
            </w:tcBorders>
            <w:vAlign w:val="center"/>
            <w:hideMark/>
          </w:tcPr>
          <w:p w14:paraId="0BFC8CB4" w14:textId="77777777" w:rsidR="00D80FA8" w:rsidRPr="00D80FA8" w:rsidRDefault="00D80FA8">
            <w:pPr>
              <w:pStyle w:val="TableRightHeading"/>
            </w:pPr>
            <w:r w:rsidRPr="00D80FA8">
              <w:t xml:space="preserve">Budget </w:t>
            </w:r>
          </w:p>
        </w:tc>
        <w:tc>
          <w:tcPr>
            <w:tcW w:w="952" w:type="dxa"/>
            <w:tcBorders>
              <w:top w:val="nil"/>
              <w:left w:val="nil"/>
              <w:bottom w:val="single" w:sz="6" w:space="0" w:color="auto"/>
              <w:right w:val="nil"/>
            </w:tcBorders>
            <w:vAlign w:val="center"/>
            <w:hideMark/>
          </w:tcPr>
          <w:p w14:paraId="72AE97D9" w14:textId="77777777" w:rsidR="00D80FA8" w:rsidRPr="00D80FA8" w:rsidRDefault="00D80FA8">
            <w:pPr>
              <w:pStyle w:val="TableRightHeading"/>
            </w:pPr>
            <w:r w:rsidRPr="00D80FA8">
              <w:t>Outcome</w:t>
            </w:r>
          </w:p>
        </w:tc>
        <w:tc>
          <w:tcPr>
            <w:tcW w:w="952" w:type="dxa"/>
            <w:tcBorders>
              <w:top w:val="nil"/>
              <w:left w:val="nil"/>
              <w:bottom w:val="single" w:sz="6" w:space="0" w:color="auto"/>
              <w:right w:val="nil"/>
            </w:tcBorders>
            <w:vAlign w:val="center"/>
            <w:hideMark/>
          </w:tcPr>
          <w:p w14:paraId="2F046475" w14:textId="77777777" w:rsidR="00D80FA8" w:rsidRPr="00D80FA8" w:rsidRDefault="00D80FA8">
            <w:pPr>
              <w:pStyle w:val="TableRightHeading"/>
            </w:pPr>
            <w:r w:rsidRPr="00D80FA8">
              <w:t xml:space="preserve">Budget </w:t>
            </w:r>
          </w:p>
        </w:tc>
        <w:tc>
          <w:tcPr>
            <w:tcW w:w="952" w:type="dxa"/>
            <w:tcBorders>
              <w:top w:val="nil"/>
              <w:left w:val="nil"/>
              <w:bottom w:val="single" w:sz="6" w:space="0" w:color="auto"/>
              <w:right w:val="nil"/>
            </w:tcBorders>
            <w:vAlign w:val="center"/>
            <w:hideMark/>
          </w:tcPr>
          <w:p w14:paraId="568EA376" w14:textId="77777777" w:rsidR="00D80FA8" w:rsidRPr="00D80FA8" w:rsidRDefault="00D80FA8">
            <w:pPr>
              <w:pStyle w:val="TableRightHeading"/>
            </w:pPr>
            <w:r w:rsidRPr="00D80FA8">
              <w:t xml:space="preserve">Estimate </w:t>
            </w:r>
          </w:p>
        </w:tc>
        <w:tc>
          <w:tcPr>
            <w:tcW w:w="952" w:type="dxa"/>
            <w:tcBorders>
              <w:top w:val="nil"/>
              <w:left w:val="nil"/>
              <w:bottom w:val="single" w:sz="6" w:space="0" w:color="auto"/>
              <w:right w:val="nil"/>
            </w:tcBorders>
            <w:vAlign w:val="center"/>
            <w:hideMark/>
          </w:tcPr>
          <w:p w14:paraId="3921C03B" w14:textId="77777777" w:rsidR="00D80FA8" w:rsidRPr="00D80FA8" w:rsidRDefault="00D80FA8">
            <w:pPr>
              <w:pStyle w:val="TableRightHeading"/>
            </w:pPr>
            <w:r w:rsidRPr="00D80FA8">
              <w:t xml:space="preserve">Estimate </w:t>
            </w:r>
          </w:p>
        </w:tc>
        <w:tc>
          <w:tcPr>
            <w:tcW w:w="952" w:type="dxa"/>
            <w:tcBorders>
              <w:top w:val="nil"/>
              <w:left w:val="nil"/>
              <w:bottom w:val="single" w:sz="6" w:space="0" w:color="auto"/>
              <w:right w:val="nil"/>
            </w:tcBorders>
            <w:vAlign w:val="center"/>
            <w:hideMark/>
          </w:tcPr>
          <w:p w14:paraId="5ED87385" w14:textId="77777777" w:rsidR="00D80FA8" w:rsidRPr="00D80FA8" w:rsidRDefault="00D80FA8">
            <w:pPr>
              <w:pStyle w:val="TableRightHeading"/>
            </w:pPr>
            <w:r w:rsidRPr="00D80FA8">
              <w:t xml:space="preserve">Estimate </w:t>
            </w:r>
          </w:p>
        </w:tc>
      </w:tr>
      <w:tr w:rsidR="00D80FA8" w14:paraId="1D532A1F" w14:textId="77777777" w:rsidTr="001B5757">
        <w:tc>
          <w:tcPr>
            <w:tcW w:w="3855" w:type="dxa"/>
            <w:vAlign w:val="center"/>
          </w:tcPr>
          <w:p w14:paraId="66E0938D" w14:textId="77777777" w:rsidR="00D80FA8" w:rsidRPr="00D80FA8" w:rsidRDefault="00D80FA8">
            <w:pPr>
              <w:pStyle w:val="TableLeftHeading"/>
            </w:pPr>
          </w:p>
        </w:tc>
        <w:tc>
          <w:tcPr>
            <w:tcW w:w="952" w:type="dxa"/>
            <w:vAlign w:val="center"/>
          </w:tcPr>
          <w:p w14:paraId="5089880D" w14:textId="77777777" w:rsidR="00D80FA8" w:rsidRPr="00D80FA8" w:rsidRDefault="00D80FA8">
            <w:pPr>
              <w:pStyle w:val="TableRight"/>
            </w:pPr>
          </w:p>
        </w:tc>
        <w:tc>
          <w:tcPr>
            <w:tcW w:w="952" w:type="dxa"/>
            <w:vAlign w:val="center"/>
          </w:tcPr>
          <w:p w14:paraId="47352FEA" w14:textId="77777777" w:rsidR="00D80FA8" w:rsidRPr="00D80FA8" w:rsidRDefault="00D80FA8">
            <w:pPr>
              <w:pStyle w:val="TableRight"/>
            </w:pPr>
          </w:p>
        </w:tc>
        <w:tc>
          <w:tcPr>
            <w:tcW w:w="952" w:type="dxa"/>
            <w:vAlign w:val="center"/>
          </w:tcPr>
          <w:p w14:paraId="5E7C1200" w14:textId="77777777" w:rsidR="00D80FA8" w:rsidRPr="00D80FA8" w:rsidRDefault="00D80FA8">
            <w:pPr>
              <w:pStyle w:val="TableRight"/>
            </w:pPr>
          </w:p>
        </w:tc>
        <w:tc>
          <w:tcPr>
            <w:tcW w:w="952" w:type="dxa"/>
            <w:vAlign w:val="center"/>
          </w:tcPr>
          <w:p w14:paraId="58CB7CB7" w14:textId="77777777" w:rsidR="00D80FA8" w:rsidRPr="00D80FA8" w:rsidRDefault="00D80FA8">
            <w:pPr>
              <w:pStyle w:val="TableRight"/>
            </w:pPr>
          </w:p>
        </w:tc>
        <w:tc>
          <w:tcPr>
            <w:tcW w:w="952" w:type="dxa"/>
            <w:vAlign w:val="center"/>
          </w:tcPr>
          <w:p w14:paraId="117C55D8" w14:textId="77777777" w:rsidR="00D80FA8" w:rsidRPr="00D80FA8" w:rsidRDefault="00D80FA8">
            <w:pPr>
              <w:pStyle w:val="TableRight"/>
            </w:pPr>
          </w:p>
        </w:tc>
        <w:tc>
          <w:tcPr>
            <w:tcW w:w="952" w:type="dxa"/>
            <w:vAlign w:val="center"/>
          </w:tcPr>
          <w:p w14:paraId="69F5FF61" w14:textId="77777777" w:rsidR="00D80FA8" w:rsidRPr="00D80FA8" w:rsidRDefault="00D80FA8">
            <w:pPr>
              <w:pStyle w:val="TableRight"/>
            </w:pPr>
          </w:p>
        </w:tc>
      </w:tr>
      <w:tr w:rsidR="00D80FA8" w14:paraId="3BE23BC2" w14:textId="77777777" w:rsidTr="001B5757">
        <w:tc>
          <w:tcPr>
            <w:tcW w:w="3855" w:type="dxa"/>
            <w:vAlign w:val="bottom"/>
            <w:hideMark/>
          </w:tcPr>
          <w:p w14:paraId="1A83A0BC" w14:textId="77777777" w:rsidR="00D80FA8" w:rsidRPr="00D80FA8" w:rsidRDefault="00D80FA8">
            <w:pPr>
              <w:pStyle w:val="TableLeft"/>
            </w:pPr>
            <w:r w:rsidRPr="00D80FA8">
              <w:t>GFS Net Debt ($m)</w:t>
            </w:r>
          </w:p>
        </w:tc>
        <w:tc>
          <w:tcPr>
            <w:tcW w:w="952" w:type="dxa"/>
            <w:vAlign w:val="bottom"/>
            <w:hideMark/>
          </w:tcPr>
          <w:p w14:paraId="46BA0BFC" w14:textId="77777777" w:rsidR="00D80FA8" w:rsidRPr="00D80FA8" w:rsidRDefault="00D80FA8">
            <w:pPr>
              <w:pStyle w:val="TableRight"/>
            </w:pPr>
            <w:r w:rsidRPr="00D80FA8">
              <w:t xml:space="preserve"> 2 633.8</w:t>
            </w:r>
          </w:p>
        </w:tc>
        <w:tc>
          <w:tcPr>
            <w:tcW w:w="952" w:type="dxa"/>
            <w:vAlign w:val="bottom"/>
            <w:hideMark/>
          </w:tcPr>
          <w:p w14:paraId="6A6AAB85" w14:textId="77777777" w:rsidR="00D80FA8" w:rsidRPr="00D80FA8" w:rsidRDefault="00D80FA8">
            <w:pPr>
              <w:pStyle w:val="TableRight"/>
            </w:pPr>
            <w:r w:rsidRPr="00D80FA8">
              <w:t>1 500.9</w:t>
            </w:r>
          </w:p>
        </w:tc>
        <w:tc>
          <w:tcPr>
            <w:tcW w:w="952" w:type="dxa"/>
            <w:vAlign w:val="bottom"/>
            <w:hideMark/>
          </w:tcPr>
          <w:p w14:paraId="1942F984" w14:textId="32E33ADF" w:rsidR="00D80FA8" w:rsidRPr="00D80FA8" w:rsidRDefault="00D80FA8">
            <w:pPr>
              <w:pStyle w:val="TableRight"/>
            </w:pPr>
            <w:r w:rsidRPr="00D80FA8">
              <w:t>2</w:t>
            </w:r>
            <w:r w:rsidR="002D6DD2">
              <w:t> </w:t>
            </w:r>
            <w:r w:rsidRPr="00D80FA8">
              <w:t>732.0</w:t>
            </w:r>
          </w:p>
        </w:tc>
        <w:tc>
          <w:tcPr>
            <w:tcW w:w="952" w:type="dxa"/>
            <w:vAlign w:val="bottom"/>
            <w:hideMark/>
          </w:tcPr>
          <w:p w14:paraId="396AFB85" w14:textId="77777777" w:rsidR="00D80FA8" w:rsidRPr="00D80FA8" w:rsidRDefault="00D80FA8">
            <w:pPr>
              <w:pStyle w:val="TableRight"/>
            </w:pPr>
            <w:r w:rsidRPr="00D80FA8">
              <w:t>3 864.7</w:t>
            </w:r>
          </w:p>
        </w:tc>
        <w:tc>
          <w:tcPr>
            <w:tcW w:w="952" w:type="dxa"/>
            <w:vAlign w:val="bottom"/>
            <w:hideMark/>
          </w:tcPr>
          <w:p w14:paraId="583FEA7E" w14:textId="77777777" w:rsidR="00D80FA8" w:rsidRPr="00D80FA8" w:rsidRDefault="00D80FA8">
            <w:pPr>
              <w:pStyle w:val="TableRight"/>
            </w:pPr>
            <w:r w:rsidRPr="00D80FA8">
              <w:t>4 444.7</w:t>
            </w:r>
          </w:p>
        </w:tc>
        <w:tc>
          <w:tcPr>
            <w:tcW w:w="952" w:type="dxa"/>
            <w:vAlign w:val="bottom"/>
            <w:hideMark/>
          </w:tcPr>
          <w:p w14:paraId="2713C110" w14:textId="77777777" w:rsidR="00D80FA8" w:rsidRPr="00D80FA8" w:rsidRDefault="00D80FA8">
            <w:pPr>
              <w:pStyle w:val="TableRight"/>
            </w:pPr>
            <w:r w:rsidRPr="00D80FA8">
              <w:t>4 942.4</w:t>
            </w:r>
          </w:p>
        </w:tc>
      </w:tr>
      <w:tr w:rsidR="00D80FA8" w14:paraId="4E216604" w14:textId="77777777" w:rsidTr="001B5757">
        <w:tc>
          <w:tcPr>
            <w:tcW w:w="3855" w:type="dxa"/>
            <w:vAlign w:val="bottom"/>
            <w:hideMark/>
          </w:tcPr>
          <w:p w14:paraId="711B5D1C" w14:textId="77777777" w:rsidR="00D80FA8" w:rsidRPr="00D80FA8" w:rsidRDefault="00D80FA8">
            <w:pPr>
              <w:pStyle w:val="TableLeft"/>
            </w:pPr>
            <w:r w:rsidRPr="00D80FA8">
              <w:t xml:space="preserve">GFS Net Debt as % of Revenue </w:t>
            </w:r>
          </w:p>
        </w:tc>
        <w:tc>
          <w:tcPr>
            <w:tcW w:w="952" w:type="dxa"/>
            <w:vAlign w:val="bottom"/>
            <w:hideMark/>
          </w:tcPr>
          <w:p w14:paraId="41D000FE" w14:textId="77777777" w:rsidR="00D80FA8" w:rsidRPr="00D80FA8" w:rsidRDefault="00D80FA8">
            <w:pPr>
              <w:pStyle w:val="TableRight"/>
            </w:pPr>
            <w:r w:rsidRPr="00D80FA8">
              <w:t xml:space="preserve"> 33.6</w:t>
            </w:r>
          </w:p>
        </w:tc>
        <w:tc>
          <w:tcPr>
            <w:tcW w:w="952" w:type="dxa"/>
            <w:vAlign w:val="bottom"/>
            <w:hideMark/>
          </w:tcPr>
          <w:p w14:paraId="63C2F9FF" w14:textId="77777777" w:rsidR="00D80FA8" w:rsidRPr="00D80FA8" w:rsidRDefault="00D80FA8">
            <w:pPr>
              <w:pStyle w:val="TableRight"/>
            </w:pPr>
            <w:r w:rsidRPr="00D80FA8">
              <w:t xml:space="preserve"> 17.6</w:t>
            </w:r>
          </w:p>
        </w:tc>
        <w:tc>
          <w:tcPr>
            <w:tcW w:w="952" w:type="dxa"/>
            <w:vAlign w:val="bottom"/>
            <w:hideMark/>
          </w:tcPr>
          <w:p w14:paraId="49FD90CA" w14:textId="77777777" w:rsidR="00D80FA8" w:rsidRPr="00D80FA8" w:rsidRDefault="00D80FA8">
            <w:pPr>
              <w:pStyle w:val="TableRight"/>
            </w:pPr>
            <w:r w:rsidRPr="00D80FA8">
              <w:t xml:space="preserve"> 32.4</w:t>
            </w:r>
          </w:p>
        </w:tc>
        <w:tc>
          <w:tcPr>
            <w:tcW w:w="952" w:type="dxa"/>
            <w:vAlign w:val="bottom"/>
            <w:hideMark/>
          </w:tcPr>
          <w:p w14:paraId="1FA87777" w14:textId="77777777" w:rsidR="00D80FA8" w:rsidRPr="00D80FA8" w:rsidRDefault="00D80FA8">
            <w:pPr>
              <w:pStyle w:val="TableRight"/>
            </w:pPr>
            <w:r w:rsidRPr="00D80FA8">
              <w:t>44.9</w:t>
            </w:r>
          </w:p>
        </w:tc>
        <w:tc>
          <w:tcPr>
            <w:tcW w:w="952" w:type="dxa"/>
            <w:vAlign w:val="bottom"/>
            <w:hideMark/>
          </w:tcPr>
          <w:p w14:paraId="1CFBE128" w14:textId="77777777" w:rsidR="00D80FA8" w:rsidRPr="00D80FA8" w:rsidRDefault="00D80FA8">
            <w:pPr>
              <w:pStyle w:val="TableRight"/>
            </w:pPr>
            <w:r w:rsidRPr="00D80FA8">
              <w:t>51.4</w:t>
            </w:r>
          </w:p>
        </w:tc>
        <w:tc>
          <w:tcPr>
            <w:tcW w:w="952" w:type="dxa"/>
            <w:vAlign w:val="bottom"/>
            <w:hideMark/>
          </w:tcPr>
          <w:p w14:paraId="05F9759B" w14:textId="77777777" w:rsidR="00D80FA8" w:rsidRPr="00D80FA8" w:rsidRDefault="00D80FA8">
            <w:pPr>
              <w:pStyle w:val="TableRight"/>
            </w:pPr>
            <w:r w:rsidRPr="00D80FA8">
              <w:t>56.3</w:t>
            </w:r>
          </w:p>
        </w:tc>
      </w:tr>
      <w:tr w:rsidR="00D80FA8" w14:paraId="6D404C53" w14:textId="77777777" w:rsidTr="001B5757">
        <w:tc>
          <w:tcPr>
            <w:tcW w:w="3855" w:type="dxa"/>
            <w:vAlign w:val="bottom"/>
            <w:hideMark/>
          </w:tcPr>
          <w:p w14:paraId="725395D2" w14:textId="77777777" w:rsidR="00D80FA8" w:rsidRPr="00D80FA8" w:rsidRDefault="00D80FA8">
            <w:pPr>
              <w:pStyle w:val="TableLeft"/>
            </w:pPr>
            <w:r w:rsidRPr="00D80FA8">
              <w:t>GFS Net Debt as % of GSP</w:t>
            </w:r>
          </w:p>
        </w:tc>
        <w:tc>
          <w:tcPr>
            <w:tcW w:w="952" w:type="dxa"/>
            <w:vAlign w:val="bottom"/>
            <w:hideMark/>
          </w:tcPr>
          <w:p w14:paraId="0BA7887C" w14:textId="77777777" w:rsidR="00D80FA8" w:rsidRPr="00D80FA8" w:rsidRDefault="00D80FA8">
            <w:pPr>
              <w:pStyle w:val="TableRight"/>
            </w:pPr>
            <w:r w:rsidRPr="00D80FA8">
              <w:t xml:space="preserve"> 6.4</w:t>
            </w:r>
          </w:p>
        </w:tc>
        <w:tc>
          <w:tcPr>
            <w:tcW w:w="952" w:type="dxa"/>
            <w:vAlign w:val="bottom"/>
            <w:hideMark/>
          </w:tcPr>
          <w:p w14:paraId="352BC5CE" w14:textId="77777777" w:rsidR="00D80FA8" w:rsidRPr="00D80FA8" w:rsidRDefault="00D80FA8">
            <w:pPr>
              <w:pStyle w:val="TableRight"/>
            </w:pPr>
            <w:r w:rsidRPr="00D80FA8">
              <w:t>3.6</w:t>
            </w:r>
          </w:p>
        </w:tc>
        <w:tc>
          <w:tcPr>
            <w:tcW w:w="952" w:type="dxa"/>
            <w:vAlign w:val="bottom"/>
            <w:hideMark/>
          </w:tcPr>
          <w:p w14:paraId="6B50319F" w14:textId="77777777" w:rsidR="00D80FA8" w:rsidRPr="00D80FA8" w:rsidRDefault="00D80FA8">
            <w:pPr>
              <w:pStyle w:val="TableRight"/>
            </w:pPr>
            <w:r w:rsidRPr="00D80FA8">
              <w:t>6.1</w:t>
            </w:r>
          </w:p>
        </w:tc>
        <w:tc>
          <w:tcPr>
            <w:tcW w:w="952" w:type="dxa"/>
            <w:vAlign w:val="bottom"/>
            <w:hideMark/>
          </w:tcPr>
          <w:p w14:paraId="7E8C8D08" w14:textId="77777777" w:rsidR="00D80FA8" w:rsidRPr="00D80FA8" w:rsidRDefault="00D80FA8">
            <w:pPr>
              <w:pStyle w:val="TableRight"/>
            </w:pPr>
            <w:r w:rsidRPr="00D80FA8">
              <w:t>8.2</w:t>
            </w:r>
          </w:p>
        </w:tc>
        <w:tc>
          <w:tcPr>
            <w:tcW w:w="952" w:type="dxa"/>
            <w:vAlign w:val="bottom"/>
            <w:hideMark/>
          </w:tcPr>
          <w:p w14:paraId="710B57E0" w14:textId="77777777" w:rsidR="00D80FA8" w:rsidRPr="00D80FA8" w:rsidRDefault="00D80FA8">
            <w:pPr>
              <w:pStyle w:val="TableRight"/>
            </w:pPr>
            <w:r w:rsidRPr="00D80FA8">
              <w:t>8.9</w:t>
            </w:r>
          </w:p>
        </w:tc>
        <w:tc>
          <w:tcPr>
            <w:tcW w:w="952" w:type="dxa"/>
            <w:vAlign w:val="bottom"/>
            <w:hideMark/>
          </w:tcPr>
          <w:p w14:paraId="5B3722D6" w14:textId="77777777" w:rsidR="00D80FA8" w:rsidRPr="00D80FA8" w:rsidRDefault="00D80FA8">
            <w:pPr>
              <w:pStyle w:val="TableRight"/>
            </w:pPr>
            <w:r w:rsidRPr="00D80FA8">
              <w:t>9.5</w:t>
            </w:r>
          </w:p>
        </w:tc>
      </w:tr>
      <w:tr w:rsidR="00D80FA8" w14:paraId="2AA208F0" w14:textId="77777777" w:rsidTr="001B5757">
        <w:tc>
          <w:tcPr>
            <w:tcW w:w="3855" w:type="dxa"/>
            <w:tcBorders>
              <w:top w:val="nil"/>
              <w:left w:val="nil"/>
              <w:bottom w:val="single" w:sz="4" w:space="0" w:color="auto"/>
              <w:right w:val="nil"/>
            </w:tcBorders>
            <w:vAlign w:val="center"/>
          </w:tcPr>
          <w:p w14:paraId="56BCEB29" w14:textId="77777777" w:rsidR="00D80FA8" w:rsidRPr="00D80FA8" w:rsidRDefault="00D80FA8">
            <w:pPr>
              <w:pStyle w:val="TableLeft"/>
            </w:pPr>
          </w:p>
        </w:tc>
        <w:tc>
          <w:tcPr>
            <w:tcW w:w="952" w:type="dxa"/>
            <w:tcBorders>
              <w:top w:val="nil"/>
              <w:left w:val="nil"/>
              <w:bottom w:val="single" w:sz="4" w:space="0" w:color="auto"/>
              <w:right w:val="nil"/>
            </w:tcBorders>
            <w:vAlign w:val="center"/>
          </w:tcPr>
          <w:p w14:paraId="28966A06" w14:textId="77777777" w:rsidR="00D80FA8" w:rsidRPr="00D80FA8" w:rsidRDefault="00D80FA8">
            <w:pPr>
              <w:pStyle w:val="TableRight"/>
            </w:pPr>
          </w:p>
        </w:tc>
        <w:tc>
          <w:tcPr>
            <w:tcW w:w="952" w:type="dxa"/>
            <w:tcBorders>
              <w:top w:val="nil"/>
              <w:left w:val="nil"/>
              <w:bottom w:val="single" w:sz="4" w:space="0" w:color="auto"/>
              <w:right w:val="nil"/>
            </w:tcBorders>
            <w:vAlign w:val="center"/>
          </w:tcPr>
          <w:p w14:paraId="2D6E31C3" w14:textId="77777777" w:rsidR="00D80FA8" w:rsidRPr="00D80FA8" w:rsidRDefault="00D80FA8">
            <w:pPr>
              <w:pStyle w:val="TableRight"/>
            </w:pPr>
          </w:p>
        </w:tc>
        <w:tc>
          <w:tcPr>
            <w:tcW w:w="952" w:type="dxa"/>
            <w:tcBorders>
              <w:top w:val="nil"/>
              <w:left w:val="nil"/>
              <w:bottom w:val="single" w:sz="4" w:space="0" w:color="auto"/>
              <w:right w:val="nil"/>
            </w:tcBorders>
            <w:vAlign w:val="center"/>
          </w:tcPr>
          <w:p w14:paraId="7777C78D" w14:textId="77777777" w:rsidR="00D80FA8" w:rsidRPr="00D80FA8" w:rsidRDefault="00D80FA8">
            <w:pPr>
              <w:pStyle w:val="TableRight"/>
            </w:pPr>
          </w:p>
        </w:tc>
        <w:tc>
          <w:tcPr>
            <w:tcW w:w="952" w:type="dxa"/>
            <w:tcBorders>
              <w:top w:val="nil"/>
              <w:left w:val="nil"/>
              <w:bottom w:val="single" w:sz="4" w:space="0" w:color="auto"/>
              <w:right w:val="nil"/>
            </w:tcBorders>
            <w:vAlign w:val="center"/>
          </w:tcPr>
          <w:p w14:paraId="492F5187" w14:textId="77777777" w:rsidR="00D80FA8" w:rsidRPr="00D80FA8" w:rsidRDefault="00D80FA8">
            <w:pPr>
              <w:pStyle w:val="TableRight"/>
            </w:pPr>
          </w:p>
        </w:tc>
        <w:tc>
          <w:tcPr>
            <w:tcW w:w="952" w:type="dxa"/>
            <w:tcBorders>
              <w:top w:val="nil"/>
              <w:left w:val="nil"/>
              <w:bottom w:val="single" w:sz="4" w:space="0" w:color="auto"/>
              <w:right w:val="nil"/>
            </w:tcBorders>
            <w:vAlign w:val="center"/>
          </w:tcPr>
          <w:p w14:paraId="375771B3" w14:textId="77777777" w:rsidR="00D80FA8" w:rsidRPr="00D80FA8" w:rsidRDefault="00D80FA8">
            <w:pPr>
              <w:pStyle w:val="TableRight"/>
            </w:pPr>
          </w:p>
        </w:tc>
        <w:tc>
          <w:tcPr>
            <w:tcW w:w="952" w:type="dxa"/>
            <w:tcBorders>
              <w:top w:val="nil"/>
              <w:left w:val="nil"/>
              <w:bottom w:val="single" w:sz="4" w:space="0" w:color="auto"/>
              <w:right w:val="nil"/>
            </w:tcBorders>
            <w:vAlign w:val="center"/>
          </w:tcPr>
          <w:p w14:paraId="30B1A8B6" w14:textId="77777777" w:rsidR="00D80FA8" w:rsidRPr="00D80FA8" w:rsidRDefault="00D80FA8">
            <w:pPr>
              <w:pStyle w:val="TableRight"/>
            </w:pPr>
          </w:p>
        </w:tc>
      </w:tr>
    </w:tbl>
    <w:p w14:paraId="253DA938" w14:textId="77777777" w:rsidR="00D80FA8" w:rsidRPr="00D80FA8" w:rsidRDefault="00D80FA8" w:rsidP="00D80FA8">
      <w:pPr>
        <w:pStyle w:val="NotesHeading"/>
      </w:pPr>
    </w:p>
    <w:p w14:paraId="49918E81" w14:textId="6838D6F4" w:rsidR="00D80FA8" w:rsidRPr="00D80FA8" w:rsidRDefault="00D80FA8" w:rsidP="00D80FA8">
      <w:pPr>
        <w:pStyle w:val="Body"/>
      </w:pPr>
      <w:r w:rsidRPr="00D80FA8">
        <w:t xml:space="preserve">Chart 7.1 shows General Government </w:t>
      </w:r>
      <w:r w:rsidR="00B039E1">
        <w:t xml:space="preserve">Sector </w:t>
      </w:r>
      <w:r w:rsidRPr="00D80FA8">
        <w:t>GFS Net Debt as a percentage of GSP since 199</w:t>
      </w:r>
      <w:r w:rsidR="00C95BB0">
        <w:t>1</w:t>
      </w:r>
      <w:r w:rsidRPr="00D80FA8">
        <w:t>, together with Estimated</w:t>
      </w:r>
      <w:r w:rsidR="009C2D16">
        <w:t> </w:t>
      </w:r>
      <w:r w:rsidRPr="00D80FA8">
        <w:t>Outcome for 202</w:t>
      </w:r>
      <w:r w:rsidR="0021299B">
        <w:t>3</w:t>
      </w:r>
      <w:r w:rsidRPr="00D80FA8">
        <w:t xml:space="preserve"> and projections for the 202</w:t>
      </w:r>
      <w:r w:rsidR="0021299B">
        <w:t>3</w:t>
      </w:r>
      <w:r w:rsidRPr="00D80FA8">
        <w:noBreakHyphen/>
        <w:t>2</w:t>
      </w:r>
      <w:r w:rsidR="0021299B">
        <w:t>4</w:t>
      </w:r>
      <w:r w:rsidR="0065472F">
        <w:t> </w:t>
      </w:r>
      <w:r w:rsidRPr="00D80FA8">
        <w:t>Budget and Forward</w:t>
      </w:r>
      <w:r w:rsidR="0065472F">
        <w:t> </w:t>
      </w:r>
      <w:r w:rsidRPr="00D80FA8">
        <w:t>Estimates.</w:t>
      </w:r>
    </w:p>
    <w:p w14:paraId="7014B770" w14:textId="5A9688A1" w:rsidR="00D80FA8" w:rsidRPr="00D80FA8" w:rsidRDefault="00D80FA8" w:rsidP="00D80FA8">
      <w:pPr>
        <w:pStyle w:val="Heading6"/>
      </w:pPr>
      <w:r w:rsidRPr="00D80FA8">
        <w:t>Chart 7.1:</w:t>
      </w:r>
      <w:r w:rsidRPr="00D80FA8">
        <w:tab/>
        <w:t xml:space="preserve">General Government </w:t>
      </w:r>
      <w:r w:rsidR="00B039E1">
        <w:t xml:space="preserve">Sector </w:t>
      </w:r>
      <w:r w:rsidRPr="00D80FA8">
        <w:t>GFS Net Debt as a percentage of GSP</w:t>
      </w:r>
      <w:r w:rsidRPr="00D80FA8">
        <w:rPr>
          <w:rStyle w:val="Heading6Superscipt"/>
        </w:rPr>
        <w:t>1</w:t>
      </w:r>
    </w:p>
    <w:p w14:paraId="65CE35F3" w14:textId="5F702A67" w:rsidR="00D80FA8" w:rsidRPr="00D80FA8" w:rsidRDefault="00051136" w:rsidP="00D80FA8">
      <w:pPr>
        <w:pStyle w:val="Body"/>
      </w:pPr>
      <w:r>
        <w:rPr>
          <w:noProof/>
        </w:rPr>
        <w:drawing>
          <wp:inline distT="0" distB="0" distL="0" distR="0" wp14:anchorId="7E01554E" wp14:editId="6730A205">
            <wp:extent cx="6084570" cy="3096895"/>
            <wp:effectExtent l="0" t="0" r="0" b="8255"/>
            <wp:docPr id="12" name="Picture 12" descr="General Government Sector GFS Net Debt as a percentage of GSP&#10;The chart shows that Net Debt as a percentage of GSP reached a historical high in 1990-91 and a historical low in 2007-08 before returning to a positive number in 2020-21. The ratio is expected to continue increasing from an estimated 3.6 per cent for 2023 to 9.5 per cent for 202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eneral Government Sector GFS Net Debt as a percentage of GSP&#10;The chart shows that Net Debt as a percentage of GSP reached a historical high in 1990-91 and a historical low in 2007-08 before returning to a positive number in 2020-21. The ratio is expected to continue increasing from an estimated 3.6 per cent for 2023 to 9.5 per cent for 2027.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32F8ABA1" w14:textId="77777777" w:rsidR="00D80FA8" w:rsidRPr="00D80FA8" w:rsidRDefault="00D80FA8" w:rsidP="00D80FA8">
      <w:pPr>
        <w:pStyle w:val="NotesHeading"/>
      </w:pPr>
      <w:r w:rsidRPr="00D80FA8">
        <w:t>Note:</w:t>
      </w:r>
    </w:p>
    <w:p w14:paraId="08DD1F1A" w14:textId="3728DE2F" w:rsidR="00D80FA8" w:rsidRPr="00D80FA8" w:rsidRDefault="00D80FA8" w:rsidP="00964183">
      <w:pPr>
        <w:pStyle w:val="Notes0"/>
        <w:numPr>
          <w:ilvl w:val="0"/>
          <w:numId w:val="11"/>
        </w:numPr>
      </w:pPr>
      <w:r w:rsidRPr="00D80FA8">
        <w:t>The figures between 2023 and 2027 represent the 2022</w:t>
      </w:r>
      <w:r w:rsidRPr="00D80FA8">
        <w:noBreakHyphen/>
        <w:t>23 Estimated Outcome and 2023</w:t>
      </w:r>
      <w:r w:rsidRPr="00D80FA8">
        <w:noBreakHyphen/>
        <w:t>24 Budget and Forward</w:t>
      </w:r>
      <w:r w:rsidR="001A7A30">
        <w:t> </w:t>
      </w:r>
      <w:r w:rsidRPr="00D80FA8">
        <w:t>Estimates.</w:t>
      </w:r>
    </w:p>
    <w:p w14:paraId="25FED33B" w14:textId="77777777" w:rsidR="00D80FA8" w:rsidRPr="00D80FA8" w:rsidRDefault="00D80FA8" w:rsidP="00D80FA8">
      <w:r w:rsidRPr="00D80FA8">
        <w:br w:type="page"/>
      </w:r>
    </w:p>
    <w:p w14:paraId="7284B7C6" w14:textId="77777777" w:rsidR="00C95BB0" w:rsidRPr="00C95BB0" w:rsidRDefault="00C95BB0" w:rsidP="00C95BB0">
      <w:pPr>
        <w:pStyle w:val="Heading3"/>
      </w:pPr>
      <w:r w:rsidRPr="00C95BB0">
        <w:lastRenderedPageBreak/>
        <w:t>Interstate Comparison</w:t>
      </w:r>
    </w:p>
    <w:p w14:paraId="688B2555" w14:textId="2ED09177" w:rsidR="00C95BB0" w:rsidRPr="00C95BB0" w:rsidRDefault="00C95BB0" w:rsidP="00C95BB0">
      <w:pPr>
        <w:pStyle w:val="Body"/>
      </w:pPr>
      <w:bookmarkStart w:id="9" w:name="_Hlk134864274"/>
      <w:r w:rsidRPr="00C95BB0">
        <w:t xml:space="preserve">The Net Debt burden in Tasmania is low </w:t>
      </w:r>
      <w:r w:rsidR="00802163">
        <w:t>relative</w:t>
      </w:r>
      <w:r w:rsidR="00802163" w:rsidRPr="00C95BB0">
        <w:t xml:space="preserve"> </w:t>
      </w:r>
      <w:r w:rsidRPr="00C95BB0">
        <w:t xml:space="preserve">to other jurisdictions. Chart 7.2 compares Tasmania’s General Government </w:t>
      </w:r>
      <w:r w:rsidR="00B039E1">
        <w:t>Sector</w:t>
      </w:r>
      <w:r w:rsidR="003D594D">
        <w:t xml:space="preserve"> </w:t>
      </w:r>
      <w:r w:rsidRPr="00C95BB0">
        <w:t>Net Debt and Net Debt as a percentage of GSP forecast as at 30 June 2024 (based on the latest Budget estimate for</w:t>
      </w:r>
      <w:r w:rsidR="00F521B4">
        <w:t xml:space="preserve"> </w:t>
      </w:r>
      <w:r w:rsidRPr="00C95BB0">
        <w:t>other jurisdictions</w:t>
      </w:r>
      <w:bookmarkStart w:id="10" w:name="_Hlk134865921"/>
      <w:r w:rsidR="003D594D">
        <w:t xml:space="preserve"> as at </w:t>
      </w:r>
      <w:bookmarkEnd w:id="10"/>
      <w:r w:rsidR="005B35C1">
        <w:t>14 May 2023</w:t>
      </w:r>
      <w:r w:rsidRPr="00C95BB0">
        <w:t>).</w:t>
      </w:r>
      <w:bookmarkEnd w:id="9"/>
      <w:r w:rsidRPr="00C95BB0">
        <w:t xml:space="preserve"> The chart shows that Tasmania has the lowest nominal level of Net Debt of $3 497 million as at 30 June 2024. This is significantly lower than the highest nominal level of Net Debt held by Victoria at $134 395 million.</w:t>
      </w:r>
    </w:p>
    <w:p w14:paraId="3D241834" w14:textId="27073E0E" w:rsidR="00C95BB0" w:rsidRPr="00C95BB0" w:rsidRDefault="00C95BB0" w:rsidP="00C95BB0">
      <w:pPr>
        <w:pStyle w:val="Body"/>
      </w:pPr>
      <w:r w:rsidRPr="00C95BB0">
        <w:t>At 7.</w:t>
      </w:r>
      <w:r w:rsidR="0087443D">
        <w:t>9</w:t>
      </w:r>
      <w:r w:rsidR="0087443D" w:rsidRPr="00C95BB0">
        <w:t> </w:t>
      </w:r>
      <w:r w:rsidRPr="00C95BB0">
        <w:t>per cent, Tasmania has the third lowest estimated GGS Net Debt as a percentage of GSP as at 30 June 2024 of all jurisdictions.</w:t>
      </w:r>
    </w:p>
    <w:p w14:paraId="2CC15311" w14:textId="3CF1F7E9" w:rsidR="00C95BB0" w:rsidRPr="00C95BB0" w:rsidRDefault="00C95BB0" w:rsidP="00C95BB0">
      <w:pPr>
        <w:pStyle w:val="Heading6"/>
        <w:rPr>
          <w:rStyle w:val="Heading6Superscipt"/>
        </w:rPr>
      </w:pPr>
      <w:r w:rsidRPr="00C95BB0">
        <w:t>Chart 7.2:</w:t>
      </w:r>
      <w:r w:rsidRPr="00C95BB0">
        <w:tab/>
        <w:t xml:space="preserve">General Government </w:t>
      </w:r>
      <w:r w:rsidR="00B039E1">
        <w:t xml:space="preserve">Sector </w:t>
      </w:r>
      <w:r w:rsidRPr="00C95BB0">
        <w:t>Net Debt and Net Debt as a percentage of GSP as at 30 June 2024, by Jurisdiction</w:t>
      </w:r>
      <w:r w:rsidRPr="00C95BB0">
        <w:rPr>
          <w:rStyle w:val="Heading6Superscipt"/>
        </w:rPr>
        <w:t>1</w:t>
      </w:r>
    </w:p>
    <w:p w14:paraId="00C854FA" w14:textId="77777777" w:rsidR="00051136" w:rsidRDefault="00051136" w:rsidP="00C95BB0">
      <w:pPr>
        <w:pStyle w:val="NotesHeading"/>
      </w:pPr>
      <w:r>
        <w:rPr>
          <w:noProof/>
        </w:rPr>
        <w:drawing>
          <wp:inline distT="0" distB="0" distL="0" distR="0" wp14:anchorId="7A9D4065" wp14:editId="225406C9">
            <wp:extent cx="6084570" cy="3096895"/>
            <wp:effectExtent l="0" t="0" r="0" b="8255"/>
            <wp:docPr id="13" name="Picture 13" descr="General Government Sector Net Debt and Net Debt as a percentage of GSP as at 30 June 2024, by Jurisdiction&#10;The chart shows that by comparison, Tasmania is forecast to have the lowest Net Debt of all states as at 30 June 2024. As a percentage of GSP, Tasmania’s ratio of 7.9 per cent is expected to be the third lowest of all jurisdictions after Western Australia and Queensl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eneral Government Sector Net Debt and Net Debt as a percentage of GSP as at 30 June 2024, by Jurisdiction&#10;The chart shows that by comparison, Tasmania is forecast to have the lowest Net Debt of all states as at 30 June 2024. As a percentage of GSP, Tasmania’s ratio of 7.9 per cent is expected to be the third lowest of all jurisdictions after Western Australia and Queenslan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00260ECF" w14:textId="163B6CC4" w:rsidR="00C95BB0" w:rsidRPr="00C95BB0" w:rsidRDefault="00C95BB0" w:rsidP="00C95BB0">
      <w:pPr>
        <w:pStyle w:val="NotesHeading"/>
      </w:pPr>
      <w:r w:rsidRPr="00C95BB0">
        <w:t>Note:</w:t>
      </w:r>
    </w:p>
    <w:p w14:paraId="4F12B918" w14:textId="4C84F2BF" w:rsidR="00C95BB0" w:rsidRPr="00C95BB0" w:rsidRDefault="00C95BB0" w:rsidP="00964183">
      <w:pPr>
        <w:pStyle w:val="Notes0"/>
        <w:numPr>
          <w:ilvl w:val="0"/>
          <w:numId w:val="4"/>
        </w:numPr>
      </w:pPr>
      <w:r w:rsidRPr="00C95BB0">
        <w:t>Net Debt estimates are based on the latest estimates released by jurisdictions.</w:t>
      </w:r>
    </w:p>
    <w:p w14:paraId="096E5374" w14:textId="77777777" w:rsidR="00DC0CBC" w:rsidRDefault="00DC0CBC" w:rsidP="00F521B4">
      <w:pPr>
        <w:pStyle w:val="Body"/>
        <w:spacing w:after="0"/>
      </w:pPr>
    </w:p>
    <w:p w14:paraId="63D3C5AC" w14:textId="236162DA" w:rsidR="00C95BB0" w:rsidRPr="00C95BB0" w:rsidRDefault="00C95BB0" w:rsidP="00C95BB0">
      <w:pPr>
        <w:pStyle w:val="Body"/>
      </w:pPr>
      <w:r w:rsidRPr="00C95BB0">
        <w:t>Chart 7.3 compares Tasmania’s General Government Sector Net Debt plus Superannuation liability, in nominal terms and as a percentage of GSP forecast as at 30 June 2024, with the latest estimates for all other jurisdictions.</w:t>
      </w:r>
    </w:p>
    <w:p w14:paraId="62D907AD" w14:textId="681175DF" w:rsidR="005A34B8" w:rsidRDefault="00C95BB0" w:rsidP="00C95BB0">
      <w:pPr>
        <w:pStyle w:val="Body"/>
      </w:pPr>
      <w:r w:rsidRPr="00C95BB0">
        <w:t>The 2023-24</w:t>
      </w:r>
      <w:r w:rsidR="00087CBF">
        <w:t> </w:t>
      </w:r>
      <w:r w:rsidRPr="00C95BB0">
        <w:t>Budget estimate for Tasmania’s Net Debt plus Superannuation liability is $11 25</w:t>
      </w:r>
      <w:r w:rsidR="00EC608B">
        <w:t>6.5</w:t>
      </w:r>
      <w:r w:rsidRPr="00C95BB0">
        <w:t> million as at 30 June 2024. This is the</w:t>
      </w:r>
      <w:r w:rsidR="002F3D20">
        <w:t xml:space="preserve"> second</w:t>
      </w:r>
      <w:r w:rsidRPr="00C95BB0">
        <w:t xml:space="preserve"> lowest nominal value across all jurisdictions. As a percentage of GSP, Net Debt plus Superannuation liability is 2</w:t>
      </w:r>
      <w:r w:rsidR="00EC608B">
        <w:t>5.1</w:t>
      </w:r>
      <w:r w:rsidRPr="00C95BB0">
        <w:t> per cent as at 30 June 2024, which is ranked fifth across all jurisdictions.</w:t>
      </w:r>
    </w:p>
    <w:p w14:paraId="67C035CA" w14:textId="0742CB60" w:rsidR="00AD62A7" w:rsidRPr="00AD62A7" w:rsidRDefault="00AD62A7" w:rsidP="00AD62A7">
      <w:pPr>
        <w:pStyle w:val="Heading6"/>
        <w:rPr>
          <w:rStyle w:val="Heading6Superscipt"/>
        </w:rPr>
      </w:pPr>
      <w:r w:rsidRPr="00AD62A7">
        <w:lastRenderedPageBreak/>
        <w:t>Chart 7.3:</w:t>
      </w:r>
      <w:r w:rsidRPr="00AD62A7">
        <w:tab/>
        <w:t xml:space="preserve">General Government </w:t>
      </w:r>
      <w:r w:rsidR="00B039E1">
        <w:t xml:space="preserve">Sector </w:t>
      </w:r>
      <w:r w:rsidRPr="00AD62A7">
        <w:t>Net Debt plus Superannuation Liability as at 30 June 202</w:t>
      </w:r>
      <w:r w:rsidR="00EC608B">
        <w:t>4</w:t>
      </w:r>
      <w:r w:rsidRPr="00AD62A7">
        <w:t xml:space="preserve"> in nominal terms and as a percentage of GSP, by Jurisdiction</w:t>
      </w:r>
      <w:r w:rsidRPr="00AD62A7">
        <w:rPr>
          <w:rStyle w:val="Heading6Superscipt"/>
        </w:rPr>
        <w:t>1</w:t>
      </w:r>
    </w:p>
    <w:p w14:paraId="53DC7726" w14:textId="5114275A" w:rsidR="00AD62A7" w:rsidRPr="00AD62A7" w:rsidRDefault="00051136" w:rsidP="00AD62A7">
      <w:pPr>
        <w:pStyle w:val="Body"/>
      </w:pPr>
      <w:r>
        <w:rPr>
          <w:noProof/>
        </w:rPr>
        <w:drawing>
          <wp:inline distT="0" distB="0" distL="0" distR="0" wp14:anchorId="497F37C1" wp14:editId="0DD811C3">
            <wp:extent cx="6084570" cy="3096895"/>
            <wp:effectExtent l="0" t="0" r="0" b="8255"/>
            <wp:docPr id="14" name="Picture 14" descr="General Government Sector Net Debt plus Superannuation Liability as at 30 June 2024 in nominal terms and as a percentage of GSP, by Jurisdiction&#10;The chart shows that Tasmania is forecast to have the second lowest Net Debt plus Superannuation Liability following the Northern Territory. As a percentage of GSP Tasmania’s Net Debt plus Superannuation Liability ratio of 25.3 per cent is the fourth highest of all juris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eneral Government Sector Net Debt plus Superannuation Liability as at 30 June 2024 in nominal terms and as a percentage of GSP, by Jurisdiction&#10;The chart shows that Tasmania is forecast to have the second lowest Net Debt plus Superannuation Liability following the Northern Territory. As a percentage of GSP Tasmania’s Net Debt plus Superannuation Liability ratio of 25.3 per cent is the fourth highest of all jurisdi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4BD3D4CE" w14:textId="23E29241" w:rsidR="00AD62A7" w:rsidRDefault="00AD62A7" w:rsidP="00AD62A7">
      <w:pPr>
        <w:pStyle w:val="NotesHeading"/>
      </w:pPr>
      <w:r w:rsidRPr="00AD62A7">
        <w:t>Note:</w:t>
      </w:r>
    </w:p>
    <w:p w14:paraId="6CFD3B8F" w14:textId="2D03CE71" w:rsidR="00AD62A7" w:rsidRPr="00AD62A7" w:rsidRDefault="00AD62A7" w:rsidP="00964183">
      <w:pPr>
        <w:pStyle w:val="Notes0"/>
        <w:numPr>
          <w:ilvl w:val="0"/>
          <w:numId w:val="5"/>
        </w:numPr>
      </w:pPr>
      <w:r w:rsidRPr="00AD62A7">
        <w:t>Net Debt estimates are based on the latest estimates released by jurisdictions.</w:t>
      </w:r>
    </w:p>
    <w:p w14:paraId="46118401" w14:textId="77777777" w:rsidR="00AD62A7" w:rsidRPr="00AD62A7" w:rsidRDefault="00AD62A7" w:rsidP="00AD62A7">
      <w:pPr>
        <w:pStyle w:val="Notes0"/>
        <w:numPr>
          <w:ilvl w:val="0"/>
          <w:numId w:val="0"/>
        </w:numPr>
        <w:ind w:left="284"/>
      </w:pPr>
    </w:p>
    <w:p w14:paraId="5328C081" w14:textId="77777777" w:rsidR="00B47C86" w:rsidRPr="00843688" w:rsidRDefault="00B47C86" w:rsidP="00B47C86">
      <w:pPr>
        <w:pStyle w:val="Heading3"/>
      </w:pPr>
      <w:r w:rsidRPr="00843688">
        <w:t>Borrowings</w:t>
      </w:r>
    </w:p>
    <w:p w14:paraId="5D6DE6AF" w14:textId="05B3F9AC" w:rsidR="00B47C86" w:rsidRPr="00843688" w:rsidRDefault="00B47C86" w:rsidP="00B47C86">
      <w:pPr>
        <w:pStyle w:val="Body"/>
      </w:pPr>
      <w:r w:rsidRPr="00843688">
        <w:t>The growth in Net Debt is primarily driven by the increase in General Government Sector Borrowings. As at 30 June 202</w:t>
      </w:r>
      <w:r>
        <w:t>4</w:t>
      </w:r>
      <w:r w:rsidRPr="00843688">
        <w:t>, Borrowings is estimated to be $4 </w:t>
      </w:r>
      <w:r>
        <w:t>555 </w:t>
      </w:r>
      <w:r w:rsidRPr="00843688">
        <w:t>million which comprises:</w:t>
      </w:r>
    </w:p>
    <w:p w14:paraId="5C37AEE6" w14:textId="77777777" w:rsidR="00B47C86" w:rsidRPr="00B47C86" w:rsidRDefault="00B47C86" w:rsidP="00B47C86">
      <w:pPr>
        <w:pStyle w:val="Dotpoint"/>
      </w:pPr>
      <w:r w:rsidRPr="006100DF">
        <w:t xml:space="preserve">Tasmanian Public Finance Corporation </w:t>
      </w:r>
      <w:r w:rsidRPr="00B47C86">
        <w:t>borrowings of $4 305.1 million, which is the debt administered by Finance</w:t>
      </w:r>
      <w:r w:rsidRPr="00B47C86">
        <w:noBreakHyphen/>
        <w:t>General to support the General Government Sector cash deficit; and</w:t>
      </w:r>
    </w:p>
    <w:p w14:paraId="5F3D99E6" w14:textId="0F3E7180" w:rsidR="00B47C86" w:rsidRPr="00B47C86" w:rsidRDefault="00B47C86" w:rsidP="00B47C86">
      <w:pPr>
        <w:pStyle w:val="Dotpoint"/>
      </w:pPr>
      <w:r w:rsidRPr="006966FC">
        <w:t>Other borrowings of $2</w:t>
      </w:r>
      <w:r w:rsidRPr="00B47C86">
        <w:t>49.9 million, which primarily consists of $2</w:t>
      </w:r>
      <w:r w:rsidR="001D486A">
        <w:t>44.9</w:t>
      </w:r>
      <w:r w:rsidRPr="00B47C86">
        <w:t xml:space="preserve"> million in debt held by the Department of State Growth</w:t>
      </w:r>
      <w:r w:rsidR="00A14212">
        <w:t xml:space="preserve"> which is used to fund loan advances to the private sector</w:t>
      </w:r>
      <w:r w:rsidRPr="00B47C86">
        <w:t>.</w:t>
      </w:r>
    </w:p>
    <w:p w14:paraId="5945FF6B" w14:textId="4B22908C" w:rsidR="00B47C86" w:rsidRDefault="00B47C86" w:rsidP="00B47C86">
      <w:pPr>
        <w:pStyle w:val="Body"/>
      </w:pPr>
      <w:r w:rsidRPr="00843688">
        <w:t>The maturity profile is an important factor which impacts the interest rate risk of the debt portfolio. When debt matures it is either repaid or refinanced at prevailing market interest rates. By structuring the maturity profile of the debt portfolio over a number of years, the risk to the portfolio of interest rate movements in the short to medium</w:t>
      </w:r>
      <w:r>
        <w:noBreakHyphen/>
      </w:r>
      <w:r w:rsidRPr="00843688">
        <w:t>term is mitigated.</w:t>
      </w:r>
    </w:p>
    <w:p w14:paraId="442CA408" w14:textId="77777777" w:rsidR="00543CF5" w:rsidRDefault="00543CF5">
      <w:r>
        <w:br w:type="page"/>
      </w:r>
    </w:p>
    <w:p w14:paraId="3E2F067A" w14:textId="4B2F6F58" w:rsidR="00543CF5" w:rsidRPr="00843688" w:rsidRDefault="00543CF5" w:rsidP="00543CF5">
      <w:pPr>
        <w:pStyle w:val="Body"/>
      </w:pPr>
      <w:r w:rsidRPr="00843688">
        <w:lastRenderedPageBreak/>
        <w:t>Table 7.4 provides a breakdown of</w:t>
      </w:r>
      <w:r>
        <w:t xml:space="preserve"> Finance</w:t>
      </w:r>
      <w:r>
        <w:noBreakHyphen/>
        <w:t>General borrowings from</w:t>
      </w:r>
      <w:r w:rsidRPr="00843688">
        <w:t xml:space="preserve"> the Tasmanian Public Finance Corporation as at 31 March 202</w:t>
      </w:r>
      <w:r>
        <w:t>3</w:t>
      </w:r>
      <w:r w:rsidRPr="00843688">
        <w:t xml:space="preserve"> by year of maturity. The Table shows the Tasmanian Public Finance Corporation debt portfolio </w:t>
      </w:r>
      <w:r>
        <w:t>is comprised of</w:t>
      </w:r>
      <w:r w:rsidRPr="00843688">
        <w:t xml:space="preserve"> 3</w:t>
      </w:r>
      <w:r>
        <w:t>9</w:t>
      </w:r>
      <w:r w:rsidRPr="00843688">
        <w:t xml:space="preserve"> fixed rate loans with maturities out to 2041-42. The weighted average interest rate of the Tasmanian Public Finance Corporation debt portfolio is </w:t>
      </w:r>
      <w:r>
        <w:t>2.48</w:t>
      </w:r>
      <w:r w:rsidRPr="00843688">
        <w:t xml:space="preserve"> per cent and the weighted average term to maturity is </w:t>
      </w:r>
      <w:r>
        <w:t>7.71</w:t>
      </w:r>
      <w:r w:rsidR="00087CBF">
        <w:t> </w:t>
      </w:r>
      <w:r w:rsidRPr="00843688">
        <w:t>years.</w:t>
      </w:r>
    </w:p>
    <w:p w14:paraId="2D185781" w14:textId="77777777" w:rsidR="00543CF5" w:rsidRPr="00843688" w:rsidRDefault="00543CF5" w:rsidP="00543CF5">
      <w:pPr>
        <w:pStyle w:val="Heading6"/>
      </w:pPr>
      <w:r w:rsidRPr="00843688">
        <w:t>Table 7.4</w:t>
      </w:r>
      <w:r>
        <w:t>:</w:t>
      </w:r>
      <w:r w:rsidRPr="00843688">
        <w:tab/>
        <w:t>Tasmanian Public Finance Corporation Borrowings as at 31 March 202</w:t>
      </w:r>
      <w:r>
        <w:t>3</w:t>
      </w:r>
      <w:r w:rsidRPr="00843688">
        <w:t>, by Year of Maturity</w:t>
      </w:r>
    </w:p>
    <w:tbl>
      <w:tblPr>
        <w:tblW w:w="5000" w:type="pct"/>
        <w:tblLook w:val="04A0" w:firstRow="1" w:lastRow="0" w:firstColumn="1" w:lastColumn="0" w:noHBand="0" w:noVBand="1"/>
      </w:tblPr>
      <w:tblGrid>
        <w:gridCol w:w="2396"/>
        <w:gridCol w:w="2395"/>
        <w:gridCol w:w="2395"/>
        <w:gridCol w:w="2395"/>
      </w:tblGrid>
      <w:tr w:rsidR="00543CF5" w:rsidRPr="00843688" w14:paraId="43959B42" w14:textId="77777777" w:rsidTr="007241DA">
        <w:trPr>
          <w:trHeight w:val="600"/>
        </w:trPr>
        <w:tc>
          <w:tcPr>
            <w:tcW w:w="1250" w:type="pct"/>
            <w:tcBorders>
              <w:top w:val="single" w:sz="4" w:space="0" w:color="auto"/>
              <w:left w:val="nil"/>
              <w:bottom w:val="single" w:sz="4" w:space="0" w:color="auto"/>
              <w:right w:val="nil"/>
            </w:tcBorders>
            <w:shd w:val="clear" w:color="auto" w:fill="auto"/>
            <w:hideMark/>
          </w:tcPr>
          <w:p w14:paraId="19E1B9E5" w14:textId="77777777" w:rsidR="00543CF5" w:rsidRPr="00543CF5" w:rsidRDefault="00543CF5" w:rsidP="00543CF5">
            <w:pPr>
              <w:pStyle w:val="TableLeftHeading"/>
            </w:pPr>
            <w:r w:rsidRPr="00843688">
              <w:t>Maturity</w:t>
            </w:r>
          </w:p>
        </w:tc>
        <w:tc>
          <w:tcPr>
            <w:tcW w:w="1250" w:type="pct"/>
            <w:tcBorders>
              <w:top w:val="single" w:sz="4" w:space="0" w:color="auto"/>
              <w:left w:val="nil"/>
              <w:bottom w:val="single" w:sz="4" w:space="0" w:color="auto"/>
              <w:right w:val="nil"/>
            </w:tcBorders>
            <w:shd w:val="clear" w:color="auto" w:fill="auto"/>
            <w:hideMark/>
          </w:tcPr>
          <w:p w14:paraId="03A54B5B" w14:textId="0A81D216" w:rsidR="00543CF5" w:rsidRPr="00543CF5" w:rsidRDefault="00543CF5" w:rsidP="00543CF5">
            <w:pPr>
              <w:pStyle w:val="TableRightHeading"/>
            </w:pPr>
            <w:r w:rsidRPr="00843688">
              <w:t>Face Value</w:t>
            </w:r>
            <w:r w:rsidR="00D47CB8">
              <w:t> </w:t>
            </w:r>
          </w:p>
        </w:tc>
        <w:tc>
          <w:tcPr>
            <w:tcW w:w="1250" w:type="pct"/>
            <w:tcBorders>
              <w:top w:val="single" w:sz="4" w:space="0" w:color="auto"/>
              <w:left w:val="nil"/>
              <w:bottom w:val="single" w:sz="4" w:space="0" w:color="auto"/>
              <w:right w:val="nil"/>
            </w:tcBorders>
            <w:shd w:val="clear" w:color="auto" w:fill="auto"/>
            <w:hideMark/>
          </w:tcPr>
          <w:p w14:paraId="77488845" w14:textId="573B830A" w:rsidR="00543CF5" w:rsidRPr="00543CF5" w:rsidRDefault="00543CF5" w:rsidP="00543CF5">
            <w:pPr>
              <w:pStyle w:val="TableRightHeading"/>
            </w:pPr>
            <w:r w:rsidRPr="00843688">
              <w:t>Number of Loans</w:t>
            </w:r>
            <w:r w:rsidR="00D47CB8">
              <w:t> </w:t>
            </w:r>
          </w:p>
        </w:tc>
        <w:tc>
          <w:tcPr>
            <w:tcW w:w="1250" w:type="pct"/>
            <w:tcBorders>
              <w:top w:val="single" w:sz="4" w:space="0" w:color="auto"/>
              <w:left w:val="nil"/>
              <w:bottom w:val="single" w:sz="4" w:space="0" w:color="auto"/>
              <w:right w:val="nil"/>
            </w:tcBorders>
            <w:shd w:val="clear" w:color="auto" w:fill="auto"/>
            <w:hideMark/>
          </w:tcPr>
          <w:p w14:paraId="34A0B155" w14:textId="07B975BF" w:rsidR="00543CF5" w:rsidRPr="00543CF5" w:rsidRDefault="00513DDA" w:rsidP="00543CF5">
            <w:pPr>
              <w:pStyle w:val="TableRightHeading"/>
            </w:pPr>
            <w:r>
              <w:t xml:space="preserve"> Weighted </w:t>
            </w:r>
            <w:r w:rsidR="00543CF5" w:rsidRPr="00543CF5">
              <w:t>Average</w:t>
            </w:r>
          </w:p>
          <w:p w14:paraId="13BFE3DF" w14:textId="70E6E159" w:rsidR="00543CF5" w:rsidRPr="00543CF5" w:rsidRDefault="00543CF5" w:rsidP="00543CF5">
            <w:pPr>
              <w:pStyle w:val="TableRightHeading"/>
            </w:pPr>
            <w:r w:rsidRPr="00843688">
              <w:t xml:space="preserve"> Interest</w:t>
            </w:r>
            <w:r w:rsidRPr="00543CF5">
              <w:t xml:space="preserve"> Rate by Maturity</w:t>
            </w:r>
          </w:p>
        </w:tc>
      </w:tr>
      <w:tr w:rsidR="00543CF5" w:rsidRPr="00843688" w14:paraId="675A2564" w14:textId="77777777" w:rsidTr="007241DA">
        <w:trPr>
          <w:trHeight w:val="320"/>
        </w:trPr>
        <w:tc>
          <w:tcPr>
            <w:tcW w:w="1250" w:type="pct"/>
            <w:tcBorders>
              <w:top w:val="nil"/>
              <w:left w:val="nil"/>
              <w:bottom w:val="nil"/>
              <w:right w:val="nil"/>
            </w:tcBorders>
            <w:shd w:val="clear" w:color="auto" w:fill="auto"/>
            <w:vAlign w:val="center"/>
            <w:hideMark/>
          </w:tcPr>
          <w:p w14:paraId="5D72041F" w14:textId="77777777" w:rsidR="00543CF5" w:rsidRPr="00543CF5" w:rsidRDefault="00543CF5" w:rsidP="00EC608B">
            <w:pPr>
              <w:pStyle w:val="TableRightHeading"/>
            </w:pPr>
          </w:p>
        </w:tc>
        <w:tc>
          <w:tcPr>
            <w:tcW w:w="1250" w:type="pct"/>
            <w:tcBorders>
              <w:top w:val="nil"/>
              <w:left w:val="nil"/>
              <w:bottom w:val="nil"/>
              <w:right w:val="nil"/>
            </w:tcBorders>
            <w:shd w:val="clear" w:color="auto" w:fill="auto"/>
            <w:vAlign w:val="center"/>
            <w:hideMark/>
          </w:tcPr>
          <w:p w14:paraId="7A150E99" w14:textId="31ED228C" w:rsidR="00543CF5" w:rsidRPr="00543CF5" w:rsidRDefault="00543CF5" w:rsidP="00EC608B">
            <w:pPr>
              <w:pStyle w:val="TableRightHeading"/>
            </w:pPr>
            <w:r w:rsidRPr="00543CF5">
              <w:t>$m</w:t>
            </w:r>
            <w:r w:rsidR="00D47CB8">
              <w:t> </w:t>
            </w:r>
          </w:p>
        </w:tc>
        <w:tc>
          <w:tcPr>
            <w:tcW w:w="1250" w:type="pct"/>
            <w:tcBorders>
              <w:top w:val="nil"/>
              <w:left w:val="nil"/>
              <w:bottom w:val="nil"/>
              <w:right w:val="nil"/>
            </w:tcBorders>
            <w:shd w:val="clear" w:color="auto" w:fill="auto"/>
            <w:vAlign w:val="center"/>
            <w:hideMark/>
          </w:tcPr>
          <w:p w14:paraId="14DDEEA8" w14:textId="77777777" w:rsidR="00543CF5" w:rsidRPr="00543CF5" w:rsidRDefault="00543CF5" w:rsidP="00EC608B">
            <w:pPr>
              <w:pStyle w:val="TableRightHeading"/>
            </w:pPr>
          </w:p>
        </w:tc>
        <w:tc>
          <w:tcPr>
            <w:tcW w:w="1250" w:type="pct"/>
            <w:tcBorders>
              <w:top w:val="nil"/>
              <w:left w:val="nil"/>
              <w:bottom w:val="nil"/>
              <w:right w:val="nil"/>
            </w:tcBorders>
            <w:shd w:val="clear" w:color="auto" w:fill="auto"/>
            <w:vAlign w:val="center"/>
            <w:hideMark/>
          </w:tcPr>
          <w:p w14:paraId="21196C3D" w14:textId="0762D889" w:rsidR="00543CF5" w:rsidRPr="00543CF5" w:rsidRDefault="00543CF5" w:rsidP="00EC608B">
            <w:pPr>
              <w:pStyle w:val="TableRightHeading"/>
            </w:pPr>
            <w:r w:rsidRPr="00543CF5">
              <w:t>%</w:t>
            </w:r>
            <w:r w:rsidR="00D47CB8">
              <w:t> </w:t>
            </w:r>
          </w:p>
        </w:tc>
      </w:tr>
      <w:tr w:rsidR="00543CF5" w:rsidRPr="00843688" w14:paraId="74A1C7BB" w14:textId="77777777" w:rsidTr="007241DA">
        <w:trPr>
          <w:trHeight w:val="320"/>
        </w:trPr>
        <w:tc>
          <w:tcPr>
            <w:tcW w:w="1250" w:type="pct"/>
            <w:tcBorders>
              <w:top w:val="nil"/>
              <w:left w:val="nil"/>
              <w:bottom w:val="nil"/>
              <w:right w:val="nil"/>
            </w:tcBorders>
            <w:shd w:val="clear" w:color="auto" w:fill="auto"/>
            <w:vAlign w:val="center"/>
            <w:hideMark/>
          </w:tcPr>
          <w:p w14:paraId="0859673D" w14:textId="77777777" w:rsidR="00543CF5" w:rsidRPr="00543CF5" w:rsidRDefault="00543CF5" w:rsidP="00EC608B">
            <w:pPr>
              <w:pStyle w:val="TableRightHeading"/>
            </w:pPr>
          </w:p>
        </w:tc>
        <w:tc>
          <w:tcPr>
            <w:tcW w:w="1250" w:type="pct"/>
            <w:tcBorders>
              <w:top w:val="nil"/>
              <w:left w:val="nil"/>
              <w:bottom w:val="nil"/>
              <w:right w:val="nil"/>
            </w:tcBorders>
            <w:shd w:val="clear" w:color="auto" w:fill="auto"/>
            <w:vAlign w:val="center"/>
            <w:hideMark/>
          </w:tcPr>
          <w:p w14:paraId="68DA56F0" w14:textId="77777777" w:rsidR="00543CF5" w:rsidRPr="00543CF5" w:rsidRDefault="00543CF5" w:rsidP="00EC608B">
            <w:pPr>
              <w:pStyle w:val="TableRightHeading"/>
            </w:pPr>
          </w:p>
        </w:tc>
        <w:tc>
          <w:tcPr>
            <w:tcW w:w="1250" w:type="pct"/>
            <w:tcBorders>
              <w:top w:val="nil"/>
              <w:left w:val="nil"/>
              <w:bottom w:val="nil"/>
              <w:right w:val="nil"/>
            </w:tcBorders>
            <w:shd w:val="clear" w:color="auto" w:fill="auto"/>
            <w:vAlign w:val="center"/>
            <w:hideMark/>
          </w:tcPr>
          <w:p w14:paraId="1B4635D8" w14:textId="77777777" w:rsidR="00543CF5" w:rsidRPr="00543CF5" w:rsidRDefault="00543CF5" w:rsidP="00EC608B">
            <w:pPr>
              <w:pStyle w:val="TableRightHeading"/>
            </w:pPr>
          </w:p>
        </w:tc>
        <w:tc>
          <w:tcPr>
            <w:tcW w:w="1250" w:type="pct"/>
            <w:tcBorders>
              <w:top w:val="nil"/>
              <w:left w:val="nil"/>
              <w:bottom w:val="nil"/>
              <w:right w:val="nil"/>
            </w:tcBorders>
            <w:shd w:val="clear" w:color="auto" w:fill="auto"/>
            <w:vAlign w:val="center"/>
            <w:hideMark/>
          </w:tcPr>
          <w:p w14:paraId="6F8C4E39" w14:textId="77777777" w:rsidR="00543CF5" w:rsidRPr="00543CF5" w:rsidRDefault="00543CF5" w:rsidP="00EC608B">
            <w:pPr>
              <w:pStyle w:val="TableRightHeading"/>
            </w:pPr>
          </w:p>
        </w:tc>
      </w:tr>
      <w:tr w:rsidR="00543CF5" w:rsidRPr="00843688" w14:paraId="31BE09C3" w14:textId="77777777" w:rsidTr="007241DA">
        <w:trPr>
          <w:trHeight w:val="330"/>
        </w:trPr>
        <w:tc>
          <w:tcPr>
            <w:tcW w:w="1250" w:type="pct"/>
            <w:tcBorders>
              <w:top w:val="nil"/>
              <w:left w:val="nil"/>
              <w:bottom w:val="nil"/>
              <w:right w:val="nil"/>
            </w:tcBorders>
            <w:shd w:val="clear" w:color="auto" w:fill="auto"/>
            <w:vAlign w:val="center"/>
            <w:hideMark/>
          </w:tcPr>
          <w:p w14:paraId="7D7847D7" w14:textId="77777777" w:rsidR="00543CF5" w:rsidRPr="00543CF5" w:rsidRDefault="00543CF5" w:rsidP="00543CF5">
            <w:pPr>
              <w:pStyle w:val="TableLeft"/>
            </w:pPr>
            <w:r w:rsidRPr="00543CF5">
              <w:t>2023-24</w:t>
            </w:r>
          </w:p>
        </w:tc>
        <w:tc>
          <w:tcPr>
            <w:tcW w:w="1250" w:type="pct"/>
            <w:tcBorders>
              <w:top w:val="nil"/>
              <w:left w:val="nil"/>
              <w:bottom w:val="nil"/>
              <w:right w:val="nil"/>
            </w:tcBorders>
            <w:shd w:val="clear" w:color="auto" w:fill="auto"/>
            <w:vAlign w:val="center"/>
            <w:hideMark/>
          </w:tcPr>
          <w:p w14:paraId="0A690D80" w14:textId="77777777" w:rsidR="00543CF5" w:rsidRPr="00543CF5" w:rsidRDefault="00543CF5" w:rsidP="00543CF5">
            <w:pPr>
              <w:pStyle w:val="TableRight"/>
            </w:pPr>
            <w:r w:rsidRPr="00843688">
              <w:t xml:space="preserve"> 191 </w:t>
            </w:r>
          </w:p>
        </w:tc>
        <w:tc>
          <w:tcPr>
            <w:tcW w:w="1250" w:type="pct"/>
            <w:tcBorders>
              <w:top w:val="nil"/>
              <w:left w:val="nil"/>
              <w:bottom w:val="nil"/>
              <w:right w:val="nil"/>
            </w:tcBorders>
            <w:shd w:val="clear" w:color="auto" w:fill="auto"/>
            <w:vAlign w:val="center"/>
            <w:hideMark/>
          </w:tcPr>
          <w:p w14:paraId="7B37ADDB" w14:textId="77777777" w:rsidR="00543CF5" w:rsidRPr="00543CF5" w:rsidRDefault="00543CF5" w:rsidP="00543CF5">
            <w:pPr>
              <w:pStyle w:val="TableRight"/>
            </w:pPr>
            <w:r w:rsidRPr="00843688">
              <w:t xml:space="preserve"> 5 </w:t>
            </w:r>
          </w:p>
        </w:tc>
        <w:tc>
          <w:tcPr>
            <w:tcW w:w="1250" w:type="pct"/>
            <w:tcBorders>
              <w:top w:val="nil"/>
              <w:left w:val="nil"/>
              <w:bottom w:val="nil"/>
              <w:right w:val="nil"/>
            </w:tcBorders>
            <w:shd w:val="clear" w:color="auto" w:fill="auto"/>
            <w:vAlign w:val="center"/>
          </w:tcPr>
          <w:p w14:paraId="221599E7" w14:textId="3201AEB2" w:rsidR="00543CF5" w:rsidRPr="00543CF5" w:rsidRDefault="00543CF5" w:rsidP="00543CF5">
            <w:pPr>
              <w:pStyle w:val="TableRight"/>
            </w:pPr>
            <w:r>
              <w:t>0.</w:t>
            </w:r>
            <w:r w:rsidR="00FA0125">
              <w:t>98</w:t>
            </w:r>
            <w:r w:rsidR="00FA0125" w:rsidRPr="00543CF5">
              <w:t> </w:t>
            </w:r>
          </w:p>
        </w:tc>
      </w:tr>
      <w:tr w:rsidR="00543CF5" w:rsidRPr="00843688" w14:paraId="198DC85A" w14:textId="77777777" w:rsidTr="007241DA">
        <w:trPr>
          <w:trHeight w:val="330"/>
        </w:trPr>
        <w:tc>
          <w:tcPr>
            <w:tcW w:w="1250" w:type="pct"/>
            <w:tcBorders>
              <w:top w:val="nil"/>
              <w:left w:val="nil"/>
              <w:bottom w:val="nil"/>
              <w:right w:val="nil"/>
            </w:tcBorders>
            <w:shd w:val="clear" w:color="auto" w:fill="auto"/>
            <w:vAlign w:val="center"/>
            <w:hideMark/>
          </w:tcPr>
          <w:p w14:paraId="62894552" w14:textId="77777777" w:rsidR="00543CF5" w:rsidRPr="00543CF5" w:rsidRDefault="00543CF5" w:rsidP="00543CF5">
            <w:pPr>
              <w:pStyle w:val="TableLeft"/>
            </w:pPr>
            <w:r w:rsidRPr="00543CF5">
              <w:t>2025-26</w:t>
            </w:r>
          </w:p>
        </w:tc>
        <w:tc>
          <w:tcPr>
            <w:tcW w:w="1250" w:type="pct"/>
            <w:tcBorders>
              <w:top w:val="nil"/>
              <w:left w:val="nil"/>
              <w:bottom w:val="nil"/>
              <w:right w:val="nil"/>
            </w:tcBorders>
            <w:shd w:val="clear" w:color="auto" w:fill="auto"/>
            <w:vAlign w:val="center"/>
            <w:hideMark/>
          </w:tcPr>
          <w:p w14:paraId="47353F91" w14:textId="77777777" w:rsidR="00543CF5" w:rsidRPr="00543CF5" w:rsidRDefault="00543CF5" w:rsidP="00543CF5">
            <w:pPr>
              <w:pStyle w:val="TableRight"/>
            </w:pPr>
            <w:r w:rsidRPr="00843688">
              <w:t xml:space="preserve"> 345 </w:t>
            </w:r>
          </w:p>
        </w:tc>
        <w:tc>
          <w:tcPr>
            <w:tcW w:w="1250" w:type="pct"/>
            <w:tcBorders>
              <w:top w:val="nil"/>
              <w:left w:val="nil"/>
              <w:bottom w:val="nil"/>
              <w:right w:val="nil"/>
            </w:tcBorders>
            <w:shd w:val="clear" w:color="auto" w:fill="auto"/>
            <w:vAlign w:val="center"/>
            <w:hideMark/>
          </w:tcPr>
          <w:p w14:paraId="60D48347" w14:textId="77777777" w:rsidR="00543CF5" w:rsidRPr="00543CF5" w:rsidRDefault="00543CF5" w:rsidP="00543CF5">
            <w:pPr>
              <w:pStyle w:val="TableRight"/>
            </w:pPr>
            <w:r w:rsidRPr="00843688">
              <w:t xml:space="preserve"> 8 </w:t>
            </w:r>
          </w:p>
        </w:tc>
        <w:tc>
          <w:tcPr>
            <w:tcW w:w="1250" w:type="pct"/>
            <w:tcBorders>
              <w:top w:val="nil"/>
              <w:left w:val="nil"/>
              <w:bottom w:val="nil"/>
              <w:right w:val="nil"/>
            </w:tcBorders>
            <w:shd w:val="clear" w:color="auto" w:fill="auto"/>
            <w:vAlign w:val="center"/>
          </w:tcPr>
          <w:p w14:paraId="53BD2052" w14:textId="0597BB62" w:rsidR="00543CF5" w:rsidRPr="00543CF5" w:rsidRDefault="00543CF5" w:rsidP="00543CF5">
            <w:pPr>
              <w:pStyle w:val="TableRight"/>
            </w:pPr>
            <w:r>
              <w:t>0.</w:t>
            </w:r>
            <w:r w:rsidR="00FA0125">
              <w:t>87</w:t>
            </w:r>
            <w:r w:rsidR="00FA0125" w:rsidRPr="00543CF5">
              <w:t xml:space="preserve">  </w:t>
            </w:r>
          </w:p>
        </w:tc>
      </w:tr>
      <w:tr w:rsidR="00543CF5" w:rsidRPr="00843688" w14:paraId="4ADCC429" w14:textId="77777777" w:rsidTr="007241DA">
        <w:trPr>
          <w:trHeight w:val="330"/>
        </w:trPr>
        <w:tc>
          <w:tcPr>
            <w:tcW w:w="1250" w:type="pct"/>
            <w:tcBorders>
              <w:top w:val="nil"/>
              <w:left w:val="nil"/>
              <w:bottom w:val="nil"/>
              <w:right w:val="nil"/>
            </w:tcBorders>
            <w:shd w:val="clear" w:color="auto" w:fill="auto"/>
            <w:vAlign w:val="center"/>
            <w:hideMark/>
          </w:tcPr>
          <w:p w14:paraId="6F4BE103" w14:textId="77777777" w:rsidR="00543CF5" w:rsidRPr="00543CF5" w:rsidRDefault="00543CF5" w:rsidP="00543CF5">
            <w:pPr>
              <w:pStyle w:val="TableLeft"/>
            </w:pPr>
            <w:r w:rsidRPr="00543CF5">
              <w:t>2027-28</w:t>
            </w:r>
          </w:p>
        </w:tc>
        <w:tc>
          <w:tcPr>
            <w:tcW w:w="1250" w:type="pct"/>
            <w:tcBorders>
              <w:top w:val="nil"/>
              <w:left w:val="nil"/>
              <w:bottom w:val="nil"/>
              <w:right w:val="nil"/>
            </w:tcBorders>
            <w:shd w:val="clear" w:color="auto" w:fill="auto"/>
            <w:vAlign w:val="center"/>
            <w:hideMark/>
          </w:tcPr>
          <w:p w14:paraId="4D041265" w14:textId="77777777" w:rsidR="00543CF5" w:rsidRPr="00543CF5" w:rsidRDefault="00543CF5" w:rsidP="00543CF5">
            <w:pPr>
              <w:pStyle w:val="TableRight"/>
            </w:pPr>
            <w:r w:rsidRPr="00843688">
              <w:t xml:space="preserve"> </w:t>
            </w:r>
            <w:r w:rsidRPr="00543CF5">
              <w:t>403 </w:t>
            </w:r>
          </w:p>
        </w:tc>
        <w:tc>
          <w:tcPr>
            <w:tcW w:w="1250" w:type="pct"/>
            <w:tcBorders>
              <w:top w:val="nil"/>
              <w:left w:val="nil"/>
              <w:bottom w:val="nil"/>
              <w:right w:val="nil"/>
            </w:tcBorders>
            <w:shd w:val="clear" w:color="auto" w:fill="auto"/>
            <w:vAlign w:val="center"/>
            <w:hideMark/>
          </w:tcPr>
          <w:p w14:paraId="30429285" w14:textId="77777777" w:rsidR="00543CF5" w:rsidRPr="00543CF5" w:rsidRDefault="00543CF5" w:rsidP="00543CF5">
            <w:pPr>
              <w:pStyle w:val="TableRight"/>
            </w:pPr>
            <w:r w:rsidRPr="00843688">
              <w:t xml:space="preserve"> </w:t>
            </w:r>
            <w:r w:rsidRPr="00543CF5">
              <w:t>6 </w:t>
            </w:r>
          </w:p>
        </w:tc>
        <w:tc>
          <w:tcPr>
            <w:tcW w:w="1250" w:type="pct"/>
            <w:tcBorders>
              <w:top w:val="nil"/>
              <w:left w:val="nil"/>
              <w:bottom w:val="nil"/>
              <w:right w:val="nil"/>
            </w:tcBorders>
            <w:shd w:val="clear" w:color="auto" w:fill="auto"/>
            <w:vAlign w:val="center"/>
          </w:tcPr>
          <w:p w14:paraId="04FBCC64" w14:textId="734196CC" w:rsidR="00543CF5" w:rsidRPr="00543CF5" w:rsidRDefault="00543CF5" w:rsidP="00543CF5">
            <w:pPr>
              <w:pStyle w:val="TableRight"/>
            </w:pPr>
            <w:r>
              <w:t>2.</w:t>
            </w:r>
            <w:r w:rsidR="00FA0125">
              <w:t>74</w:t>
            </w:r>
            <w:r w:rsidR="00FA0125" w:rsidRPr="00543CF5">
              <w:t xml:space="preserve">  </w:t>
            </w:r>
          </w:p>
        </w:tc>
      </w:tr>
      <w:tr w:rsidR="00543CF5" w:rsidRPr="00843688" w14:paraId="4CB54242" w14:textId="77777777" w:rsidTr="007241DA">
        <w:trPr>
          <w:trHeight w:val="330"/>
        </w:trPr>
        <w:tc>
          <w:tcPr>
            <w:tcW w:w="1250" w:type="pct"/>
            <w:tcBorders>
              <w:top w:val="nil"/>
              <w:left w:val="nil"/>
              <w:bottom w:val="nil"/>
              <w:right w:val="nil"/>
            </w:tcBorders>
            <w:shd w:val="clear" w:color="auto" w:fill="auto"/>
            <w:vAlign w:val="center"/>
            <w:hideMark/>
          </w:tcPr>
          <w:p w14:paraId="125E3CB4" w14:textId="77777777" w:rsidR="00543CF5" w:rsidRPr="00543CF5" w:rsidRDefault="00543CF5" w:rsidP="00543CF5">
            <w:pPr>
              <w:pStyle w:val="TableLeft"/>
            </w:pPr>
            <w:r w:rsidRPr="00543CF5">
              <w:t>2029-30</w:t>
            </w:r>
          </w:p>
        </w:tc>
        <w:tc>
          <w:tcPr>
            <w:tcW w:w="1250" w:type="pct"/>
            <w:tcBorders>
              <w:top w:val="nil"/>
              <w:left w:val="nil"/>
              <w:bottom w:val="nil"/>
              <w:right w:val="nil"/>
            </w:tcBorders>
            <w:shd w:val="clear" w:color="auto" w:fill="auto"/>
            <w:vAlign w:val="center"/>
            <w:hideMark/>
          </w:tcPr>
          <w:p w14:paraId="444B76C5" w14:textId="77777777" w:rsidR="00543CF5" w:rsidRPr="00543CF5" w:rsidRDefault="00543CF5" w:rsidP="00543CF5">
            <w:pPr>
              <w:pStyle w:val="TableRight"/>
            </w:pPr>
            <w:r w:rsidRPr="00843688">
              <w:t xml:space="preserve"> </w:t>
            </w:r>
            <w:r w:rsidRPr="00543CF5">
              <w:t>439 </w:t>
            </w:r>
          </w:p>
        </w:tc>
        <w:tc>
          <w:tcPr>
            <w:tcW w:w="1250" w:type="pct"/>
            <w:tcBorders>
              <w:top w:val="nil"/>
              <w:left w:val="nil"/>
              <w:bottom w:val="nil"/>
              <w:right w:val="nil"/>
            </w:tcBorders>
            <w:shd w:val="clear" w:color="auto" w:fill="auto"/>
            <w:vAlign w:val="center"/>
            <w:hideMark/>
          </w:tcPr>
          <w:p w14:paraId="1E1831F2" w14:textId="77777777" w:rsidR="00543CF5" w:rsidRPr="00543CF5" w:rsidRDefault="00543CF5" w:rsidP="00543CF5">
            <w:pPr>
              <w:pStyle w:val="TableRight"/>
            </w:pPr>
            <w:r w:rsidRPr="00843688">
              <w:t xml:space="preserve"> </w:t>
            </w:r>
            <w:r w:rsidRPr="00543CF5">
              <w:t>11 </w:t>
            </w:r>
          </w:p>
        </w:tc>
        <w:tc>
          <w:tcPr>
            <w:tcW w:w="1250" w:type="pct"/>
            <w:tcBorders>
              <w:top w:val="nil"/>
              <w:left w:val="nil"/>
              <w:bottom w:val="nil"/>
              <w:right w:val="nil"/>
            </w:tcBorders>
            <w:shd w:val="clear" w:color="auto" w:fill="auto"/>
            <w:vAlign w:val="center"/>
          </w:tcPr>
          <w:p w14:paraId="2140C43E" w14:textId="43407C8E" w:rsidR="00543CF5" w:rsidRPr="00543CF5" w:rsidRDefault="00543CF5" w:rsidP="00543CF5">
            <w:pPr>
              <w:pStyle w:val="TableRight"/>
            </w:pPr>
            <w:r>
              <w:t>2.</w:t>
            </w:r>
            <w:r w:rsidR="00FA0125">
              <w:t>68</w:t>
            </w:r>
            <w:r w:rsidR="00FA0125" w:rsidRPr="00543CF5">
              <w:t> </w:t>
            </w:r>
          </w:p>
        </w:tc>
      </w:tr>
      <w:tr w:rsidR="00543CF5" w:rsidRPr="00843688" w14:paraId="4C81F5B4" w14:textId="77777777" w:rsidTr="007241DA">
        <w:trPr>
          <w:trHeight w:val="330"/>
        </w:trPr>
        <w:tc>
          <w:tcPr>
            <w:tcW w:w="1250" w:type="pct"/>
            <w:tcBorders>
              <w:top w:val="nil"/>
              <w:left w:val="nil"/>
              <w:bottom w:val="nil"/>
              <w:right w:val="nil"/>
            </w:tcBorders>
            <w:shd w:val="clear" w:color="auto" w:fill="auto"/>
            <w:vAlign w:val="center"/>
            <w:hideMark/>
          </w:tcPr>
          <w:p w14:paraId="60BBBF9B" w14:textId="77777777" w:rsidR="00543CF5" w:rsidRPr="00543CF5" w:rsidRDefault="00543CF5" w:rsidP="00543CF5">
            <w:pPr>
              <w:pStyle w:val="TableLeft"/>
            </w:pPr>
            <w:r w:rsidRPr="00543CF5">
              <w:t>2031-32</w:t>
            </w:r>
          </w:p>
        </w:tc>
        <w:tc>
          <w:tcPr>
            <w:tcW w:w="1250" w:type="pct"/>
            <w:tcBorders>
              <w:top w:val="nil"/>
              <w:left w:val="nil"/>
              <w:bottom w:val="nil"/>
              <w:right w:val="nil"/>
            </w:tcBorders>
            <w:shd w:val="clear" w:color="auto" w:fill="auto"/>
            <w:vAlign w:val="center"/>
            <w:hideMark/>
          </w:tcPr>
          <w:p w14:paraId="1DB29126" w14:textId="77777777" w:rsidR="00543CF5" w:rsidRPr="00543CF5" w:rsidRDefault="00543CF5" w:rsidP="00543CF5">
            <w:pPr>
              <w:pStyle w:val="TableRight"/>
            </w:pPr>
            <w:r w:rsidRPr="00843688">
              <w:t xml:space="preserve"> </w:t>
            </w:r>
            <w:r w:rsidRPr="00543CF5">
              <w:t>500 </w:t>
            </w:r>
          </w:p>
        </w:tc>
        <w:tc>
          <w:tcPr>
            <w:tcW w:w="1250" w:type="pct"/>
            <w:tcBorders>
              <w:top w:val="nil"/>
              <w:left w:val="nil"/>
              <w:bottom w:val="nil"/>
              <w:right w:val="nil"/>
            </w:tcBorders>
            <w:shd w:val="clear" w:color="auto" w:fill="auto"/>
            <w:vAlign w:val="center"/>
            <w:hideMark/>
          </w:tcPr>
          <w:p w14:paraId="66773199" w14:textId="77777777" w:rsidR="00543CF5" w:rsidRPr="00543CF5" w:rsidRDefault="00543CF5" w:rsidP="00543CF5">
            <w:pPr>
              <w:pStyle w:val="TableRight"/>
            </w:pPr>
            <w:r w:rsidRPr="00843688">
              <w:t xml:space="preserve"> </w:t>
            </w:r>
            <w:r w:rsidRPr="00543CF5">
              <w:t>3 </w:t>
            </w:r>
          </w:p>
        </w:tc>
        <w:tc>
          <w:tcPr>
            <w:tcW w:w="1250" w:type="pct"/>
            <w:tcBorders>
              <w:top w:val="nil"/>
              <w:left w:val="nil"/>
              <w:bottom w:val="nil"/>
              <w:right w:val="nil"/>
            </w:tcBorders>
            <w:shd w:val="clear" w:color="auto" w:fill="auto"/>
            <w:vAlign w:val="center"/>
          </w:tcPr>
          <w:p w14:paraId="05B6AFC6" w14:textId="296FA159" w:rsidR="00543CF5" w:rsidRPr="00543CF5" w:rsidRDefault="00FA0125" w:rsidP="00543CF5">
            <w:pPr>
              <w:pStyle w:val="TableRight"/>
            </w:pPr>
            <w:r>
              <w:t>2</w:t>
            </w:r>
            <w:r w:rsidR="00543CF5">
              <w:t>.</w:t>
            </w:r>
            <w:r>
              <w:t>77</w:t>
            </w:r>
            <w:r w:rsidRPr="00543CF5">
              <w:t> </w:t>
            </w:r>
          </w:p>
        </w:tc>
      </w:tr>
      <w:tr w:rsidR="00543CF5" w:rsidRPr="00843688" w14:paraId="3BF13F2B" w14:textId="77777777" w:rsidTr="007241DA">
        <w:trPr>
          <w:trHeight w:val="330"/>
        </w:trPr>
        <w:tc>
          <w:tcPr>
            <w:tcW w:w="1250" w:type="pct"/>
            <w:tcBorders>
              <w:top w:val="nil"/>
              <w:left w:val="nil"/>
              <w:bottom w:val="nil"/>
              <w:right w:val="nil"/>
            </w:tcBorders>
            <w:shd w:val="clear" w:color="auto" w:fill="auto"/>
            <w:vAlign w:val="center"/>
          </w:tcPr>
          <w:p w14:paraId="30BBCBC4" w14:textId="77777777" w:rsidR="00543CF5" w:rsidRPr="00543CF5" w:rsidRDefault="00543CF5" w:rsidP="00543CF5">
            <w:pPr>
              <w:pStyle w:val="TableLeft"/>
            </w:pPr>
            <w:r w:rsidRPr="00543CF5">
              <w:t>2032-33</w:t>
            </w:r>
          </w:p>
        </w:tc>
        <w:tc>
          <w:tcPr>
            <w:tcW w:w="1250" w:type="pct"/>
            <w:tcBorders>
              <w:top w:val="nil"/>
              <w:left w:val="nil"/>
              <w:bottom w:val="nil"/>
              <w:right w:val="nil"/>
            </w:tcBorders>
            <w:shd w:val="clear" w:color="auto" w:fill="auto"/>
            <w:vAlign w:val="center"/>
          </w:tcPr>
          <w:p w14:paraId="2F84DBB8" w14:textId="77777777" w:rsidR="00543CF5" w:rsidRPr="00543CF5" w:rsidRDefault="00543CF5" w:rsidP="00543CF5">
            <w:pPr>
              <w:pStyle w:val="TableRight"/>
            </w:pPr>
            <w:r w:rsidRPr="00843688">
              <w:t>4</w:t>
            </w:r>
            <w:r w:rsidRPr="00543CF5">
              <w:t>87 </w:t>
            </w:r>
          </w:p>
        </w:tc>
        <w:tc>
          <w:tcPr>
            <w:tcW w:w="1250" w:type="pct"/>
            <w:tcBorders>
              <w:top w:val="nil"/>
              <w:left w:val="nil"/>
              <w:bottom w:val="nil"/>
              <w:right w:val="nil"/>
            </w:tcBorders>
            <w:shd w:val="clear" w:color="auto" w:fill="auto"/>
            <w:vAlign w:val="center"/>
          </w:tcPr>
          <w:p w14:paraId="16EE008E" w14:textId="77777777" w:rsidR="00543CF5" w:rsidRPr="00543CF5" w:rsidRDefault="00543CF5" w:rsidP="00543CF5">
            <w:pPr>
              <w:pStyle w:val="TableRight"/>
            </w:pPr>
            <w:r w:rsidRPr="00843688">
              <w:t xml:space="preserve"> </w:t>
            </w:r>
            <w:r w:rsidRPr="00543CF5">
              <w:t>3 </w:t>
            </w:r>
          </w:p>
        </w:tc>
        <w:tc>
          <w:tcPr>
            <w:tcW w:w="1250" w:type="pct"/>
            <w:tcBorders>
              <w:top w:val="nil"/>
              <w:left w:val="nil"/>
              <w:bottom w:val="nil"/>
              <w:right w:val="nil"/>
            </w:tcBorders>
            <w:shd w:val="clear" w:color="auto" w:fill="auto"/>
            <w:vAlign w:val="center"/>
          </w:tcPr>
          <w:p w14:paraId="439811D7" w14:textId="3A8D8A1B" w:rsidR="00543CF5" w:rsidRPr="00543CF5" w:rsidRDefault="00FA0125" w:rsidP="00543CF5">
            <w:pPr>
              <w:pStyle w:val="TableRight"/>
            </w:pPr>
            <w:r>
              <w:t>2.94</w:t>
            </w:r>
            <w:r w:rsidR="00543CF5" w:rsidRPr="00543CF5">
              <w:t> </w:t>
            </w:r>
          </w:p>
        </w:tc>
      </w:tr>
      <w:tr w:rsidR="00543CF5" w:rsidRPr="00843688" w14:paraId="199E9BA3" w14:textId="77777777" w:rsidTr="007241DA">
        <w:trPr>
          <w:trHeight w:val="330"/>
        </w:trPr>
        <w:tc>
          <w:tcPr>
            <w:tcW w:w="1250" w:type="pct"/>
            <w:tcBorders>
              <w:top w:val="nil"/>
              <w:left w:val="nil"/>
              <w:bottom w:val="nil"/>
              <w:right w:val="nil"/>
            </w:tcBorders>
            <w:shd w:val="clear" w:color="auto" w:fill="auto"/>
            <w:vAlign w:val="center"/>
          </w:tcPr>
          <w:p w14:paraId="31113B33" w14:textId="77777777" w:rsidR="00543CF5" w:rsidRPr="00543CF5" w:rsidRDefault="00543CF5" w:rsidP="00543CF5">
            <w:pPr>
              <w:pStyle w:val="TableLeft"/>
            </w:pPr>
            <w:r w:rsidRPr="00543CF5">
              <w:t>2033-34</w:t>
            </w:r>
          </w:p>
        </w:tc>
        <w:tc>
          <w:tcPr>
            <w:tcW w:w="1250" w:type="pct"/>
            <w:tcBorders>
              <w:top w:val="nil"/>
              <w:left w:val="nil"/>
              <w:bottom w:val="nil"/>
              <w:right w:val="nil"/>
            </w:tcBorders>
            <w:shd w:val="clear" w:color="auto" w:fill="auto"/>
            <w:vAlign w:val="center"/>
          </w:tcPr>
          <w:p w14:paraId="7D18E08D" w14:textId="77777777" w:rsidR="00543CF5" w:rsidRPr="00543CF5" w:rsidRDefault="00543CF5" w:rsidP="00543CF5">
            <w:pPr>
              <w:pStyle w:val="TableRight"/>
            </w:pPr>
            <w:r>
              <w:t>200 </w:t>
            </w:r>
          </w:p>
        </w:tc>
        <w:tc>
          <w:tcPr>
            <w:tcW w:w="1250" w:type="pct"/>
            <w:tcBorders>
              <w:top w:val="nil"/>
              <w:left w:val="nil"/>
              <w:bottom w:val="nil"/>
              <w:right w:val="nil"/>
            </w:tcBorders>
            <w:shd w:val="clear" w:color="auto" w:fill="auto"/>
            <w:vAlign w:val="center"/>
          </w:tcPr>
          <w:p w14:paraId="3E6B76EF" w14:textId="77777777" w:rsidR="00543CF5" w:rsidRPr="00543CF5" w:rsidRDefault="00543CF5" w:rsidP="00543CF5">
            <w:pPr>
              <w:pStyle w:val="TableRight"/>
            </w:pPr>
            <w:r>
              <w:t>1 </w:t>
            </w:r>
          </w:p>
        </w:tc>
        <w:tc>
          <w:tcPr>
            <w:tcW w:w="1250" w:type="pct"/>
            <w:tcBorders>
              <w:top w:val="nil"/>
              <w:left w:val="nil"/>
              <w:bottom w:val="nil"/>
              <w:right w:val="nil"/>
            </w:tcBorders>
            <w:shd w:val="clear" w:color="auto" w:fill="auto"/>
            <w:vAlign w:val="center"/>
          </w:tcPr>
          <w:p w14:paraId="3BBE9673" w14:textId="77777777" w:rsidR="00543CF5" w:rsidRPr="00543CF5" w:rsidRDefault="00543CF5" w:rsidP="00543CF5">
            <w:pPr>
              <w:pStyle w:val="TableRight"/>
            </w:pPr>
            <w:r>
              <w:t>4.29</w:t>
            </w:r>
            <w:r w:rsidRPr="00543CF5">
              <w:t> </w:t>
            </w:r>
          </w:p>
        </w:tc>
      </w:tr>
      <w:tr w:rsidR="00543CF5" w:rsidRPr="00843688" w14:paraId="3FB49D44" w14:textId="77777777" w:rsidTr="007241DA">
        <w:trPr>
          <w:trHeight w:val="330"/>
        </w:trPr>
        <w:tc>
          <w:tcPr>
            <w:tcW w:w="1250" w:type="pct"/>
            <w:tcBorders>
              <w:top w:val="nil"/>
              <w:left w:val="nil"/>
              <w:bottom w:val="nil"/>
              <w:right w:val="nil"/>
            </w:tcBorders>
            <w:shd w:val="clear" w:color="auto" w:fill="auto"/>
            <w:vAlign w:val="center"/>
            <w:hideMark/>
          </w:tcPr>
          <w:p w14:paraId="74C5783B" w14:textId="77777777" w:rsidR="00543CF5" w:rsidRPr="00543CF5" w:rsidRDefault="00543CF5" w:rsidP="00543CF5">
            <w:pPr>
              <w:pStyle w:val="TableLeft"/>
            </w:pPr>
            <w:r w:rsidRPr="00543CF5">
              <w:t>2035-36</w:t>
            </w:r>
          </w:p>
        </w:tc>
        <w:tc>
          <w:tcPr>
            <w:tcW w:w="1250" w:type="pct"/>
            <w:tcBorders>
              <w:top w:val="nil"/>
              <w:left w:val="nil"/>
              <w:bottom w:val="nil"/>
              <w:right w:val="nil"/>
            </w:tcBorders>
            <w:shd w:val="clear" w:color="auto" w:fill="auto"/>
            <w:vAlign w:val="center"/>
            <w:hideMark/>
          </w:tcPr>
          <w:p w14:paraId="56A25C3A" w14:textId="77777777" w:rsidR="00543CF5" w:rsidRPr="00543CF5" w:rsidRDefault="00543CF5" w:rsidP="00543CF5">
            <w:pPr>
              <w:pStyle w:val="TableRight"/>
            </w:pPr>
            <w:r w:rsidRPr="00843688">
              <w:t xml:space="preserve"> 125 </w:t>
            </w:r>
          </w:p>
        </w:tc>
        <w:tc>
          <w:tcPr>
            <w:tcW w:w="1250" w:type="pct"/>
            <w:tcBorders>
              <w:top w:val="nil"/>
              <w:left w:val="nil"/>
              <w:bottom w:val="nil"/>
              <w:right w:val="nil"/>
            </w:tcBorders>
            <w:shd w:val="clear" w:color="auto" w:fill="auto"/>
            <w:vAlign w:val="center"/>
            <w:hideMark/>
          </w:tcPr>
          <w:p w14:paraId="2DB91362" w14:textId="77777777" w:rsidR="00543CF5" w:rsidRPr="00543CF5" w:rsidRDefault="00543CF5" w:rsidP="00543CF5">
            <w:pPr>
              <w:pStyle w:val="TableRight"/>
            </w:pPr>
            <w:r w:rsidRPr="00843688">
              <w:t xml:space="preserve"> 1 </w:t>
            </w:r>
          </w:p>
        </w:tc>
        <w:tc>
          <w:tcPr>
            <w:tcW w:w="1250" w:type="pct"/>
            <w:tcBorders>
              <w:top w:val="nil"/>
              <w:left w:val="nil"/>
              <w:bottom w:val="nil"/>
              <w:right w:val="nil"/>
            </w:tcBorders>
            <w:shd w:val="clear" w:color="auto" w:fill="auto"/>
            <w:vAlign w:val="center"/>
          </w:tcPr>
          <w:p w14:paraId="3029692D" w14:textId="77777777" w:rsidR="00543CF5" w:rsidRPr="00543CF5" w:rsidRDefault="00543CF5" w:rsidP="00543CF5">
            <w:pPr>
              <w:pStyle w:val="TableRight"/>
            </w:pPr>
            <w:r>
              <w:t>1.88 </w:t>
            </w:r>
          </w:p>
        </w:tc>
      </w:tr>
      <w:tr w:rsidR="00543CF5" w:rsidRPr="00843688" w14:paraId="5F13045F" w14:textId="77777777" w:rsidTr="007241DA">
        <w:trPr>
          <w:trHeight w:val="330"/>
        </w:trPr>
        <w:tc>
          <w:tcPr>
            <w:tcW w:w="1250" w:type="pct"/>
            <w:tcBorders>
              <w:top w:val="nil"/>
              <w:left w:val="nil"/>
              <w:bottom w:val="nil"/>
              <w:right w:val="nil"/>
            </w:tcBorders>
            <w:shd w:val="clear" w:color="auto" w:fill="auto"/>
            <w:vAlign w:val="center"/>
            <w:hideMark/>
          </w:tcPr>
          <w:p w14:paraId="0F022335" w14:textId="77777777" w:rsidR="00543CF5" w:rsidRPr="00543CF5" w:rsidRDefault="00543CF5" w:rsidP="00543CF5">
            <w:pPr>
              <w:pStyle w:val="TableLeft"/>
            </w:pPr>
            <w:r w:rsidRPr="00543CF5">
              <w:t>2041-42</w:t>
            </w:r>
          </w:p>
        </w:tc>
        <w:tc>
          <w:tcPr>
            <w:tcW w:w="1250" w:type="pct"/>
            <w:tcBorders>
              <w:top w:val="nil"/>
              <w:left w:val="nil"/>
              <w:bottom w:val="single" w:sz="4" w:space="0" w:color="auto"/>
              <w:right w:val="nil"/>
            </w:tcBorders>
            <w:shd w:val="clear" w:color="auto" w:fill="auto"/>
            <w:vAlign w:val="center"/>
            <w:hideMark/>
          </w:tcPr>
          <w:p w14:paraId="600D5223" w14:textId="77777777" w:rsidR="00543CF5" w:rsidRPr="00543CF5" w:rsidRDefault="00543CF5" w:rsidP="00543CF5">
            <w:pPr>
              <w:pStyle w:val="TableRight"/>
            </w:pPr>
            <w:r w:rsidRPr="00843688">
              <w:t xml:space="preserve"> 150 </w:t>
            </w:r>
          </w:p>
        </w:tc>
        <w:tc>
          <w:tcPr>
            <w:tcW w:w="1250" w:type="pct"/>
            <w:tcBorders>
              <w:top w:val="nil"/>
              <w:left w:val="nil"/>
              <w:bottom w:val="single" w:sz="4" w:space="0" w:color="auto"/>
              <w:right w:val="nil"/>
            </w:tcBorders>
            <w:shd w:val="clear" w:color="auto" w:fill="auto"/>
            <w:vAlign w:val="center"/>
            <w:hideMark/>
          </w:tcPr>
          <w:p w14:paraId="7A14F728" w14:textId="77777777" w:rsidR="00543CF5" w:rsidRPr="00543CF5" w:rsidRDefault="00543CF5" w:rsidP="00543CF5">
            <w:pPr>
              <w:pStyle w:val="TableRight"/>
            </w:pPr>
            <w:r w:rsidRPr="00843688">
              <w:t xml:space="preserve"> 1 </w:t>
            </w:r>
          </w:p>
        </w:tc>
        <w:tc>
          <w:tcPr>
            <w:tcW w:w="1250" w:type="pct"/>
            <w:tcBorders>
              <w:top w:val="nil"/>
              <w:left w:val="nil"/>
              <w:bottom w:val="single" w:sz="4" w:space="0" w:color="auto"/>
              <w:right w:val="nil"/>
            </w:tcBorders>
            <w:shd w:val="clear" w:color="auto" w:fill="auto"/>
            <w:vAlign w:val="center"/>
          </w:tcPr>
          <w:p w14:paraId="115AAFB2" w14:textId="77777777" w:rsidR="00543CF5" w:rsidRPr="00543CF5" w:rsidRDefault="00543CF5" w:rsidP="00543CF5">
            <w:pPr>
              <w:pStyle w:val="TableRight"/>
            </w:pPr>
            <w:r>
              <w:t>2.41 </w:t>
            </w:r>
          </w:p>
        </w:tc>
      </w:tr>
      <w:tr w:rsidR="00543CF5" w:rsidRPr="00843688" w14:paraId="2D1403B5" w14:textId="77777777" w:rsidTr="007241DA">
        <w:trPr>
          <w:trHeight w:val="330"/>
        </w:trPr>
        <w:tc>
          <w:tcPr>
            <w:tcW w:w="1250" w:type="pct"/>
            <w:tcBorders>
              <w:top w:val="nil"/>
              <w:left w:val="nil"/>
              <w:bottom w:val="nil"/>
              <w:right w:val="nil"/>
            </w:tcBorders>
            <w:shd w:val="clear" w:color="auto" w:fill="auto"/>
            <w:vAlign w:val="center"/>
            <w:hideMark/>
          </w:tcPr>
          <w:p w14:paraId="779BA000" w14:textId="77777777" w:rsidR="00543CF5" w:rsidRPr="00543CF5" w:rsidRDefault="00543CF5" w:rsidP="00543CF5">
            <w:pPr>
              <w:pStyle w:val="TableLeftHeading"/>
            </w:pPr>
            <w:r w:rsidRPr="00543CF5">
              <w:t>Total</w:t>
            </w:r>
          </w:p>
        </w:tc>
        <w:tc>
          <w:tcPr>
            <w:tcW w:w="1250" w:type="pct"/>
            <w:tcBorders>
              <w:top w:val="single" w:sz="4" w:space="0" w:color="auto"/>
              <w:left w:val="nil"/>
              <w:bottom w:val="double" w:sz="4" w:space="0" w:color="auto"/>
              <w:right w:val="nil"/>
            </w:tcBorders>
            <w:shd w:val="clear" w:color="auto" w:fill="auto"/>
            <w:vAlign w:val="center"/>
            <w:hideMark/>
          </w:tcPr>
          <w:p w14:paraId="28562AFE" w14:textId="77777777" w:rsidR="00543CF5" w:rsidRPr="00543CF5" w:rsidRDefault="00543CF5" w:rsidP="00543CF5">
            <w:pPr>
              <w:pStyle w:val="TableRightHeading"/>
            </w:pPr>
            <w:r w:rsidRPr="00843688">
              <w:t xml:space="preserve">2 </w:t>
            </w:r>
            <w:r w:rsidRPr="00543CF5">
              <w:t>840 </w:t>
            </w:r>
          </w:p>
        </w:tc>
        <w:tc>
          <w:tcPr>
            <w:tcW w:w="1250" w:type="pct"/>
            <w:tcBorders>
              <w:top w:val="single" w:sz="4" w:space="0" w:color="auto"/>
              <w:left w:val="nil"/>
              <w:bottom w:val="double" w:sz="4" w:space="0" w:color="auto"/>
              <w:right w:val="nil"/>
            </w:tcBorders>
            <w:shd w:val="clear" w:color="auto" w:fill="auto"/>
            <w:vAlign w:val="center"/>
            <w:hideMark/>
          </w:tcPr>
          <w:p w14:paraId="0CBC2A05" w14:textId="77777777" w:rsidR="00543CF5" w:rsidRPr="00543CF5" w:rsidRDefault="00543CF5" w:rsidP="00543CF5">
            <w:pPr>
              <w:pStyle w:val="TableRightHeading"/>
            </w:pPr>
            <w:r w:rsidRPr="00843688">
              <w:t xml:space="preserve"> 3</w:t>
            </w:r>
            <w:r w:rsidRPr="00543CF5">
              <w:t>9 </w:t>
            </w:r>
          </w:p>
        </w:tc>
        <w:tc>
          <w:tcPr>
            <w:tcW w:w="1250" w:type="pct"/>
            <w:tcBorders>
              <w:top w:val="single" w:sz="4" w:space="0" w:color="auto"/>
              <w:left w:val="nil"/>
              <w:bottom w:val="double" w:sz="4" w:space="0" w:color="auto"/>
              <w:right w:val="nil"/>
            </w:tcBorders>
            <w:shd w:val="clear" w:color="auto" w:fill="auto"/>
            <w:vAlign w:val="center"/>
          </w:tcPr>
          <w:p w14:paraId="29A4A9D4" w14:textId="06139694" w:rsidR="00543CF5" w:rsidRPr="00543CF5" w:rsidRDefault="00543CF5" w:rsidP="00543CF5">
            <w:pPr>
              <w:pStyle w:val="TableRightHeading"/>
            </w:pPr>
            <w:r>
              <w:t>2.48</w:t>
            </w:r>
            <w:r w:rsidRPr="00543CF5">
              <w:rPr>
                <w:rStyle w:val="TableSuperscriptChar"/>
              </w:rPr>
              <w:t>1</w:t>
            </w:r>
          </w:p>
        </w:tc>
      </w:tr>
      <w:tr w:rsidR="00543CF5" w:rsidRPr="00843688" w14:paraId="630C3ED4" w14:textId="77777777" w:rsidTr="007241DA">
        <w:trPr>
          <w:trHeight w:val="290"/>
        </w:trPr>
        <w:tc>
          <w:tcPr>
            <w:tcW w:w="1250" w:type="pct"/>
            <w:tcBorders>
              <w:top w:val="nil"/>
              <w:left w:val="nil"/>
              <w:bottom w:val="single" w:sz="4" w:space="0" w:color="auto"/>
              <w:right w:val="nil"/>
            </w:tcBorders>
            <w:shd w:val="clear" w:color="auto" w:fill="auto"/>
            <w:noWrap/>
            <w:vAlign w:val="bottom"/>
            <w:hideMark/>
          </w:tcPr>
          <w:p w14:paraId="73DEFA7C" w14:textId="77777777" w:rsidR="00543CF5" w:rsidRPr="00543CF5" w:rsidRDefault="00543CF5" w:rsidP="00EC608B">
            <w:pPr>
              <w:pStyle w:val="TableLeftHeading"/>
            </w:pPr>
            <w:r w:rsidRPr="00543CF5">
              <w:t> </w:t>
            </w:r>
          </w:p>
        </w:tc>
        <w:tc>
          <w:tcPr>
            <w:tcW w:w="1250" w:type="pct"/>
            <w:tcBorders>
              <w:top w:val="double" w:sz="4" w:space="0" w:color="auto"/>
              <w:left w:val="nil"/>
              <w:bottom w:val="single" w:sz="4" w:space="0" w:color="auto"/>
              <w:right w:val="nil"/>
            </w:tcBorders>
            <w:shd w:val="clear" w:color="auto" w:fill="auto"/>
            <w:noWrap/>
            <w:vAlign w:val="bottom"/>
            <w:hideMark/>
          </w:tcPr>
          <w:p w14:paraId="4C3C6F0B" w14:textId="77777777" w:rsidR="00543CF5" w:rsidRPr="00543CF5" w:rsidRDefault="00543CF5" w:rsidP="00EC608B">
            <w:pPr>
              <w:pStyle w:val="TableLeftHeading"/>
            </w:pPr>
            <w:r w:rsidRPr="00543CF5">
              <w:t> </w:t>
            </w:r>
          </w:p>
        </w:tc>
        <w:tc>
          <w:tcPr>
            <w:tcW w:w="1250" w:type="pct"/>
            <w:tcBorders>
              <w:top w:val="double" w:sz="4" w:space="0" w:color="auto"/>
              <w:left w:val="nil"/>
              <w:bottom w:val="single" w:sz="4" w:space="0" w:color="auto"/>
              <w:right w:val="nil"/>
            </w:tcBorders>
            <w:shd w:val="clear" w:color="auto" w:fill="auto"/>
            <w:noWrap/>
            <w:vAlign w:val="bottom"/>
            <w:hideMark/>
          </w:tcPr>
          <w:p w14:paraId="457CC68C" w14:textId="77777777" w:rsidR="00543CF5" w:rsidRPr="00543CF5" w:rsidRDefault="00543CF5" w:rsidP="00EC608B">
            <w:pPr>
              <w:pStyle w:val="TableLeftHeading"/>
            </w:pPr>
            <w:r w:rsidRPr="00543CF5">
              <w:t> </w:t>
            </w:r>
          </w:p>
        </w:tc>
        <w:tc>
          <w:tcPr>
            <w:tcW w:w="1250" w:type="pct"/>
            <w:tcBorders>
              <w:top w:val="double" w:sz="4" w:space="0" w:color="auto"/>
              <w:left w:val="nil"/>
              <w:bottom w:val="single" w:sz="4" w:space="0" w:color="auto"/>
              <w:right w:val="nil"/>
            </w:tcBorders>
            <w:shd w:val="clear" w:color="auto" w:fill="auto"/>
            <w:noWrap/>
            <w:vAlign w:val="bottom"/>
            <w:hideMark/>
          </w:tcPr>
          <w:p w14:paraId="5ED9C29F" w14:textId="77777777" w:rsidR="00543CF5" w:rsidRPr="00543CF5" w:rsidRDefault="00543CF5" w:rsidP="00EC608B">
            <w:pPr>
              <w:pStyle w:val="TableLeftHeading"/>
            </w:pPr>
            <w:r w:rsidRPr="00543CF5">
              <w:t> </w:t>
            </w:r>
          </w:p>
        </w:tc>
      </w:tr>
    </w:tbl>
    <w:p w14:paraId="67D32886" w14:textId="77777777" w:rsidR="00543CF5" w:rsidRDefault="00543CF5" w:rsidP="00543CF5">
      <w:pPr>
        <w:pStyle w:val="NotesHeading"/>
      </w:pPr>
      <w:r>
        <w:t>Note:</w:t>
      </w:r>
    </w:p>
    <w:p w14:paraId="2AC690E5" w14:textId="77777777" w:rsidR="00543CF5" w:rsidRPr="00A53DC8" w:rsidRDefault="00543CF5" w:rsidP="00964183">
      <w:pPr>
        <w:pStyle w:val="Notes0"/>
        <w:numPr>
          <w:ilvl w:val="0"/>
          <w:numId w:val="7"/>
        </w:numPr>
      </w:pPr>
      <w:r>
        <w:t xml:space="preserve">The total </w:t>
      </w:r>
      <w:r w:rsidRPr="00D47CB8">
        <w:t>represents</w:t>
      </w:r>
      <w:r>
        <w:t xml:space="preserve"> the weighted average interest rate of the loan portfolio.</w:t>
      </w:r>
    </w:p>
    <w:p w14:paraId="236A403C" w14:textId="77777777" w:rsidR="00543CF5" w:rsidRPr="00843688" w:rsidRDefault="00543CF5" w:rsidP="00B47C86">
      <w:pPr>
        <w:pStyle w:val="Body"/>
      </w:pPr>
    </w:p>
    <w:p w14:paraId="24F3B419" w14:textId="77777777" w:rsidR="00543CF5" w:rsidRDefault="00543CF5">
      <w:pPr>
        <w:rPr>
          <w:rFonts w:eastAsiaTheme="majorEastAsia" w:cstheme="majorBidi"/>
          <w:smallCaps/>
          <w:sz w:val="48"/>
          <w:szCs w:val="26"/>
        </w:rPr>
      </w:pPr>
      <w:r>
        <w:br w:type="page"/>
      </w:r>
    </w:p>
    <w:p w14:paraId="655294CF" w14:textId="06DB4506" w:rsidR="00543CF5" w:rsidRPr="00843688" w:rsidRDefault="00543CF5" w:rsidP="00543CF5">
      <w:pPr>
        <w:pStyle w:val="Heading2"/>
      </w:pPr>
      <w:r w:rsidRPr="00843688">
        <w:lastRenderedPageBreak/>
        <w:t>Debt Servicing Costs</w:t>
      </w:r>
    </w:p>
    <w:p w14:paraId="2C23B326" w14:textId="2E98A214" w:rsidR="00543CF5" w:rsidRPr="00843688" w:rsidRDefault="00543CF5" w:rsidP="00543CF5">
      <w:pPr>
        <w:pStyle w:val="Body"/>
      </w:pPr>
      <w:r w:rsidRPr="00843688">
        <w:t>Borrowing Costs are influenced by prevailing interest rates and the level of borrowings. A standard measure of the debt servicing burden is the Net Interest Cost Ratio which calculates the percentage of revenue which is allocated to service debt</w:t>
      </w:r>
      <w:r w:rsidRPr="000C23B0">
        <w:t>. Table</w:t>
      </w:r>
      <w:r w:rsidR="00087CBF">
        <w:t> </w:t>
      </w:r>
      <w:r w:rsidRPr="000C23B0">
        <w:t xml:space="preserve">7.5 shows the General Government </w:t>
      </w:r>
      <w:r w:rsidR="00B039E1">
        <w:t xml:space="preserve">Sector </w:t>
      </w:r>
      <w:r w:rsidRPr="000C23B0">
        <w:t>Net</w:t>
      </w:r>
      <w:r w:rsidR="001A7A30">
        <w:t> </w:t>
      </w:r>
      <w:r w:rsidRPr="000C23B0">
        <w:t>Interest Cost Ratio for the 2022</w:t>
      </w:r>
      <w:r w:rsidRPr="000C23B0">
        <w:noBreakHyphen/>
        <w:t>23</w:t>
      </w:r>
      <w:r w:rsidR="00087CBF">
        <w:t> </w:t>
      </w:r>
      <w:r w:rsidRPr="000C23B0">
        <w:t>Budget and Estimated Outcome and over the 2023</w:t>
      </w:r>
      <w:r w:rsidRPr="000C23B0">
        <w:noBreakHyphen/>
        <w:t>24</w:t>
      </w:r>
      <w:r w:rsidR="001A7A30">
        <w:t> </w:t>
      </w:r>
      <w:r w:rsidRPr="000C23B0">
        <w:t>Budget and Forward</w:t>
      </w:r>
      <w:r w:rsidR="001A7A30">
        <w:t> </w:t>
      </w:r>
      <w:r w:rsidRPr="000C23B0">
        <w:t>Estimates.</w:t>
      </w:r>
    </w:p>
    <w:p w14:paraId="709C8C7F" w14:textId="67AC8E9F" w:rsidR="00543CF5" w:rsidRPr="00843688" w:rsidRDefault="00543CF5" w:rsidP="00543CF5">
      <w:pPr>
        <w:pStyle w:val="Heading6"/>
      </w:pPr>
      <w:r w:rsidRPr="00843688">
        <w:t>Table 7.5</w:t>
      </w:r>
      <w:r>
        <w:t>:</w:t>
      </w:r>
      <w:r w:rsidRPr="00843688">
        <w:t xml:space="preserve"> </w:t>
      </w:r>
      <w:r w:rsidRPr="00843688">
        <w:tab/>
        <w:t xml:space="preserve">General Government </w:t>
      </w:r>
      <w:r w:rsidR="00B039E1">
        <w:t xml:space="preserve">Sector </w:t>
      </w:r>
      <w:r w:rsidRPr="00843688">
        <w:t>Net Interest Cost Ratio</w:t>
      </w:r>
    </w:p>
    <w:tbl>
      <w:tblPr>
        <w:tblW w:w="9582" w:type="dxa"/>
        <w:tblLayout w:type="fixed"/>
        <w:tblLook w:val="04A0" w:firstRow="1" w:lastRow="0" w:firstColumn="1" w:lastColumn="0" w:noHBand="0" w:noVBand="1"/>
      </w:tblPr>
      <w:tblGrid>
        <w:gridCol w:w="3288"/>
        <w:gridCol w:w="1049"/>
        <w:gridCol w:w="1049"/>
        <w:gridCol w:w="1049"/>
        <w:gridCol w:w="1049"/>
        <w:gridCol w:w="1049"/>
        <w:gridCol w:w="1049"/>
      </w:tblGrid>
      <w:tr w:rsidR="00543CF5" w:rsidRPr="00843688" w14:paraId="04DC7AA5" w14:textId="77777777" w:rsidTr="001B5757">
        <w:trPr>
          <w:trHeight w:val="300"/>
        </w:trPr>
        <w:tc>
          <w:tcPr>
            <w:tcW w:w="3288" w:type="dxa"/>
            <w:tcBorders>
              <w:top w:val="single" w:sz="4" w:space="0" w:color="auto"/>
            </w:tcBorders>
            <w:shd w:val="clear" w:color="auto" w:fill="auto"/>
            <w:noWrap/>
            <w:vAlign w:val="bottom"/>
            <w:hideMark/>
          </w:tcPr>
          <w:p w14:paraId="40C6E038" w14:textId="77777777" w:rsidR="00543CF5" w:rsidRPr="00543CF5" w:rsidRDefault="00543CF5" w:rsidP="00606E69">
            <w:pPr>
              <w:pStyle w:val="TableRightHeading"/>
            </w:pPr>
            <w:r w:rsidRPr="00843688">
              <w:t> </w:t>
            </w:r>
          </w:p>
        </w:tc>
        <w:tc>
          <w:tcPr>
            <w:tcW w:w="1049" w:type="dxa"/>
            <w:tcBorders>
              <w:top w:val="single" w:sz="4" w:space="0" w:color="auto"/>
            </w:tcBorders>
            <w:shd w:val="clear" w:color="auto" w:fill="auto"/>
            <w:noWrap/>
            <w:hideMark/>
          </w:tcPr>
          <w:p w14:paraId="28949664" w14:textId="77777777" w:rsidR="00543CF5" w:rsidRPr="00543CF5" w:rsidRDefault="00543CF5" w:rsidP="00606E69">
            <w:pPr>
              <w:pStyle w:val="TableRightHeading"/>
            </w:pPr>
            <w:r w:rsidRPr="001335FD">
              <w:t>2022-23</w:t>
            </w:r>
          </w:p>
        </w:tc>
        <w:tc>
          <w:tcPr>
            <w:tcW w:w="1049" w:type="dxa"/>
            <w:tcBorders>
              <w:top w:val="single" w:sz="4" w:space="0" w:color="auto"/>
            </w:tcBorders>
            <w:shd w:val="clear" w:color="auto" w:fill="auto"/>
            <w:noWrap/>
            <w:hideMark/>
          </w:tcPr>
          <w:p w14:paraId="675A5032" w14:textId="77777777" w:rsidR="00543CF5" w:rsidRPr="00543CF5" w:rsidRDefault="00543CF5" w:rsidP="00606E69">
            <w:pPr>
              <w:pStyle w:val="TableRightHeading"/>
            </w:pPr>
            <w:r w:rsidRPr="001335FD">
              <w:t>2022-23</w:t>
            </w:r>
          </w:p>
        </w:tc>
        <w:tc>
          <w:tcPr>
            <w:tcW w:w="1049" w:type="dxa"/>
            <w:tcBorders>
              <w:top w:val="single" w:sz="4" w:space="0" w:color="auto"/>
            </w:tcBorders>
            <w:shd w:val="clear" w:color="auto" w:fill="auto"/>
            <w:noWrap/>
            <w:vAlign w:val="bottom"/>
            <w:hideMark/>
          </w:tcPr>
          <w:p w14:paraId="0EC36E27" w14:textId="77777777" w:rsidR="00543CF5" w:rsidRPr="00543CF5" w:rsidRDefault="00543CF5" w:rsidP="00606E69">
            <w:pPr>
              <w:pStyle w:val="TableRightHeading"/>
            </w:pPr>
            <w:r w:rsidRPr="00843688">
              <w:t>202</w:t>
            </w:r>
            <w:r w:rsidRPr="00543CF5">
              <w:t>3-24</w:t>
            </w:r>
          </w:p>
        </w:tc>
        <w:tc>
          <w:tcPr>
            <w:tcW w:w="1049" w:type="dxa"/>
            <w:tcBorders>
              <w:top w:val="single" w:sz="4" w:space="0" w:color="auto"/>
            </w:tcBorders>
            <w:shd w:val="clear" w:color="auto" w:fill="auto"/>
            <w:noWrap/>
            <w:vAlign w:val="bottom"/>
            <w:hideMark/>
          </w:tcPr>
          <w:p w14:paraId="7A65756D" w14:textId="77777777" w:rsidR="00543CF5" w:rsidRPr="00543CF5" w:rsidRDefault="00543CF5" w:rsidP="00606E69">
            <w:pPr>
              <w:pStyle w:val="TableRightHeading"/>
            </w:pPr>
            <w:r w:rsidRPr="00843688">
              <w:t>202</w:t>
            </w:r>
            <w:r w:rsidRPr="00543CF5">
              <w:t>4-25</w:t>
            </w:r>
          </w:p>
        </w:tc>
        <w:tc>
          <w:tcPr>
            <w:tcW w:w="1049" w:type="dxa"/>
            <w:tcBorders>
              <w:top w:val="single" w:sz="4" w:space="0" w:color="auto"/>
            </w:tcBorders>
            <w:shd w:val="clear" w:color="auto" w:fill="auto"/>
            <w:noWrap/>
            <w:vAlign w:val="bottom"/>
            <w:hideMark/>
          </w:tcPr>
          <w:p w14:paraId="2156DDB2" w14:textId="77777777" w:rsidR="00543CF5" w:rsidRPr="00543CF5" w:rsidRDefault="00543CF5" w:rsidP="00606E69">
            <w:pPr>
              <w:pStyle w:val="TableRightHeading"/>
            </w:pPr>
            <w:r w:rsidRPr="00843688">
              <w:t>202</w:t>
            </w:r>
            <w:r w:rsidRPr="00543CF5">
              <w:t>5-26</w:t>
            </w:r>
          </w:p>
        </w:tc>
        <w:tc>
          <w:tcPr>
            <w:tcW w:w="1049" w:type="dxa"/>
            <w:tcBorders>
              <w:top w:val="single" w:sz="4" w:space="0" w:color="auto"/>
            </w:tcBorders>
            <w:shd w:val="clear" w:color="auto" w:fill="auto"/>
            <w:noWrap/>
            <w:vAlign w:val="bottom"/>
            <w:hideMark/>
          </w:tcPr>
          <w:p w14:paraId="1C83BC53" w14:textId="77777777" w:rsidR="00543CF5" w:rsidRPr="00543CF5" w:rsidRDefault="00543CF5" w:rsidP="00606E69">
            <w:pPr>
              <w:pStyle w:val="TableRightHeading"/>
            </w:pPr>
            <w:r w:rsidRPr="00843688">
              <w:t>202</w:t>
            </w:r>
            <w:r w:rsidRPr="00543CF5">
              <w:t>6-27</w:t>
            </w:r>
          </w:p>
        </w:tc>
      </w:tr>
      <w:tr w:rsidR="00606E69" w:rsidRPr="00843688" w14:paraId="582A8809" w14:textId="77777777" w:rsidTr="00606E69">
        <w:trPr>
          <w:trHeight w:val="300"/>
        </w:trPr>
        <w:tc>
          <w:tcPr>
            <w:tcW w:w="3288" w:type="dxa"/>
            <w:shd w:val="clear" w:color="auto" w:fill="auto"/>
            <w:noWrap/>
            <w:vAlign w:val="bottom"/>
          </w:tcPr>
          <w:p w14:paraId="1959D227" w14:textId="277256EA" w:rsidR="00543CF5" w:rsidRPr="00543CF5" w:rsidRDefault="00543CF5" w:rsidP="00606E69">
            <w:pPr>
              <w:pStyle w:val="TableRightHeading"/>
            </w:pPr>
          </w:p>
        </w:tc>
        <w:tc>
          <w:tcPr>
            <w:tcW w:w="1049" w:type="dxa"/>
            <w:shd w:val="clear" w:color="auto" w:fill="auto"/>
          </w:tcPr>
          <w:p w14:paraId="18363F8E" w14:textId="716C6786" w:rsidR="00543CF5" w:rsidRPr="00543CF5" w:rsidRDefault="00543CF5" w:rsidP="00606E69">
            <w:pPr>
              <w:pStyle w:val="TableRightHeading"/>
            </w:pPr>
          </w:p>
        </w:tc>
        <w:tc>
          <w:tcPr>
            <w:tcW w:w="1049" w:type="dxa"/>
            <w:shd w:val="clear" w:color="auto" w:fill="auto"/>
            <w:hideMark/>
          </w:tcPr>
          <w:p w14:paraId="7430E361" w14:textId="7705FF72" w:rsidR="00543CF5" w:rsidRPr="00543CF5" w:rsidRDefault="00D47CB8" w:rsidP="001B5757">
            <w:pPr>
              <w:pStyle w:val="TableRightHeading"/>
              <w:ind w:left="-192"/>
            </w:pPr>
            <w:r w:rsidRPr="00843688">
              <w:t>Estimated</w:t>
            </w:r>
          </w:p>
        </w:tc>
        <w:tc>
          <w:tcPr>
            <w:tcW w:w="1049" w:type="dxa"/>
            <w:shd w:val="clear" w:color="auto" w:fill="auto"/>
            <w:hideMark/>
          </w:tcPr>
          <w:p w14:paraId="379C15C0" w14:textId="47B1AE0A" w:rsidR="00543CF5" w:rsidRPr="00543CF5" w:rsidRDefault="00543CF5" w:rsidP="00606E69">
            <w:pPr>
              <w:pStyle w:val="TableRightHeading"/>
            </w:pPr>
          </w:p>
        </w:tc>
        <w:tc>
          <w:tcPr>
            <w:tcW w:w="1049" w:type="dxa"/>
            <w:shd w:val="clear" w:color="auto" w:fill="auto"/>
            <w:hideMark/>
          </w:tcPr>
          <w:p w14:paraId="34742EDA" w14:textId="3DA0EC2E" w:rsidR="00543CF5" w:rsidRPr="00543CF5" w:rsidRDefault="00543CF5" w:rsidP="00087CBF">
            <w:pPr>
              <w:pStyle w:val="TableRightHeading"/>
            </w:pPr>
            <w:r w:rsidRPr="00843688">
              <w:t>Forward</w:t>
            </w:r>
          </w:p>
        </w:tc>
        <w:tc>
          <w:tcPr>
            <w:tcW w:w="1049" w:type="dxa"/>
            <w:shd w:val="clear" w:color="auto" w:fill="auto"/>
            <w:hideMark/>
          </w:tcPr>
          <w:p w14:paraId="00BABA05" w14:textId="315C3780" w:rsidR="00543CF5" w:rsidRPr="00543CF5" w:rsidRDefault="00543CF5" w:rsidP="00087CBF">
            <w:pPr>
              <w:pStyle w:val="TableRightHeading"/>
            </w:pPr>
            <w:r w:rsidRPr="00843688">
              <w:t xml:space="preserve">Forward </w:t>
            </w:r>
          </w:p>
        </w:tc>
        <w:tc>
          <w:tcPr>
            <w:tcW w:w="1049" w:type="dxa"/>
            <w:shd w:val="clear" w:color="auto" w:fill="auto"/>
            <w:hideMark/>
          </w:tcPr>
          <w:p w14:paraId="1FD8B87E" w14:textId="1DC0B4DE" w:rsidR="00543CF5" w:rsidRPr="00543CF5" w:rsidRDefault="00543CF5" w:rsidP="00087CBF">
            <w:pPr>
              <w:pStyle w:val="TableRightHeading"/>
            </w:pPr>
            <w:r w:rsidRPr="00843688">
              <w:t>Forward</w:t>
            </w:r>
          </w:p>
        </w:tc>
      </w:tr>
      <w:tr w:rsidR="00087CBF" w:rsidRPr="00843688" w14:paraId="1125C007" w14:textId="77777777" w:rsidTr="001B5757">
        <w:trPr>
          <w:trHeight w:val="300"/>
        </w:trPr>
        <w:tc>
          <w:tcPr>
            <w:tcW w:w="3288" w:type="dxa"/>
            <w:tcBorders>
              <w:bottom w:val="single" w:sz="4" w:space="0" w:color="auto"/>
            </w:tcBorders>
            <w:shd w:val="clear" w:color="auto" w:fill="auto"/>
            <w:noWrap/>
            <w:vAlign w:val="bottom"/>
          </w:tcPr>
          <w:p w14:paraId="6C5531D0" w14:textId="77777777" w:rsidR="00087CBF" w:rsidRPr="00843688" w:rsidRDefault="00087CBF" w:rsidP="00606E69">
            <w:pPr>
              <w:pStyle w:val="TableRightHeading"/>
            </w:pPr>
          </w:p>
        </w:tc>
        <w:tc>
          <w:tcPr>
            <w:tcW w:w="1049" w:type="dxa"/>
            <w:tcBorders>
              <w:bottom w:val="single" w:sz="4" w:space="0" w:color="auto"/>
            </w:tcBorders>
            <w:shd w:val="clear" w:color="auto" w:fill="auto"/>
          </w:tcPr>
          <w:p w14:paraId="1B64F89E" w14:textId="3957FC32" w:rsidR="00087CBF" w:rsidRPr="00843688" w:rsidRDefault="00087CBF" w:rsidP="00606E69">
            <w:pPr>
              <w:pStyle w:val="TableRightHeading"/>
            </w:pPr>
            <w:r w:rsidRPr="00843688">
              <w:t>Budget</w:t>
            </w:r>
          </w:p>
        </w:tc>
        <w:tc>
          <w:tcPr>
            <w:tcW w:w="1049" w:type="dxa"/>
            <w:tcBorders>
              <w:bottom w:val="single" w:sz="4" w:space="0" w:color="auto"/>
            </w:tcBorders>
            <w:shd w:val="clear" w:color="auto" w:fill="auto"/>
          </w:tcPr>
          <w:p w14:paraId="0BA28936" w14:textId="5DA92809" w:rsidR="00087CBF" w:rsidRPr="00843688" w:rsidRDefault="00087CBF" w:rsidP="001B5757">
            <w:pPr>
              <w:pStyle w:val="TableRightHeading"/>
            </w:pPr>
            <w:r w:rsidRPr="00843688">
              <w:t>Outcome</w:t>
            </w:r>
          </w:p>
        </w:tc>
        <w:tc>
          <w:tcPr>
            <w:tcW w:w="1049" w:type="dxa"/>
            <w:tcBorders>
              <w:bottom w:val="single" w:sz="4" w:space="0" w:color="auto"/>
            </w:tcBorders>
            <w:shd w:val="clear" w:color="auto" w:fill="auto"/>
          </w:tcPr>
          <w:p w14:paraId="75769EDA" w14:textId="72C6AA79" w:rsidR="00087CBF" w:rsidRPr="00843688" w:rsidRDefault="00087CBF" w:rsidP="00606E69">
            <w:pPr>
              <w:pStyle w:val="TableRightHeading"/>
            </w:pPr>
            <w:r w:rsidRPr="00843688">
              <w:t>Budget</w:t>
            </w:r>
          </w:p>
        </w:tc>
        <w:tc>
          <w:tcPr>
            <w:tcW w:w="1049" w:type="dxa"/>
            <w:tcBorders>
              <w:bottom w:val="single" w:sz="4" w:space="0" w:color="auto"/>
            </w:tcBorders>
            <w:shd w:val="clear" w:color="auto" w:fill="auto"/>
          </w:tcPr>
          <w:p w14:paraId="62B900E9" w14:textId="3771BB54" w:rsidR="00087CBF" w:rsidRPr="00843688" w:rsidRDefault="00087CBF" w:rsidP="00606E69">
            <w:pPr>
              <w:pStyle w:val="TableRightHeading"/>
            </w:pPr>
            <w:r w:rsidRPr="00843688">
              <w:t>Estimate</w:t>
            </w:r>
          </w:p>
        </w:tc>
        <w:tc>
          <w:tcPr>
            <w:tcW w:w="1049" w:type="dxa"/>
            <w:tcBorders>
              <w:bottom w:val="single" w:sz="4" w:space="0" w:color="auto"/>
            </w:tcBorders>
            <w:shd w:val="clear" w:color="auto" w:fill="auto"/>
          </w:tcPr>
          <w:p w14:paraId="6E64E440" w14:textId="7AA5F242" w:rsidR="00087CBF" w:rsidRPr="00843688" w:rsidRDefault="00087CBF" w:rsidP="00606E69">
            <w:pPr>
              <w:pStyle w:val="TableRightHeading"/>
            </w:pPr>
            <w:r w:rsidRPr="00843688">
              <w:t>Estimate</w:t>
            </w:r>
          </w:p>
        </w:tc>
        <w:tc>
          <w:tcPr>
            <w:tcW w:w="1049" w:type="dxa"/>
            <w:tcBorders>
              <w:bottom w:val="single" w:sz="4" w:space="0" w:color="auto"/>
            </w:tcBorders>
            <w:shd w:val="clear" w:color="auto" w:fill="auto"/>
          </w:tcPr>
          <w:p w14:paraId="2F9563E3" w14:textId="3D082A9C" w:rsidR="00087CBF" w:rsidRPr="00843688" w:rsidRDefault="00087CBF" w:rsidP="00606E69">
            <w:pPr>
              <w:pStyle w:val="TableRightHeading"/>
            </w:pPr>
            <w:r w:rsidRPr="00843688">
              <w:t>Estimate</w:t>
            </w:r>
          </w:p>
        </w:tc>
      </w:tr>
      <w:tr w:rsidR="00543CF5" w:rsidRPr="00843688" w14:paraId="2F6AF207" w14:textId="77777777" w:rsidTr="001B5757">
        <w:trPr>
          <w:trHeight w:val="300"/>
        </w:trPr>
        <w:tc>
          <w:tcPr>
            <w:tcW w:w="3288" w:type="dxa"/>
            <w:tcBorders>
              <w:top w:val="single" w:sz="4" w:space="0" w:color="auto"/>
              <w:left w:val="nil"/>
              <w:bottom w:val="nil"/>
              <w:right w:val="nil"/>
            </w:tcBorders>
            <w:shd w:val="clear" w:color="auto" w:fill="auto"/>
            <w:noWrap/>
            <w:vAlign w:val="bottom"/>
            <w:hideMark/>
          </w:tcPr>
          <w:p w14:paraId="72B1A3AF" w14:textId="77777777" w:rsidR="00543CF5" w:rsidRPr="00843688" w:rsidRDefault="00543CF5" w:rsidP="00543CF5">
            <w:pPr>
              <w:pStyle w:val="TableRightHeading"/>
            </w:pPr>
          </w:p>
        </w:tc>
        <w:tc>
          <w:tcPr>
            <w:tcW w:w="1049" w:type="dxa"/>
            <w:tcBorders>
              <w:top w:val="single" w:sz="4" w:space="0" w:color="auto"/>
              <w:left w:val="nil"/>
              <w:bottom w:val="nil"/>
              <w:right w:val="nil"/>
            </w:tcBorders>
            <w:shd w:val="clear" w:color="auto" w:fill="auto"/>
            <w:noWrap/>
            <w:vAlign w:val="bottom"/>
            <w:hideMark/>
          </w:tcPr>
          <w:p w14:paraId="23E17400" w14:textId="471EB807" w:rsidR="00543CF5" w:rsidRPr="00543CF5" w:rsidRDefault="00543CF5" w:rsidP="00543CF5">
            <w:pPr>
              <w:pStyle w:val="TableRightHeading"/>
            </w:pPr>
            <w:r w:rsidRPr="00843688">
              <w:t>$m</w:t>
            </w:r>
          </w:p>
        </w:tc>
        <w:tc>
          <w:tcPr>
            <w:tcW w:w="1049" w:type="dxa"/>
            <w:tcBorders>
              <w:top w:val="single" w:sz="4" w:space="0" w:color="auto"/>
              <w:left w:val="nil"/>
              <w:bottom w:val="nil"/>
              <w:right w:val="nil"/>
            </w:tcBorders>
            <w:shd w:val="clear" w:color="auto" w:fill="auto"/>
            <w:noWrap/>
            <w:vAlign w:val="bottom"/>
            <w:hideMark/>
          </w:tcPr>
          <w:p w14:paraId="1B2BEE8E" w14:textId="0086AF8D" w:rsidR="00543CF5" w:rsidRPr="00543CF5" w:rsidRDefault="00543CF5" w:rsidP="00543CF5">
            <w:pPr>
              <w:pStyle w:val="TableRightHeading"/>
            </w:pPr>
            <w:r w:rsidRPr="00843688">
              <w:t>$m</w:t>
            </w:r>
          </w:p>
        </w:tc>
        <w:tc>
          <w:tcPr>
            <w:tcW w:w="1049" w:type="dxa"/>
            <w:tcBorders>
              <w:top w:val="single" w:sz="4" w:space="0" w:color="auto"/>
              <w:left w:val="nil"/>
              <w:bottom w:val="nil"/>
              <w:right w:val="nil"/>
            </w:tcBorders>
            <w:shd w:val="clear" w:color="auto" w:fill="auto"/>
            <w:noWrap/>
            <w:vAlign w:val="bottom"/>
            <w:hideMark/>
          </w:tcPr>
          <w:p w14:paraId="7F6B8D28" w14:textId="4A0960E1" w:rsidR="00543CF5" w:rsidRPr="00543CF5" w:rsidRDefault="00543CF5" w:rsidP="00543CF5">
            <w:pPr>
              <w:pStyle w:val="TableRightHeading"/>
            </w:pPr>
            <w:r w:rsidRPr="00843688">
              <w:t>$m</w:t>
            </w:r>
          </w:p>
        </w:tc>
        <w:tc>
          <w:tcPr>
            <w:tcW w:w="1049" w:type="dxa"/>
            <w:tcBorders>
              <w:top w:val="single" w:sz="4" w:space="0" w:color="auto"/>
              <w:left w:val="nil"/>
              <w:bottom w:val="nil"/>
              <w:right w:val="nil"/>
            </w:tcBorders>
            <w:shd w:val="clear" w:color="auto" w:fill="auto"/>
            <w:noWrap/>
            <w:vAlign w:val="bottom"/>
            <w:hideMark/>
          </w:tcPr>
          <w:p w14:paraId="5C1333FC" w14:textId="64D67B78" w:rsidR="00543CF5" w:rsidRPr="00543CF5" w:rsidRDefault="00543CF5" w:rsidP="00543CF5">
            <w:pPr>
              <w:pStyle w:val="TableRightHeading"/>
            </w:pPr>
            <w:r w:rsidRPr="00843688">
              <w:t>$m</w:t>
            </w:r>
          </w:p>
        </w:tc>
        <w:tc>
          <w:tcPr>
            <w:tcW w:w="1049" w:type="dxa"/>
            <w:tcBorders>
              <w:top w:val="single" w:sz="4" w:space="0" w:color="auto"/>
              <w:left w:val="nil"/>
              <w:bottom w:val="nil"/>
              <w:right w:val="nil"/>
            </w:tcBorders>
            <w:shd w:val="clear" w:color="auto" w:fill="auto"/>
            <w:noWrap/>
            <w:vAlign w:val="bottom"/>
            <w:hideMark/>
          </w:tcPr>
          <w:p w14:paraId="67BE3F82" w14:textId="134B86D5" w:rsidR="00543CF5" w:rsidRPr="00543CF5" w:rsidRDefault="00543CF5" w:rsidP="00543CF5">
            <w:pPr>
              <w:pStyle w:val="TableRightHeading"/>
            </w:pPr>
            <w:r w:rsidRPr="00843688">
              <w:t>$m</w:t>
            </w:r>
          </w:p>
        </w:tc>
        <w:tc>
          <w:tcPr>
            <w:tcW w:w="1049" w:type="dxa"/>
            <w:tcBorders>
              <w:top w:val="single" w:sz="4" w:space="0" w:color="auto"/>
              <w:left w:val="nil"/>
              <w:bottom w:val="nil"/>
              <w:right w:val="nil"/>
            </w:tcBorders>
            <w:shd w:val="clear" w:color="auto" w:fill="auto"/>
            <w:noWrap/>
            <w:vAlign w:val="bottom"/>
            <w:hideMark/>
          </w:tcPr>
          <w:p w14:paraId="08974CD3" w14:textId="538063DB" w:rsidR="00543CF5" w:rsidRPr="00543CF5" w:rsidRDefault="00543CF5" w:rsidP="00543CF5">
            <w:pPr>
              <w:pStyle w:val="TableRightHeading"/>
            </w:pPr>
            <w:r w:rsidRPr="00843688">
              <w:t>$m</w:t>
            </w:r>
          </w:p>
        </w:tc>
      </w:tr>
      <w:tr w:rsidR="00543CF5" w:rsidRPr="00843688" w14:paraId="348E0CAB" w14:textId="77777777" w:rsidTr="001B5757">
        <w:trPr>
          <w:trHeight w:val="300"/>
        </w:trPr>
        <w:tc>
          <w:tcPr>
            <w:tcW w:w="3288" w:type="dxa"/>
            <w:tcBorders>
              <w:top w:val="nil"/>
              <w:left w:val="nil"/>
              <w:bottom w:val="nil"/>
              <w:right w:val="nil"/>
            </w:tcBorders>
            <w:shd w:val="clear" w:color="auto" w:fill="auto"/>
            <w:noWrap/>
            <w:vAlign w:val="bottom"/>
            <w:hideMark/>
          </w:tcPr>
          <w:p w14:paraId="34D3B2F0" w14:textId="77777777" w:rsidR="00543CF5" w:rsidRPr="00843688" w:rsidRDefault="00543CF5" w:rsidP="00543CF5">
            <w:pPr>
              <w:pStyle w:val="TableRight"/>
            </w:pPr>
          </w:p>
        </w:tc>
        <w:tc>
          <w:tcPr>
            <w:tcW w:w="1049" w:type="dxa"/>
            <w:tcBorders>
              <w:top w:val="nil"/>
              <w:left w:val="nil"/>
              <w:bottom w:val="nil"/>
              <w:right w:val="nil"/>
            </w:tcBorders>
            <w:shd w:val="clear" w:color="auto" w:fill="auto"/>
            <w:noWrap/>
            <w:vAlign w:val="bottom"/>
            <w:hideMark/>
          </w:tcPr>
          <w:p w14:paraId="38846419" w14:textId="77777777" w:rsidR="00543CF5" w:rsidRPr="00843688" w:rsidRDefault="00543CF5" w:rsidP="00543CF5">
            <w:pPr>
              <w:pStyle w:val="TableRight"/>
            </w:pPr>
          </w:p>
        </w:tc>
        <w:tc>
          <w:tcPr>
            <w:tcW w:w="1049" w:type="dxa"/>
            <w:tcBorders>
              <w:top w:val="nil"/>
              <w:left w:val="nil"/>
              <w:bottom w:val="nil"/>
              <w:right w:val="nil"/>
            </w:tcBorders>
            <w:shd w:val="clear" w:color="auto" w:fill="auto"/>
            <w:noWrap/>
            <w:vAlign w:val="bottom"/>
            <w:hideMark/>
          </w:tcPr>
          <w:p w14:paraId="4A00F4CA" w14:textId="77777777" w:rsidR="00543CF5" w:rsidRPr="00843688" w:rsidRDefault="00543CF5" w:rsidP="00543CF5">
            <w:pPr>
              <w:pStyle w:val="TableRight"/>
            </w:pPr>
          </w:p>
        </w:tc>
        <w:tc>
          <w:tcPr>
            <w:tcW w:w="1049" w:type="dxa"/>
            <w:tcBorders>
              <w:top w:val="nil"/>
              <w:left w:val="nil"/>
              <w:bottom w:val="nil"/>
              <w:right w:val="nil"/>
            </w:tcBorders>
            <w:shd w:val="clear" w:color="auto" w:fill="auto"/>
            <w:noWrap/>
            <w:vAlign w:val="bottom"/>
            <w:hideMark/>
          </w:tcPr>
          <w:p w14:paraId="21BBBDD4" w14:textId="77777777" w:rsidR="00543CF5" w:rsidRPr="00843688" w:rsidRDefault="00543CF5" w:rsidP="00543CF5">
            <w:pPr>
              <w:pStyle w:val="TableRight"/>
            </w:pPr>
          </w:p>
        </w:tc>
        <w:tc>
          <w:tcPr>
            <w:tcW w:w="1049" w:type="dxa"/>
            <w:tcBorders>
              <w:top w:val="nil"/>
              <w:left w:val="nil"/>
              <w:bottom w:val="nil"/>
              <w:right w:val="nil"/>
            </w:tcBorders>
            <w:shd w:val="clear" w:color="auto" w:fill="auto"/>
            <w:noWrap/>
            <w:vAlign w:val="bottom"/>
            <w:hideMark/>
          </w:tcPr>
          <w:p w14:paraId="3A6E3CB1" w14:textId="77777777" w:rsidR="00543CF5" w:rsidRPr="00843688" w:rsidRDefault="00543CF5" w:rsidP="00543CF5">
            <w:pPr>
              <w:pStyle w:val="TableRight"/>
            </w:pPr>
          </w:p>
        </w:tc>
        <w:tc>
          <w:tcPr>
            <w:tcW w:w="1049" w:type="dxa"/>
            <w:tcBorders>
              <w:top w:val="nil"/>
              <w:left w:val="nil"/>
              <w:bottom w:val="nil"/>
              <w:right w:val="nil"/>
            </w:tcBorders>
            <w:shd w:val="clear" w:color="auto" w:fill="auto"/>
            <w:noWrap/>
            <w:vAlign w:val="bottom"/>
            <w:hideMark/>
          </w:tcPr>
          <w:p w14:paraId="321B2180" w14:textId="77777777" w:rsidR="00543CF5" w:rsidRPr="00843688" w:rsidRDefault="00543CF5" w:rsidP="00543CF5">
            <w:pPr>
              <w:pStyle w:val="TableRight"/>
            </w:pPr>
          </w:p>
        </w:tc>
        <w:tc>
          <w:tcPr>
            <w:tcW w:w="1049" w:type="dxa"/>
            <w:tcBorders>
              <w:top w:val="nil"/>
              <w:left w:val="nil"/>
              <w:bottom w:val="nil"/>
              <w:right w:val="nil"/>
            </w:tcBorders>
            <w:shd w:val="clear" w:color="auto" w:fill="auto"/>
            <w:noWrap/>
            <w:vAlign w:val="bottom"/>
            <w:hideMark/>
          </w:tcPr>
          <w:p w14:paraId="55E1051D" w14:textId="77777777" w:rsidR="00543CF5" w:rsidRPr="00843688" w:rsidRDefault="00543CF5" w:rsidP="00543CF5">
            <w:pPr>
              <w:pStyle w:val="TableRight"/>
            </w:pPr>
          </w:p>
        </w:tc>
      </w:tr>
      <w:tr w:rsidR="00543CF5" w:rsidRPr="00843688" w14:paraId="44200683" w14:textId="77777777" w:rsidTr="001B5757">
        <w:trPr>
          <w:trHeight w:val="300"/>
        </w:trPr>
        <w:tc>
          <w:tcPr>
            <w:tcW w:w="3288" w:type="dxa"/>
            <w:tcBorders>
              <w:top w:val="nil"/>
              <w:left w:val="nil"/>
              <w:bottom w:val="nil"/>
              <w:right w:val="nil"/>
            </w:tcBorders>
            <w:shd w:val="clear" w:color="auto" w:fill="auto"/>
            <w:noWrap/>
            <w:vAlign w:val="bottom"/>
          </w:tcPr>
          <w:p w14:paraId="4888BB83" w14:textId="77777777" w:rsidR="00543CF5" w:rsidRPr="00543CF5" w:rsidRDefault="00543CF5" w:rsidP="00543CF5">
            <w:pPr>
              <w:pStyle w:val="TableLeft"/>
            </w:pPr>
            <w:r w:rsidRPr="00843688">
              <w:t>Borrowing costs</w:t>
            </w:r>
          </w:p>
        </w:tc>
        <w:tc>
          <w:tcPr>
            <w:tcW w:w="1049" w:type="dxa"/>
            <w:tcBorders>
              <w:top w:val="nil"/>
              <w:left w:val="nil"/>
              <w:bottom w:val="nil"/>
              <w:right w:val="nil"/>
            </w:tcBorders>
            <w:shd w:val="clear" w:color="auto" w:fill="auto"/>
            <w:noWrap/>
            <w:vAlign w:val="bottom"/>
          </w:tcPr>
          <w:p w14:paraId="408E5DB1" w14:textId="77777777" w:rsidR="00543CF5" w:rsidRPr="00543CF5" w:rsidRDefault="00543CF5" w:rsidP="00543CF5">
            <w:pPr>
              <w:pStyle w:val="TableRight"/>
            </w:pPr>
            <w:r>
              <w:t>90.0</w:t>
            </w:r>
          </w:p>
        </w:tc>
        <w:tc>
          <w:tcPr>
            <w:tcW w:w="1049" w:type="dxa"/>
            <w:tcBorders>
              <w:top w:val="nil"/>
              <w:left w:val="nil"/>
              <w:bottom w:val="nil"/>
              <w:right w:val="nil"/>
            </w:tcBorders>
            <w:shd w:val="clear" w:color="auto" w:fill="auto"/>
            <w:noWrap/>
            <w:vAlign w:val="bottom"/>
          </w:tcPr>
          <w:p w14:paraId="30AD259F" w14:textId="77777777" w:rsidR="00543CF5" w:rsidRPr="00543CF5" w:rsidRDefault="00543CF5" w:rsidP="00543CF5">
            <w:pPr>
              <w:pStyle w:val="TableRight"/>
            </w:pPr>
            <w:r>
              <w:t>86.3</w:t>
            </w:r>
          </w:p>
        </w:tc>
        <w:tc>
          <w:tcPr>
            <w:tcW w:w="1049" w:type="dxa"/>
            <w:tcBorders>
              <w:top w:val="nil"/>
              <w:left w:val="nil"/>
              <w:bottom w:val="nil"/>
              <w:right w:val="nil"/>
            </w:tcBorders>
            <w:shd w:val="clear" w:color="auto" w:fill="auto"/>
            <w:noWrap/>
            <w:vAlign w:val="bottom"/>
          </w:tcPr>
          <w:p w14:paraId="7D8901D3" w14:textId="77777777" w:rsidR="00543CF5" w:rsidRPr="00543CF5" w:rsidRDefault="00543CF5" w:rsidP="00543CF5">
            <w:pPr>
              <w:pStyle w:val="TableRight"/>
            </w:pPr>
            <w:r>
              <w:t>144.9</w:t>
            </w:r>
          </w:p>
        </w:tc>
        <w:tc>
          <w:tcPr>
            <w:tcW w:w="1049" w:type="dxa"/>
            <w:tcBorders>
              <w:top w:val="nil"/>
              <w:left w:val="nil"/>
              <w:bottom w:val="nil"/>
              <w:right w:val="nil"/>
            </w:tcBorders>
            <w:shd w:val="clear" w:color="auto" w:fill="auto"/>
            <w:noWrap/>
            <w:vAlign w:val="bottom"/>
          </w:tcPr>
          <w:p w14:paraId="0C17FD48" w14:textId="77777777" w:rsidR="00543CF5" w:rsidRPr="00543CF5" w:rsidRDefault="00543CF5" w:rsidP="00543CF5">
            <w:pPr>
              <w:pStyle w:val="TableRight"/>
            </w:pPr>
            <w:r>
              <w:t>201.6</w:t>
            </w:r>
          </w:p>
        </w:tc>
        <w:tc>
          <w:tcPr>
            <w:tcW w:w="1049" w:type="dxa"/>
            <w:tcBorders>
              <w:top w:val="nil"/>
              <w:left w:val="nil"/>
              <w:bottom w:val="nil"/>
              <w:right w:val="nil"/>
            </w:tcBorders>
            <w:shd w:val="clear" w:color="auto" w:fill="auto"/>
            <w:noWrap/>
            <w:vAlign w:val="bottom"/>
          </w:tcPr>
          <w:p w14:paraId="0F5C6FED" w14:textId="77777777" w:rsidR="00543CF5" w:rsidRPr="00543CF5" w:rsidRDefault="00543CF5" w:rsidP="00543CF5">
            <w:pPr>
              <w:pStyle w:val="TableRight"/>
            </w:pPr>
            <w:r>
              <w:t>250.7</w:t>
            </w:r>
          </w:p>
        </w:tc>
        <w:tc>
          <w:tcPr>
            <w:tcW w:w="1049" w:type="dxa"/>
            <w:tcBorders>
              <w:top w:val="nil"/>
              <w:left w:val="nil"/>
              <w:bottom w:val="nil"/>
              <w:right w:val="nil"/>
            </w:tcBorders>
            <w:shd w:val="clear" w:color="auto" w:fill="auto"/>
            <w:noWrap/>
            <w:vAlign w:val="bottom"/>
          </w:tcPr>
          <w:p w14:paraId="683E967C" w14:textId="77777777" w:rsidR="00543CF5" w:rsidRPr="00543CF5" w:rsidRDefault="00543CF5" w:rsidP="00543CF5">
            <w:pPr>
              <w:pStyle w:val="TableRight"/>
            </w:pPr>
            <w:r>
              <w:t>285.5</w:t>
            </w:r>
          </w:p>
        </w:tc>
      </w:tr>
      <w:tr w:rsidR="00543CF5" w:rsidRPr="00843688" w14:paraId="1A04460C" w14:textId="77777777" w:rsidTr="001B5757">
        <w:trPr>
          <w:trHeight w:val="300"/>
        </w:trPr>
        <w:tc>
          <w:tcPr>
            <w:tcW w:w="3288" w:type="dxa"/>
            <w:tcBorders>
              <w:top w:val="nil"/>
              <w:left w:val="nil"/>
              <w:bottom w:val="nil"/>
              <w:right w:val="nil"/>
            </w:tcBorders>
            <w:shd w:val="clear" w:color="auto" w:fill="auto"/>
            <w:noWrap/>
            <w:vAlign w:val="bottom"/>
          </w:tcPr>
          <w:p w14:paraId="1BA6A5E9" w14:textId="411C7A89" w:rsidR="00543CF5" w:rsidRPr="00543CF5" w:rsidRDefault="00543CF5" w:rsidP="00543CF5">
            <w:pPr>
              <w:pStyle w:val="TableLeft"/>
            </w:pPr>
            <w:r w:rsidRPr="00843688">
              <w:t xml:space="preserve">Interest </w:t>
            </w:r>
            <w:r w:rsidR="00A37B8D">
              <w:t>i</w:t>
            </w:r>
            <w:r w:rsidRPr="00843688">
              <w:t>ncome</w:t>
            </w:r>
          </w:p>
        </w:tc>
        <w:tc>
          <w:tcPr>
            <w:tcW w:w="1049" w:type="dxa"/>
            <w:tcBorders>
              <w:top w:val="nil"/>
              <w:left w:val="nil"/>
              <w:bottom w:val="nil"/>
              <w:right w:val="nil"/>
            </w:tcBorders>
            <w:shd w:val="clear" w:color="auto" w:fill="auto"/>
            <w:noWrap/>
            <w:vAlign w:val="bottom"/>
          </w:tcPr>
          <w:p w14:paraId="633798B6" w14:textId="77777777" w:rsidR="00543CF5" w:rsidRPr="00543CF5" w:rsidRDefault="00543CF5" w:rsidP="00543CF5">
            <w:pPr>
              <w:pStyle w:val="TableRight"/>
            </w:pPr>
            <w:r>
              <w:t>29.2</w:t>
            </w:r>
          </w:p>
        </w:tc>
        <w:tc>
          <w:tcPr>
            <w:tcW w:w="1049" w:type="dxa"/>
            <w:tcBorders>
              <w:top w:val="nil"/>
              <w:left w:val="nil"/>
              <w:bottom w:val="nil"/>
              <w:right w:val="nil"/>
            </w:tcBorders>
            <w:shd w:val="clear" w:color="auto" w:fill="auto"/>
            <w:noWrap/>
            <w:vAlign w:val="bottom"/>
          </w:tcPr>
          <w:p w14:paraId="66EA5961" w14:textId="77777777" w:rsidR="00543CF5" w:rsidRPr="00543CF5" w:rsidRDefault="00543CF5" w:rsidP="00543CF5">
            <w:pPr>
              <w:pStyle w:val="TableRight"/>
            </w:pPr>
            <w:r>
              <w:t>54.7</w:t>
            </w:r>
          </w:p>
        </w:tc>
        <w:tc>
          <w:tcPr>
            <w:tcW w:w="1049" w:type="dxa"/>
            <w:tcBorders>
              <w:top w:val="nil"/>
              <w:left w:val="nil"/>
              <w:bottom w:val="nil"/>
              <w:right w:val="nil"/>
            </w:tcBorders>
            <w:shd w:val="clear" w:color="auto" w:fill="auto"/>
            <w:noWrap/>
            <w:vAlign w:val="bottom"/>
          </w:tcPr>
          <w:p w14:paraId="4773C138" w14:textId="77777777" w:rsidR="00543CF5" w:rsidRPr="00543CF5" w:rsidRDefault="00543CF5" w:rsidP="00543CF5">
            <w:pPr>
              <w:pStyle w:val="TableRight"/>
            </w:pPr>
            <w:r>
              <w:t>74.6</w:t>
            </w:r>
          </w:p>
        </w:tc>
        <w:tc>
          <w:tcPr>
            <w:tcW w:w="1049" w:type="dxa"/>
            <w:tcBorders>
              <w:top w:val="nil"/>
              <w:left w:val="nil"/>
              <w:bottom w:val="nil"/>
              <w:right w:val="nil"/>
            </w:tcBorders>
            <w:shd w:val="clear" w:color="auto" w:fill="auto"/>
            <w:noWrap/>
            <w:vAlign w:val="bottom"/>
          </w:tcPr>
          <w:p w14:paraId="3EC85929" w14:textId="77777777" w:rsidR="00543CF5" w:rsidRPr="00543CF5" w:rsidRDefault="00543CF5" w:rsidP="00543CF5">
            <w:pPr>
              <w:pStyle w:val="TableRight"/>
            </w:pPr>
            <w:r>
              <w:t>68.2</w:t>
            </w:r>
          </w:p>
        </w:tc>
        <w:tc>
          <w:tcPr>
            <w:tcW w:w="1049" w:type="dxa"/>
            <w:tcBorders>
              <w:top w:val="nil"/>
              <w:left w:val="nil"/>
              <w:bottom w:val="nil"/>
              <w:right w:val="nil"/>
            </w:tcBorders>
            <w:shd w:val="clear" w:color="auto" w:fill="auto"/>
            <w:noWrap/>
            <w:vAlign w:val="bottom"/>
          </w:tcPr>
          <w:p w14:paraId="27114F3D" w14:textId="77777777" w:rsidR="00543CF5" w:rsidRPr="00543CF5" w:rsidRDefault="00543CF5" w:rsidP="00543CF5">
            <w:pPr>
              <w:pStyle w:val="TableRight"/>
            </w:pPr>
            <w:r>
              <w:t>73.0</w:t>
            </w:r>
          </w:p>
        </w:tc>
        <w:tc>
          <w:tcPr>
            <w:tcW w:w="1049" w:type="dxa"/>
            <w:tcBorders>
              <w:top w:val="nil"/>
              <w:left w:val="nil"/>
              <w:bottom w:val="nil"/>
              <w:right w:val="nil"/>
            </w:tcBorders>
            <w:shd w:val="clear" w:color="auto" w:fill="auto"/>
            <w:noWrap/>
            <w:vAlign w:val="bottom"/>
          </w:tcPr>
          <w:p w14:paraId="5E19ACBA" w14:textId="77777777" w:rsidR="00543CF5" w:rsidRPr="00543CF5" w:rsidRDefault="00543CF5" w:rsidP="00543CF5">
            <w:pPr>
              <w:pStyle w:val="TableRight"/>
            </w:pPr>
            <w:r>
              <w:t>72.2</w:t>
            </w:r>
          </w:p>
        </w:tc>
      </w:tr>
      <w:tr w:rsidR="00543CF5" w:rsidRPr="00843688" w14:paraId="441D8AC8" w14:textId="77777777" w:rsidTr="001B5757">
        <w:trPr>
          <w:trHeight w:val="315"/>
        </w:trPr>
        <w:tc>
          <w:tcPr>
            <w:tcW w:w="3288" w:type="dxa"/>
            <w:tcBorders>
              <w:top w:val="nil"/>
              <w:left w:val="nil"/>
              <w:bottom w:val="nil"/>
              <w:right w:val="nil"/>
            </w:tcBorders>
            <w:shd w:val="clear" w:color="auto" w:fill="auto"/>
            <w:noWrap/>
            <w:vAlign w:val="bottom"/>
            <w:hideMark/>
          </w:tcPr>
          <w:p w14:paraId="30FFF21B" w14:textId="77777777" w:rsidR="00543CF5" w:rsidRPr="00543CF5" w:rsidRDefault="00543CF5" w:rsidP="00543CF5">
            <w:pPr>
              <w:pStyle w:val="TableLeftHeading"/>
            </w:pPr>
            <w:r w:rsidRPr="00843688">
              <w:t xml:space="preserve">Net Interest </w:t>
            </w:r>
          </w:p>
        </w:tc>
        <w:tc>
          <w:tcPr>
            <w:tcW w:w="1049" w:type="dxa"/>
            <w:tcBorders>
              <w:top w:val="single" w:sz="4" w:space="0" w:color="auto"/>
              <w:left w:val="nil"/>
              <w:bottom w:val="nil"/>
              <w:right w:val="nil"/>
            </w:tcBorders>
            <w:shd w:val="clear" w:color="auto" w:fill="auto"/>
            <w:noWrap/>
            <w:vAlign w:val="bottom"/>
            <w:hideMark/>
          </w:tcPr>
          <w:p w14:paraId="65F7D50A" w14:textId="77777777" w:rsidR="00543CF5" w:rsidRPr="00543CF5" w:rsidRDefault="00543CF5" w:rsidP="00543CF5">
            <w:pPr>
              <w:pStyle w:val="TableRightHeading"/>
            </w:pPr>
            <w:r>
              <w:t>60.8</w:t>
            </w:r>
          </w:p>
        </w:tc>
        <w:tc>
          <w:tcPr>
            <w:tcW w:w="1049" w:type="dxa"/>
            <w:tcBorders>
              <w:top w:val="single" w:sz="4" w:space="0" w:color="auto"/>
              <w:left w:val="nil"/>
              <w:bottom w:val="nil"/>
              <w:right w:val="nil"/>
            </w:tcBorders>
            <w:shd w:val="clear" w:color="auto" w:fill="auto"/>
            <w:noWrap/>
            <w:vAlign w:val="bottom"/>
            <w:hideMark/>
          </w:tcPr>
          <w:p w14:paraId="6FB4DBAA" w14:textId="77777777" w:rsidR="00543CF5" w:rsidRPr="00543CF5" w:rsidRDefault="00543CF5" w:rsidP="00543CF5">
            <w:pPr>
              <w:pStyle w:val="TableRightHeading"/>
            </w:pPr>
            <w:r>
              <w:t>31.6</w:t>
            </w:r>
          </w:p>
        </w:tc>
        <w:tc>
          <w:tcPr>
            <w:tcW w:w="1049" w:type="dxa"/>
            <w:tcBorders>
              <w:top w:val="single" w:sz="4" w:space="0" w:color="auto"/>
              <w:left w:val="nil"/>
              <w:bottom w:val="nil"/>
              <w:right w:val="nil"/>
            </w:tcBorders>
            <w:shd w:val="clear" w:color="auto" w:fill="auto"/>
            <w:noWrap/>
            <w:vAlign w:val="bottom"/>
            <w:hideMark/>
          </w:tcPr>
          <w:p w14:paraId="085BEC57" w14:textId="77777777" w:rsidR="00543CF5" w:rsidRPr="00543CF5" w:rsidRDefault="00543CF5" w:rsidP="00543CF5">
            <w:pPr>
              <w:pStyle w:val="TableRightHeading"/>
            </w:pPr>
            <w:r>
              <w:t>70.3</w:t>
            </w:r>
          </w:p>
        </w:tc>
        <w:tc>
          <w:tcPr>
            <w:tcW w:w="1049" w:type="dxa"/>
            <w:tcBorders>
              <w:top w:val="single" w:sz="4" w:space="0" w:color="auto"/>
              <w:left w:val="nil"/>
              <w:bottom w:val="nil"/>
              <w:right w:val="nil"/>
            </w:tcBorders>
            <w:shd w:val="clear" w:color="auto" w:fill="auto"/>
            <w:noWrap/>
            <w:vAlign w:val="bottom"/>
            <w:hideMark/>
          </w:tcPr>
          <w:p w14:paraId="49868884" w14:textId="77777777" w:rsidR="00543CF5" w:rsidRPr="00543CF5" w:rsidRDefault="00543CF5" w:rsidP="00543CF5">
            <w:pPr>
              <w:pStyle w:val="TableRightHeading"/>
            </w:pPr>
            <w:r>
              <w:t>133.4</w:t>
            </w:r>
          </w:p>
        </w:tc>
        <w:tc>
          <w:tcPr>
            <w:tcW w:w="1049" w:type="dxa"/>
            <w:tcBorders>
              <w:top w:val="single" w:sz="4" w:space="0" w:color="auto"/>
              <w:left w:val="nil"/>
              <w:bottom w:val="nil"/>
              <w:right w:val="nil"/>
            </w:tcBorders>
            <w:shd w:val="clear" w:color="auto" w:fill="auto"/>
            <w:noWrap/>
            <w:vAlign w:val="bottom"/>
            <w:hideMark/>
          </w:tcPr>
          <w:p w14:paraId="493011A9" w14:textId="77777777" w:rsidR="00543CF5" w:rsidRPr="00543CF5" w:rsidRDefault="00543CF5" w:rsidP="00543CF5">
            <w:pPr>
              <w:pStyle w:val="TableRightHeading"/>
            </w:pPr>
            <w:r>
              <w:t>177.7</w:t>
            </w:r>
          </w:p>
        </w:tc>
        <w:tc>
          <w:tcPr>
            <w:tcW w:w="1049" w:type="dxa"/>
            <w:tcBorders>
              <w:top w:val="single" w:sz="4" w:space="0" w:color="auto"/>
              <w:left w:val="nil"/>
              <w:bottom w:val="nil"/>
              <w:right w:val="nil"/>
            </w:tcBorders>
            <w:shd w:val="clear" w:color="auto" w:fill="auto"/>
            <w:noWrap/>
            <w:vAlign w:val="bottom"/>
            <w:hideMark/>
          </w:tcPr>
          <w:p w14:paraId="542254D6" w14:textId="77777777" w:rsidR="00543CF5" w:rsidRPr="00543CF5" w:rsidRDefault="00543CF5" w:rsidP="00543CF5">
            <w:pPr>
              <w:pStyle w:val="TableRightHeading"/>
            </w:pPr>
            <w:r>
              <w:t>213.3</w:t>
            </w:r>
          </w:p>
        </w:tc>
      </w:tr>
      <w:tr w:rsidR="00543CF5" w:rsidRPr="00843688" w14:paraId="7C3A81D1" w14:textId="77777777" w:rsidTr="001B5757">
        <w:trPr>
          <w:trHeight w:val="300"/>
        </w:trPr>
        <w:tc>
          <w:tcPr>
            <w:tcW w:w="3288" w:type="dxa"/>
            <w:tcBorders>
              <w:top w:val="nil"/>
              <w:left w:val="nil"/>
              <w:bottom w:val="nil"/>
              <w:right w:val="nil"/>
            </w:tcBorders>
            <w:shd w:val="clear" w:color="auto" w:fill="auto"/>
            <w:noWrap/>
            <w:vAlign w:val="bottom"/>
            <w:hideMark/>
          </w:tcPr>
          <w:p w14:paraId="3C61E9DB" w14:textId="77777777" w:rsidR="00543CF5" w:rsidRPr="00843688" w:rsidRDefault="00543CF5" w:rsidP="00543CF5">
            <w:pPr>
              <w:pStyle w:val="TableLeft"/>
            </w:pPr>
          </w:p>
        </w:tc>
        <w:tc>
          <w:tcPr>
            <w:tcW w:w="1049" w:type="dxa"/>
            <w:tcBorders>
              <w:top w:val="nil"/>
              <w:left w:val="nil"/>
              <w:bottom w:val="nil"/>
              <w:right w:val="nil"/>
            </w:tcBorders>
            <w:shd w:val="clear" w:color="auto" w:fill="auto"/>
            <w:noWrap/>
            <w:vAlign w:val="bottom"/>
            <w:hideMark/>
          </w:tcPr>
          <w:p w14:paraId="1355502D" w14:textId="77777777" w:rsidR="00543CF5" w:rsidRPr="00994257"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4AF18B1D" w14:textId="77777777" w:rsidR="00543CF5" w:rsidRPr="00994257"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2F72BD4A" w14:textId="77777777" w:rsidR="00543CF5" w:rsidRPr="002C5288"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5FD48CFB" w14:textId="77777777" w:rsidR="00543CF5" w:rsidRPr="002C5288"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783175DC" w14:textId="77777777" w:rsidR="00543CF5" w:rsidRPr="009165EF"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1C8382B8" w14:textId="77777777" w:rsidR="00543CF5" w:rsidRPr="009165EF" w:rsidRDefault="00543CF5" w:rsidP="00543CF5">
            <w:pPr>
              <w:pStyle w:val="TableRightHeading"/>
            </w:pPr>
          </w:p>
        </w:tc>
      </w:tr>
      <w:tr w:rsidR="00543CF5" w:rsidRPr="00843688" w14:paraId="1B6E5F2B" w14:textId="77777777" w:rsidTr="001B5757">
        <w:trPr>
          <w:trHeight w:val="300"/>
        </w:trPr>
        <w:tc>
          <w:tcPr>
            <w:tcW w:w="3288" w:type="dxa"/>
            <w:tcBorders>
              <w:top w:val="nil"/>
              <w:left w:val="nil"/>
              <w:bottom w:val="nil"/>
              <w:right w:val="nil"/>
            </w:tcBorders>
            <w:shd w:val="clear" w:color="auto" w:fill="auto"/>
            <w:noWrap/>
            <w:vAlign w:val="bottom"/>
            <w:hideMark/>
          </w:tcPr>
          <w:p w14:paraId="6B9318DF" w14:textId="55CF3B5A" w:rsidR="00543CF5" w:rsidRPr="00543CF5" w:rsidRDefault="00543CF5" w:rsidP="00543CF5">
            <w:pPr>
              <w:pStyle w:val="TableLeft"/>
            </w:pPr>
            <w:r w:rsidRPr="00843688">
              <w:t xml:space="preserve">Revenue from </w:t>
            </w:r>
            <w:r w:rsidR="00A37B8D">
              <w:t>t</w:t>
            </w:r>
            <w:r w:rsidRPr="00843688">
              <w:t xml:space="preserve">ransactions less </w:t>
            </w:r>
            <w:r w:rsidRPr="00543CF5">
              <w:t>Interest income</w:t>
            </w:r>
          </w:p>
        </w:tc>
        <w:tc>
          <w:tcPr>
            <w:tcW w:w="1049" w:type="dxa"/>
            <w:tcBorders>
              <w:top w:val="nil"/>
              <w:left w:val="nil"/>
              <w:right w:val="nil"/>
            </w:tcBorders>
            <w:shd w:val="clear" w:color="auto" w:fill="auto"/>
            <w:noWrap/>
            <w:vAlign w:val="bottom"/>
            <w:hideMark/>
          </w:tcPr>
          <w:p w14:paraId="052E1D39" w14:textId="77777777" w:rsidR="00543CF5" w:rsidRPr="00543CF5" w:rsidRDefault="00543CF5" w:rsidP="00543CF5">
            <w:pPr>
              <w:pStyle w:val="TableRight"/>
            </w:pPr>
            <w:r>
              <w:t>7 819.0</w:t>
            </w:r>
          </w:p>
        </w:tc>
        <w:tc>
          <w:tcPr>
            <w:tcW w:w="1049" w:type="dxa"/>
            <w:tcBorders>
              <w:top w:val="nil"/>
              <w:left w:val="nil"/>
              <w:right w:val="nil"/>
            </w:tcBorders>
            <w:shd w:val="clear" w:color="auto" w:fill="auto"/>
            <w:noWrap/>
            <w:vAlign w:val="bottom"/>
            <w:hideMark/>
          </w:tcPr>
          <w:p w14:paraId="5523D113" w14:textId="77777777" w:rsidR="00543CF5" w:rsidRPr="00543CF5" w:rsidRDefault="00543CF5" w:rsidP="00543CF5">
            <w:pPr>
              <w:pStyle w:val="TableRight"/>
            </w:pPr>
            <w:r>
              <w:t>8 485.3</w:t>
            </w:r>
            <w:r w:rsidRPr="00543CF5">
              <w:t xml:space="preserve"> </w:t>
            </w:r>
          </w:p>
        </w:tc>
        <w:tc>
          <w:tcPr>
            <w:tcW w:w="1049" w:type="dxa"/>
            <w:tcBorders>
              <w:top w:val="nil"/>
              <w:left w:val="nil"/>
              <w:right w:val="nil"/>
            </w:tcBorders>
            <w:shd w:val="clear" w:color="auto" w:fill="auto"/>
            <w:noWrap/>
            <w:vAlign w:val="bottom"/>
            <w:hideMark/>
          </w:tcPr>
          <w:p w14:paraId="5A1896AC" w14:textId="77777777" w:rsidR="00543CF5" w:rsidRPr="00543CF5" w:rsidRDefault="00543CF5" w:rsidP="00543CF5">
            <w:pPr>
              <w:pStyle w:val="TableRight"/>
            </w:pPr>
            <w:r>
              <w:t>8 347.6</w:t>
            </w:r>
            <w:r w:rsidRPr="00543CF5">
              <w:t xml:space="preserve"> </w:t>
            </w:r>
          </w:p>
        </w:tc>
        <w:tc>
          <w:tcPr>
            <w:tcW w:w="1049" w:type="dxa"/>
            <w:tcBorders>
              <w:top w:val="nil"/>
              <w:left w:val="nil"/>
              <w:right w:val="nil"/>
            </w:tcBorders>
            <w:shd w:val="clear" w:color="auto" w:fill="auto"/>
            <w:noWrap/>
            <w:vAlign w:val="bottom"/>
            <w:hideMark/>
          </w:tcPr>
          <w:p w14:paraId="7C593D57" w14:textId="77777777" w:rsidR="00543CF5" w:rsidRPr="00543CF5" w:rsidRDefault="00543CF5" w:rsidP="00543CF5">
            <w:pPr>
              <w:pStyle w:val="TableRight"/>
            </w:pPr>
            <w:r w:rsidRPr="00843688">
              <w:t>8</w:t>
            </w:r>
            <w:r w:rsidRPr="00543CF5">
              <w:t xml:space="preserve"> 531.2 </w:t>
            </w:r>
          </w:p>
        </w:tc>
        <w:tc>
          <w:tcPr>
            <w:tcW w:w="1049" w:type="dxa"/>
            <w:tcBorders>
              <w:top w:val="nil"/>
              <w:left w:val="nil"/>
              <w:right w:val="nil"/>
            </w:tcBorders>
            <w:shd w:val="clear" w:color="auto" w:fill="auto"/>
            <w:noWrap/>
            <w:vAlign w:val="bottom"/>
            <w:hideMark/>
          </w:tcPr>
          <w:p w14:paraId="06933249" w14:textId="77777777" w:rsidR="00543CF5" w:rsidRPr="00543CF5" w:rsidRDefault="00543CF5" w:rsidP="00543CF5">
            <w:pPr>
              <w:pStyle w:val="TableRight"/>
            </w:pPr>
            <w:r w:rsidRPr="00843688">
              <w:t>8</w:t>
            </w:r>
            <w:r w:rsidRPr="00543CF5">
              <w:t xml:space="preserve"> 581.7 </w:t>
            </w:r>
          </w:p>
        </w:tc>
        <w:tc>
          <w:tcPr>
            <w:tcW w:w="1049" w:type="dxa"/>
            <w:tcBorders>
              <w:top w:val="nil"/>
              <w:left w:val="nil"/>
              <w:right w:val="nil"/>
            </w:tcBorders>
            <w:shd w:val="clear" w:color="auto" w:fill="auto"/>
            <w:noWrap/>
            <w:vAlign w:val="bottom"/>
            <w:hideMark/>
          </w:tcPr>
          <w:p w14:paraId="57FCE1C6" w14:textId="77777777" w:rsidR="00543CF5" w:rsidRPr="00543CF5" w:rsidRDefault="00543CF5" w:rsidP="00543CF5">
            <w:pPr>
              <w:pStyle w:val="TableRight"/>
            </w:pPr>
            <w:r w:rsidRPr="00843688">
              <w:t>8</w:t>
            </w:r>
            <w:r w:rsidRPr="00543CF5">
              <w:t xml:space="preserve"> 714.1 </w:t>
            </w:r>
          </w:p>
        </w:tc>
      </w:tr>
      <w:tr w:rsidR="00543CF5" w:rsidRPr="00843688" w14:paraId="59BE2FB2" w14:textId="77777777" w:rsidTr="001B5757">
        <w:trPr>
          <w:trHeight w:val="300"/>
        </w:trPr>
        <w:tc>
          <w:tcPr>
            <w:tcW w:w="3288" w:type="dxa"/>
            <w:tcBorders>
              <w:top w:val="nil"/>
              <w:left w:val="nil"/>
              <w:bottom w:val="nil"/>
              <w:right w:val="nil"/>
            </w:tcBorders>
            <w:shd w:val="clear" w:color="auto" w:fill="auto"/>
            <w:noWrap/>
            <w:vAlign w:val="bottom"/>
            <w:hideMark/>
          </w:tcPr>
          <w:p w14:paraId="7445C039" w14:textId="77777777" w:rsidR="00543CF5" w:rsidRPr="00843688" w:rsidRDefault="00543CF5" w:rsidP="00543CF5">
            <w:pPr>
              <w:pStyle w:val="TableLeft"/>
            </w:pPr>
          </w:p>
        </w:tc>
        <w:tc>
          <w:tcPr>
            <w:tcW w:w="1049" w:type="dxa"/>
            <w:tcBorders>
              <w:top w:val="nil"/>
              <w:left w:val="nil"/>
              <w:bottom w:val="nil"/>
              <w:right w:val="nil"/>
            </w:tcBorders>
            <w:shd w:val="clear" w:color="auto" w:fill="auto"/>
            <w:noWrap/>
            <w:vAlign w:val="bottom"/>
            <w:hideMark/>
          </w:tcPr>
          <w:p w14:paraId="32EC2F1D" w14:textId="77777777" w:rsidR="00543CF5" w:rsidRPr="00994257"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29D82E4C" w14:textId="77777777" w:rsidR="00543CF5" w:rsidRPr="00994257"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6574ED61" w14:textId="77777777" w:rsidR="00543CF5" w:rsidRPr="002C5288"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51C37EEC" w14:textId="77777777" w:rsidR="00543CF5" w:rsidRPr="002C5288"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53E91806" w14:textId="77777777" w:rsidR="00543CF5" w:rsidRPr="009165EF" w:rsidRDefault="00543CF5" w:rsidP="00543CF5">
            <w:pPr>
              <w:pStyle w:val="TableRightHeading"/>
            </w:pPr>
          </w:p>
        </w:tc>
        <w:tc>
          <w:tcPr>
            <w:tcW w:w="1049" w:type="dxa"/>
            <w:tcBorders>
              <w:top w:val="nil"/>
              <w:left w:val="nil"/>
              <w:bottom w:val="nil"/>
              <w:right w:val="nil"/>
            </w:tcBorders>
            <w:shd w:val="clear" w:color="auto" w:fill="auto"/>
            <w:noWrap/>
            <w:vAlign w:val="bottom"/>
            <w:hideMark/>
          </w:tcPr>
          <w:p w14:paraId="304B746C" w14:textId="77777777" w:rsidR="00543CF5" w:rsidRPr="009165EF" w:rsidRDefault="00543CF5" w:rsidP="00543CF5">
            <w:pPr>
              <w:pStyle w:val="TableRightHeading"/>
            </w:pPr>
          </w:p>
        </w:tc>
      </w:tr>
      <w:tr w:rsidR="00543CF5" w:rsidRPr="00843688" w14:paraId="21FB904D" w14:textId="77777777" w:rsidTr="001B5757">
        <w:trPr>
          <w:trHeight w:val="315"/>
        </w:trPr>
        <w:tc>
          <w:tcPr>
            <w:tcW w:w="3288" w:type="dxa"/>
            <w:tcBorders>
              <w:top w:val="nil"/>
              <w:left w:val="nil"/>
              <w:right w:val="nil"/>
            </w:tcBorders>
            <w:shd w:val="clear" w:color="auto" w:fill="auto"/>
            <w:noWrap/>
            <w:vAlign w:val="bottom"/>
            <w:hideMark/>
          </w:tcPr>
          <w:p w14:paraId="70389F0C" w14:textId="77777777" w:rsidR="00543CF5" w:rsidRPr="00543CF5" w:rsidRDefault="00543CF5" w:rsidP="00543CF5">
            <w:pPr>
              <w:pStyle w:val="TableLeftHeading"/>
            </w:pPr>
            <w:r w:rsidRPr="00843688">
              <w:t>Net Interest Cost Ratio</w:t>
            </w:r>
          </w:p>
        </w:tc>
        <w:tc>
          <w:tcPr>
            <w:tcW w:w="1049" w:type="dxa"/>
            <w:tcBorders>
              <w:left w:val="nil"/>
              <w:right w:val="nil"/>
            </w:tcBorders>
            <w:shd w:val="clear" w:color="auto" w:fill="auto"/>
            <w:noWrap/>
            <w:vAlign w:val="bottom"/>
            <w:hideMark/>
          </w:tcPr>
          <w:p w14:paraId="473A71F7" w14:textId="77777777" w:rsidR="00543CF5" w:rsidRPr="00543CF5" w:rsidRDefault="00543CF5" w:rsidP="00543CF5">
            <w:pPr>
              <w:pStyle w:val="TableRightHeading"/>
            </w:pPr>
            <w:r w:rsidRPr="00843688">
              <w:t>0.</w:t>
            </w:r>
            <w:r w:rsidRPr="00543CF5">
              <w:t>8%</w:t>
            </w:r>
          </w:p>
        </w:tc>
        <w:tc>
          <w:tcPr>
            <w:tcW w:w="1049" w:type="dxa"/>
            <w:tcBorders>
              <w:left w:val="nil"/>
              <w:right w:val="nil"/>
            </w:tcBorders>
            <w:shd w:val="clear" w:color="auto" w:fill="auto"/>
            <w:noWrap/>
            <w:vAlign w:val="bottom"/>
            <w:hideMark/>
          </w:tcPr>
          <w:p w14:paraId="2832EC12" w14:textId="77777777" w:rsidR="00543CF5" w:rsidRPr="00543CF5" w:rsidRDefault="00543CF5" w:rsidP="00543CF5">
            <w:pPr>
              <w:pStyle w:val="TableRightHeading"/>
            </w:pPr>
            <w:r w:rsidRPr="00843688">
              <w:t>0.</w:t>
            </w:r>
            <w:r w:rsidRPr="00543CF5">
              <w:t>4%</w:t>
            </w:r>
          </w:p>
        </w:tc>
        <w:tc>
          <w:tcPr>
            <w:tcW w:w="1049" w:type="dxa"/>
            <w:tcBorders>
              <w:left w:val="nil"/>
              <w:right w:val="nil"/>
            </w:tcBorders>
            <w:shd w:val="clear" w:color="auto" w:fill="auto"/>
            <w:noWrap/>
            <w:vAlign w:val="bottom"/>
            <w:hideMark/>
          </w:tcPr>
          <w:p w14:paraId="44973220" w14:textId="77777777" w:rsidR="00543CF5" w:rsidRPr="00543CF5" w:rsidRDefault="00543CF5" w:rsidP="00543CF5">
            <w:pPr>
              <w:pStyle w:val="TableRightHeading"/>
            </w:pPr>
            <w:r w:rsidRPr="00843688">
              <w:t>0.8%</w:t>
            </w:r>
          </w:p>
        </w:tc>
        <w:tc>
          <w:tcPr>
            <w:tcW w:w="1049" w:type="dxa"/>
            <w:tcBorders>
              <w:left w:val="nil"/>
              <w:right w:val="nil"/>
            </w:tcBorders>
            <w:shd w:val="clear" w:color="auto" w:fill="auto"/>
            <w:noWrap/>
            <w:vAlign w:val="bottom"/>
            <w:hideMark/>
          </w:tcPr>
          <w:p w14:paraId="776AC951" w14:textId="77777777" w:rsidR="00543CF5" w:rsidRPr="00543CF5" w:rsidRDefault="00543CF5" w:rsidP="00543CF5">
            <w:pPr>
              <w:pStyle w:val="TableRightHeading"/>
            </w:pPr>
            <w:r w:rsidRPr="00843688">
              <w:t>1.</w:t>
            </w:r>
            <w:r w:rsidRPr="00543CF5">
              <w:t>6%</w:t>
            </w:r>
          </w:p>
        </w:tc>
        <w:tc>
          <w:tcPr>
            <w:tcW w:w="1049" w:type="dxa"/>
            <w:tcBorders>
              <w:left w:val="nil"/>
              <w:right w:val="nil"/>
            </w:tcBorders>
            <w:shd w:val="clear" w:color="auto" w:fill="auto"/>
            <w:noWrap/>
            <w:vAlign w:val="bottom"/>
            <w:hideMark/>
          </w:tcPr>
          <w:p w14:paraId="56BA2482" w14:textId="77777777" w:rsidR="00543CF5" w:rsidRPr="00543CF5" w:rsidRDefault="00543CF5" w:rsidP="00543CF5">
            <w:pPr>
              <w:pStyle w:val="TableRightHeading"/>
            </w:pPr>
            <w:r>
              <w:t>2.1</w:t>
            </w:r>
            <w:r w:rsidRPr="00543CF5">
              <w:t>%</w:t>
            </w:r>
          </w:p>
        </w:tc>
        <w:tc>
          <w:tcPr>
            <w:tcW w:w="1049" w:type="dxa"/>
            <w:tcBorders>
              <w:left w:val="nil"/>
              <w:right w:val="nil"/>
            </w:tcBorders>
            <w:shd w:val="clear" w:color="auto" w:fill="auto"/>
            <w:noWrap/>
            <w:vAlign w:val="bottom"/>
            <w:hideMark/>
          </w:tcPr>
          <w:p w14:paraId="3E176146" w14:textId="77777777" w:rsidR="00543CF5" w:rsidRPr="00543CF5" w:rsidRDefault="00543CF5" w:rsidP="00543CF5">
            <w:pPr>
              <w:pStyle w:val="TableRightHeading"/>
            </w:pPr>
            <w:r w:rsidRPr="00843688">
              <w:t>2.</w:t>
            </w:r>
            <w:r w:rsidRPr="00543CF5">
              <w:t>4%</w:t>
            </w:r>
          </w:p>
        </w:tc>
      </w:tr>
      <w:tr w:rsidR="00543CF5" w:rsidRPr="00843688" w14:paraId="6E1EA89B" w14:textId="77777777" w:rsidTr="001B5757">
        <w:trPr>
          <w:trHeight w:val="315"/>
        </w:trPr>
        <w:tc>
          <w:tcPr>
            <w:tcW w:w="3288" w:type="dxa"/>
            <w:tcBorders>
              <w:top w:val="nil"/>
              <w:left w:val="nil"/>
              <w:bottom w:val="single" w:sz="4" w:space="0" w:color="auto"/>
              <w:right w:val="nil"/>
            </w:tcBorders>
            <w:shd w:val="clear" w:color="auto" w:fill="auto"/>
            <w:noWrap/>
            <w:vAlign w:val="bottom"/>
            <w:hideMark/>
          </w:tcPr>
          <w:p w14:paraId="4ADB9398" w14:textId="77777777" w:rsidR="00543CF5" w:rsidRPr="00543CF5" w:rsidRDefault="00543CF5" w:rsidP="00543CF5">
            <w:pPr>
              <w:pStyle w:val="TableRight"/>
            </w:pPr>
            <w:r w:rsidRPr="00843688">
              <w:t> </w:t>
            </w:r>
          </w:p>
        </w:tc>
        <w:tc>
          <w:tcPr>
            <w:tcW w:w="1049" w:type="dxa"/>
            <w:tcBorders>
              <w:top w:val="nil"/>
              <w:left w:val="nil"/>
              <w:bottom w:val="single" w:sz="4" w:space="0" w:color="auto"/>
              <w:right w:val="nil"/>
            </w:tcBorders>
            <w:shd w:val="clear" w:color="auto" w:fill="auto"/>
            <w:noWrap/>
            <w:vAlign w:val="bottom"/>
            <w:hideMark/>
          </w:tcPr>
          <w:p w14:paraId="64B9FBD8" w14:textId="77777777" w:rsidR="00543CF5" w:rsidRPr="00543CF5" w:rsidRDefault="00543CF5" w:rsidP="00543CF5">
            <w:pPr>
              <w:pStyle w:val="TableRightHeading"/>
            </w:pPr>
            <w:r w:rsidRPr="00994257">
              <w:t> </w:t>
            </w:r>
          </w:p>
        </w:tc>
        <w:tc>
          <w:tcPr>
            <w:tcW w:w="1049" w:type="dxa"/>
            <w:tcBorders>
              <w:top w:val="nil"/>
              <w:left w:val="nil"/>
              <w:bottom w:val="single" w:sz="4" w:space="0" w:color="auto"/>
              <w:right w:val="nil"/>
            </w:tcBorders>
            <w:shd w:val="clear" w:color="auto" w:fill="auto"/>
            <w:noWrap/>
            <w:vAlign w:val="bottom"/>
            <w:hideMark/>
          </w:tcPr>
          <w:p w14:paraId="4DFF6E33" w14:textId="77777777" w:rsidR="00543CF5" w:rsidRPr="00543CF5" w:rsidRDefault="00543CF5" w:rsidP="00543CF5">
            <w:pPr>
              <w:pStyle w:val="TableRightHeading"/>
            </w:pPr>
            <w:r w:rsidRPr="00994257">
              <w:t> </w:t>
            </w:r>
          </w:p>
        </w:tc>
        <w:tc>
          <w:tcPr>
            <w:tcW w:w="1049" w:type="dxa"/>
            <w:tcBorders>
              <w:top w:val="nil"/>
              <w:left w:val="nil"/>
              <w:bottom w:val="single" w:sz="4" w:space="0" w:color="auto"/>
              <w:right w:val="nil"/>
            </w:tcBorders>
            <w:shd w:val="clear" w:color="auto" w:fill="auto"/>
            <w:noWrap/>
            <w:vAlign w:val="bottom"/>
            <w:hideMark/>
          </w:tcPr>
          <w:p w14:paraId="5B338779" w14:textId="77777777" w:rsidR="00543CF5" w:rsidRPr="00543CF5" w:rsidRDefault="00543CF5" w:rsidP="00543CF5">
            <w:pPr>
              <w:pStyle w:val="TableRightHeading"/>
            </w:pPr>
            <w:r w:rsidRPr="002C5288">
              <w:t> </w:t>
            </w:r>
          </w:p>
        </w:tc>
        <w:tc>
          <w:tcPr>
            <w:tcW w:w="1049" w:type="dxa"/>
            <w:tcBorders>
              <w:top w:val="nil"/>
              <w:left w:val="nil"/>
              <w:bottom w:val="single" w:sz="4" w:space="0" w:color="auto"/>
              <w:right w:val="nil"/>
            </w:tcBorders>
            <w:shd w:val="clear" w:color="auto" w:fill="auto"/>
            <w:noWrap/>
            <w:vAlign w:val="bottom"/>
            <w:hideMark/>
          </w:tcPr>
          <w:p w14:paraId="62E10AD7" w14:textId="77777777" w:rsidR="00543CF5" w:rsidRPr="00543CF5" w:rsidRDefault="00543CF5" w:rsidP="00543CF5">
            <w:pPr>
              <w:pStyle w:val="TableRightHeading"/>
            </w:pPr>
            <w:r w:rsidRPr="002C5288">
              <w:t> </w:t>
            </w:r>
          </w:p>
        </w:tc>
        <w:tc>
          <w:tcPr>
            <w:tcW w:w="1049" w:type="dxa"/>
            <w:tcBorders>
              <w:top w:val="nil"/>
              <w:left w:val="nil"/>
              <w:bottom w:val="single" w:sz="4" w:space="0" w:color="auto"/>
              <w:right w:val="nil"/>
            </w:tcBorders>
            <w:shd w:val="clear" w:color="auto" w:fill="auto"/>
            <w:noWrap/>
            <w:vAlign w:val="bottom"/>
            <w:hideMark/>
          </w:tcPr>
          <w:p w14:paraId="6E69CACC" w14:textId="77777777" w:rsidR="00543CF5" w:rsidRPr="00543CF5" w:rsidRDefault="00543CF5" w:rsidP="00543CF5">
            <w:pPr>
              <w:pStyle w:val="TableRightHeading"/>
            </w:pPr>
            <w:r w:rsidRPr="009165EF">
              <w:t> </w:t>
            </w:r>
          </w:p>
        </w:tc>
        <w:tc>
          <w:tcPr>
            <w:tcW w:w="1049" w:type="dxa"/>
            <w:tcBorders>
              <w:top w:val="nil"/>
              <w:left w:val="nil"/>
              <w:bottom w:val="single" w:sz="4" w:space="0" w:color="auto"/>
              <w:right w:val="nil"/>
            </w:tcBorders>
            <w:shd w:val="clear" w:color="auto" w:fill="auto"/>
            <w:noWrap/>
            <w:vAlign w:val="bottom"/>
            <w:hideMark/>
          </w:tcPr>
          <w:p w14:paraId="6B95D524" w14:textId="77777777" w:rsidR="00543CF5" w:rsidRPr="00543CF5" w:rsidRDefault="00543CF5" w:rsidP="00543CF5">
            <w:pPr>
              <w:pStyle w:val="TableRightHeading"/>
            </w:pPr>
            <w:r w:rsidRPr="009165EF">
              <w:t> </w:t>
            </w:r>
          </w:p>
        </w:tc>
      </w:tr>
      <w:tr w:rsidR="00543CF5" w:rsidRPr="00843688" w14:paraId="642B43D8" w14:textId="77777777" w:rsidTr="001B5757">
        <w:trPr>
          <w:trHeight w:val="315"/>
        </w:trPr>
        <w:tc>
          <w:tcPr>
            <w:tcW w:w="3288" w:type="dxa"/>
            <w:tcBorders>
              <w:top w:val="single" w:sz="4" w:space="0" w:color="auto"/>
              <w:left w:val="nil"/>
              <w:right w:val="nil"/>
            </w:tcBorders>
            <w:shd w:val="clear" w:color="auto" w:fill="auto"/>
            <w:noWrap/>
            <w:vAlign w:val="bottom"/>
          </w:tcPr>
          <w:p w14:paraId="29373D1E" w14:textId="77777777" w:rsidR="00543CF5" w:rsidRPr="00843688" w:rsidRDefault="00543CF5" w:rsidP="00543CF5">
            <w:pPr>
              <w:pStyle w:val="TableRight"/>
            </w:pPr>
          </w:p>
        </w:tc>
        <w:tc>
          <w:tcPr>
            <w:tcW w:w="1049" w:type="dxa"/>
            <w:tcBorders>
              <w:top w:val="single" w:sz="4" w:space="0" w:color="auto"/>
              <w:left w:val="nil"/>
              <w:right w:val="nil"/>
            </w:tcBorders>
            <w:shd w:val="clear" w:color="auto" w:fill="auto"/>
            <w:noWrap/>
            <w:vAlign w:val="bottom"/>
          </w:tcPr>
          <w:p w14:paraId="473076A6" w14:textId="77777777" w:rsidR="00543CF5" w:rsidRPr="00843688" w:rsidRDefault="00543CF5" w:rsidP="00543CF5">
            <w:pPr>
              <w:pStyle w:val="TableRight"/>
            </w:pPr>
          </w:p>
        </w:tc>
        <w:tc>
          <w:tcPr>
            <w:tcW w:w="1049" w:type="dxa"/>
            <w:tcBorders>
              <w:top w:val="single" w:sz="4" w:space="0" w:color="auto"/>
              <w:left w:val="nil"/>
              <w:right w:val="nil"/>
            </w:tcBorders>
            <w:shd w:val="clear" w:color="auto" w:fill="auto"/>
            <w:noWrap/>
            <w:vAlign w:val="bottom"/>
          </w:tcPr>
          <w:p w14:paraId="29449479" w14:textId="77777777" w:rsidR="00543CF5" w:rsidRPr="00843688" w:rsidRDefault="00543CF5" w:rsidP="00543CF5">
            <w:pPr>
              <w:pStyle w:val="TableRight"/>
            </w:pPr>
          </w:p>
        </w:tc>
        <w:tc>
          <w:tcPr>
            <w:tcW w:w="1049" w:type="dxa"/>
            <w:tcBorders>
              <w:top w:val="single" w:sz="4" w:space="0" w:color="auto"/>
              <w:left w:val="nil"/>
              <w:right w:val="nil"/>
            </w:tcBorders>
            <w:shd w:val="clear" w:color="auto" w:fill="auto"/>
            <w:noWrap/>
            <w:vAlign w:val="bottom"/>
          </w:tcPr>
          <w:p w14:paraId="4700BB73" w14:textId="77777777" w:rsidR="00543CF5" w:rsidRPr="00843688" w:rsidRDefault="00543CF5" w:rsidP="00543CF5">
            <w:pPr>
              <w:pStyle w:val="TableRight"/>
            </w:pPr>
          </w:p>
        </w:tc>
        <w:tc>
          <w:tcPr>
            <w:tcW w:w="1049" w:type="dxa"/>
            <w:tcBorders>
              <w:top w:val="single" w:sz="4" w:space="0" w:color="auto"/>
              <w:left w:val="nil"/>
              <w:right w:val="nil"/>
            </w:tcBorders>
            <w:shd w:val="clear" w:color="auto" w:fill="auto"/>
            <w:noWrap/>
            <w:vAlign w:val="bottom"/>
          </w:tcPr>
          <w:p w14:paraId="02240E49" w14:textId="77777777" w:rsidR="00543CF5" w:rsidRPr="00843688" w:rsidRDefault="00543CF5" w:rsidP="00543CF5">
            <w:pPr>
              <w:pStyle w:val="TableRight"/>
            </w:pPr>
          </w:p>
        </w:tc>
        <w:tc>
          <w:tcPr>
            <w:tcW w:w="1049" w:type="dxa"/>
            <w:tcBorders>
              <w:top w:val="single" w:sz="4" w:space="0" w:color="auto"/>
              <w:left w:val="nil"/>
              <w:right w:val="nil"/>
            </w:tcBorders>
            <w:shd w:val="clear" w:color="auto" w:fill="auto"/>
            <w:noWrap/>
            <w:vAlign w:val="bottom"/>
          </w:tcPr>
          <w:p w14:paraId="3C44C263" w14:textId="77777777" w:rsidR="00543CF5" w:rsidRPr="00843688" w:rsidRDefault="00543CF5" w:rsidP="00543CF5">
            <w:pPr>
              <w:pStyle w:val="TableRight"/>
            </w:pPr>
          </w:p>
        </w:tc>
        <w:tc>
          <w:tcPr>
            <w:tcW w:w="1049" w:type="dxa"/>
            <w:tcBorders>
              <w:top w:val="single" w:sz="4" w:space="0" w:color="auto"/>
              <w:left w:val="nil"/>
              <w:right w:val="nil"/>
            </w:tcBorders>
            <w:shd w:val="clear" w:color="auto" w:fill="auto"/>
            <w:noWrap/>
            <w:vAlign w:val="bottom"/>
          </w:tcPr>
          <w:p w14:paraId="34E22ED4" w14:textId="77777777" w:rsidR="00543CF5" w:rsidRPr="00843688" w:rsidRDefault="00543CF5" w:rsidP="00543CF5">
            <w:pPr>
              <w:pStyle w:val="TableRight"/>
            </w:pPr>
          </w:p>
        </w:tc>
      </w:tr>
    </w:tbl>
    <w:p w14:paraId="6AD6A496" w14:textId="1635B0A5" w:rsidR="00543CF5" w:rsidRPr="00843688" w:rsidRDefault="00543CF5" w:rsidP="00543CF5">
      <w:pPr>
        <w:pStyle w:val="Body"/>
      </w:pPr>
      <w:r w:rsidRPr="000C23B0">
        <w:t>Table 7.5 shows the ratio increasing from an estimated 0.</w:t>
      </w:r>
      <w:r>
        <w:t>4</w:t>
      </w:r>
      <w:r w:rsidRPr="000C23B0">
        <w:t> per cent in 202</w:t>
      </w:r>
      <w:r>
        <w:t>2</w:t>
      </w:r>
      <w:r w:rsidRPr="000C23B0">
        <w:noBreakHyphen/>
        <w:t>2</w:t>
      </w:r>
      <w:r>
        <w:t>3</w:t>
      </w:r>
      <w:r w:rsidRPr="000C23B0">
        <w:t>, to an estimated 2.</w:t>
      </w:r>
      <w:r>
        <w:t>4</w:t>
      </w:r>
      <w:r w:rsidRPr="000C23B0">
        <w:t xml:space="preserve"> per cent </w:t>
      </w:r>
      <w:r w:rsidR="009B5D68">
        <w:t>in</w:t>
      </w:r>
      <w:r w:rsidR="009B5D68" w:rsidRPr="000C23B0">
        <w:t xml:space="preserve"> </w:t>
      </w:r>
      <w:r w:rsidRPr="000C23B0">
        <w:t>202</w:t>
      </w:r>
      <w:r>
        <w:t>6</w:t>
      </w:r>
      <w:r w:rsidRPr="000C23B0">
        <w:t>-2</w:t>
      </w:r>
      <w:r>
        <w:t>7</w:t>
      </w:r>
      <w:r w:rsidRPr="000C23B0">
        <w:t>. The increase in the ratio reflects the increase in Net</w:t>
      </w:r>
      <w:r w:rsidR="005170EE">
        <w:t> </w:t>
      </w:r>
      <w:r w:rsidRPr="000C23B0">
        <w:t>Debt and forecast increases in interest rates over the period. However, a ratio of 2.</w:t>
      </w:r>
      <w:r w:rsidR="00B85DF8">
        <w:t>4</w:t>
      </w:r>
      <w:r w:rsidRPr="000C23B0">
        <w:t> per cent is considered low and indicates that estimated debt levels over the Forward Estimates are manageable.</w:t>
      </w:r>
    </w:p>
    <w:p w14:paraId="4774F6A4" w14:textId="2D7A8B39" w:rsidR="00543CF5" w:rsidRPr="00843688" w:rsidRDefault="00543CF5" w:rsidP="00543CF5">
      <w:pPr>
        <w:pStyle w:val="Body"/>
      </w:pPr>
      <w:r w:rsidRPr="00843688">
        <w:t>Borrowing cost estimates for the 202</w:t>
      </w:r>
      <w:r>
        <w:t>3</w:t>
      </w:r>
      <w:r w:rsidRPr="00843688">
        <w:noBreakHyphen/>
        <w:t>2</w:t>
      </w:r>
      <w:r>
        <w:t>4</w:t>
      </w:r>
      <w:r w:rsidR="001A7A30">
        <w:t> </w:t>
      </w:r>
      <w:r w:rsidRPr="00843688">
        <w:t>Budget and Forward</w:t>
      </w:r>
      <w:r w:rsidR="001A7A30">
        <w:t> </w:t>
      </w:r>
      <w:r w:rsidRPr="00843688">
        <w:t>Estimates are based on forecast rates for 10 year bonds. The applicable rates used for new borrowings across the Budget and Forward</w:t>
      </w:r>
      <w:r w:rsidR="001A7A30">
        <w:t> </w:t>
      </w:r>
      <w:r w:rsidRPr="00843688">
        <w:t>Estimates are:</w:t>
      </w:r>
    </w:p>
    <w:p w14:paraId="6D26DDFF" w14:textId="3DE1977E" w:rsidR="00543CF5" w:rsidRPr="00843688" w:rsidRDefault="00543CF5" w:rsidP="00543CF5">
      <w:pPr>
        <w:pStyle w:val="Dotpoint"/>
      </w:pPr>
      <w:r>
        <w:t>4.51</w:t>
      </w:r>
      <w:r w:rsidR="001A7A30">
        <w:t> </w:t>
      </w:r>
      <w:r w:rsidRPr="00843688">
        <w:t>per cent for 2022-23;</w:t>
      </w:r>
    </w:p>
    <w:p w14:paraId="071F7979" w14:textId="2DAD4483" w:rsidR="00543CF5" w:rsidRPr="00843688" w:rsidRDefault="00543CF5" w:rsidP="00543CF5">
      <w:pPr>
        <w:pStyle w:val="Dotpoint"/>
      </w:pPr>
      <w:r>
        <w:t>4.68</w:t>
      </w:r>
      <w:r w:rsidR="001A7A30">
        <w:t> </w:t>
      </w:r>
      <w:r w:rsidRPr="00843688">
        <w:t>per cent for 2023-24;</w:t>
      </w:r>
    </w:p>
    <w:p w14:paraId="5D83D7EB" w14:textId="00B0609F" w:rsidR="00543CF5" w:rsidRDefault="00543CF5" w:rsidP="00543CF5">
      <w:pPr>
        <w:pStyle w:val="Dotpoint"/>
      </w:pPr>
      <w:r>
        <w:t>4.90</w:t>
      </w:r>
      <w:r w:rsidR="001A7A30">
        <w:t> </w:t>
      </w:r>
      <w:r w:rsidRPr="00843688">
        <w:t xml:space="preserve">per cent for 2024-25; </w:t>
      </w:r>
    </w:p>
    <w:p w14:paraId="25FF3EB8" w14:textId="473B80F4" w:rsidR="00543CF5" w:rsidRDefault="00543CF5" w:rsidP="00543CF5">
      <w:pPr>
        <w:pStyle w:val="Dotpoint"/>
      </w:pPr>
      <w:r>
        <w:t>5.15</w:t>
      </w:r>
      <w:r w:rsidR="001A7A30">
        <w:t> </w:t>
      </w:r>
      <w:r w:rsidRPr="00843688">
        <w:t>per cent for 2025-26</w:t>
      </w:r>
      <w:r>
        <w:t>; and</w:t>
      </w:r>
    </w:p>
    <w:p w14:paraId="4C15E558" w14:textId="7BE32204" w:rsidR="00543CF5" w:rsidRPr="00843688" w:rsidRDefault="00543CF5" w:rsidP="00543CF5">
      <w:pPr>
        <w:pStyle w:val="Dotpoint"/>
      </w:pPr>
      <w:r>
        <w:t>5.38</w:t>
      </w:r>
      <w:r w:rsidR="001A7A30">
        <w:t> </w:t>
      </w:r>
      <w:r w:rsidRPr="00843688">
        <w:t>per cent for 202</w:t>
      </w:r>
      <w:r>
        <w:t>6</w:t>
      </w:r>
      <w:r w:rsidRPr="00843688">
        <w:t>-2</w:t>
      </w:r>
      <w:r>
        <w:t>7</w:t>
      </w:r>
      <w:r w:rsidRPr="00843688">
        <w:t>.</w:t>
      </w:r>
    </w:p>
    <w:p w14:paraId="0E2E64B1" w14:textId="77777777" w:rsidR="00A032C5" w:rsidRDefault="00A032C5">
      <w:r>
        <w:br w:type="page"/>
      </w:r>
    </w:p>
    <w:p w14:paraId="513317A8" w14:textId="1200D5FC" w:rsidR="00543CF5" w:rsidRDefault="00543CF5" w:rsidP="001B5757">
      <w:pPr>
        <w:pStyle w:val="Body"/>
      </w:pPr>
      <w:r w:rsidRPr="00843688">
        <w:lastRenderedPageBreak/>
        <w:t>Chart</w:t>
      </w:r>
      <w:r w:rsidR="001A7A30">
        <w:t> </w:t>
      </w:r>
      <w:r w:rsidRPr="00843688">
        <w:t>7.4 presents a sensitivity analysis of the impact of an increase in interest rates above the current assumptions used in the Budget and Forward</w:t>
      </w:r>
      <w:r w:rsidR="001A7A30">
        <w:t> </w:t>
      </w:r>
      <w:r w:rsidRPr="00843688">
        <w:t>Estimates.</w:t>
      </w:r>
    </w:p>
    <w:p w14:paraId="20CF3358" w14:textId="22E54920" w:rsidR="00543CF5" w:rsidRPr="00843688" w:rsidRDefault="00543CF5" w:rsidP="00543CF5">
      <w:pPr>
        <w:pStyle w:val="Body"/>
      </w:pPr>
      <w:r w:rsidRPr="00843688">
        <w:t>The impact of higher interest rates is mitigated because:</w:t>
      </w:r>
    </w:p>
    <w:p w14:paraId="47F17AA1" w14:textId="77777777" w:rsidR="00543CF5" w:rsidRPr="00843688" w:rsidRDefault="00543CF5" w:rsidP="00543CF5">
      <w:pPr>
        <w:pStyle w:val="Dotpoint"/>
      </w:pPr>
      <w:r w:rsidRPr="00843688">
        <w:t>the current debt portfolio is comprised of a number of fixed interest rate loans and the impact of an increase in interest rates is not realised until the existing debt matures and is refinanced, or additional borrowings are undertaken; and</w:t>
      </w:r>
    </w:p>
    <w:p w14:paraId="15FA4D28" w14:textId="35868698" w:rsidR="00543CF5" w:rsidRPr="00843688" w:rsidRDefault="00543CF5" w:rsidP="00543CF5">
      <w:pPr>
        <w:pStyle w:val="Dotpoint"/>
      </w:pPr>
      <w:r w:rsidRPr="00843688">
        <w:t>additional Interest income will be earned as interest rates increase, which will partly offset the impact of the additional Borrowing costs. The interest income estimates are based on the average forecast earnings on Cash held with Westpac and Investments held with the Tasmanian Public Finance Corporation. The average rate of earnings across the Budget and Forward</w:t>
      </w:r>
      <w:r w:rsidR="005170EE">
        <w:t> </w:t>
      </w:r>
      <w:r w:rsidRPr="00843688">
        <w:t>Estimates are:</w:t>
      </w:r>
    </w:p>
    <w:p w14:paraId="3E6EA2C4" w14:textId="77777777" w:rsidR="00543CF5" w:rsidRPr="00543CF5" w:rsidRDefault="00543CF5" w:rsidP="00543CF5">
      <w:pPr>
        <w:pStyle w:val="Dashpoint"/>
      </w:pPr>
      <w:r>
        <w:t>3.26</w:t>
      </w:r>
      <w:r w:rsidRPr="00543CF5">
        <w:t> per cent in 2022-23;</w:t>
      </w:r>
    </w:p>
    <w:p w14:paraId="35670BA0" w14:textId="55C16411" w:rsidR="00543CF5" w:rsidRPr="00543CF5" w:rsidRDefault="00543CF5" w:rsidP="00543CF5">
      <w:pPr>
        <w:pStyle w:val="Dashpoint"/>
      </w:pPr>
      <w:r>
        <w:t>4.14</w:t>
      </w:r>
      <w:r w:rsidR="001A7A30">
        <w:t> </w:t>
      </w:r>
      <w:r w:rsidRPr="00543CF5">
        <w:t>per cent in 2023-24;</w:t>
      </w:r>
    </w:p>
    <w:p w14:paraId="4D35CB79" w14:textId="49A7CEE7" w:rsidR="00543CF5" w:rsidRPr="00543CF5" w:rsidRDefault="00543CF5" w:rsidP="00543CF5">
      <w:pPr>
        <w:pStyle w:val="Dashpoint"/>
      </w:pPr>
      <w:r>
        <w:t>4.01</w:t>
      </w:r>
      <w:r w:rsidR="001A7A30">
        <w:t> </w:t>
      </w:r>
      <w:r w:rsidRPr="00543CF5">
        <w:t>per cent in 2024-25;</w:t>
      </w:r>
    </w:p>
    <w:p w14:paraId="23CBAC56" w14:textId="493376B8" w:rsidR="00543CF5" w:rsidRPr="00543CF5" w:rsidRDefault="00543CF5" w:rsidP="00543CF5">
      <w:pPr>
        <w:pStyle w:val="Dashpoint"/>
      </w:pPr>
      <w:r>
        <w:t>4.04</w:t>
      </w:r>
      <w:r w:rsidR="001A7A30">
        <w:t> </w:t>
      </w:r>
      <w:r w:rsidRPr="00543CF5">
        <w:t>per</w:t>
      </w:r>
      <w:r w:rsidR="005170EE">
        <w:t> </w:t>
      </w:r>
      <w:r w:rsidRPr="00543CF5">
        <w:t>cent in 2025-26; and</w:t>
      </w:r>
    </w:p>
    <w:p w14:paraId="579F2EBD" w14:textId="6928331A" w:rsidR="00543CF5" w:rsidRPr="00543CF5" w:rsidRDefault="00543CF5" w:rsidP="00543CF5">
      <w:pPr>
        <w:pStyle w:val="Dashpoint"/>
      </w:pPr>
      <w:r>
        <w:t>4.23</w:t>
      </w:r>
      <w:r w:rsidR="001A7A30">
        <w:t> </w:t>
      </w:r>
      <w:r w:rsidRPr="00543CF5">
        <w:t>per cent in 2026-27.</w:t>
      </w:r>
    </w:p>
    <w:p w14:paraId="10D0FE27" w14:textId="5F056B97" w:rsidR="00543CF5" w:rsidRPr="00843688" w:rsidRDefault="00543CF5" w:rsidP="00543CF5">
      <w:pPr>
        <w:pStyle w:val="Body"/>
      </w:pPr>
      <w:r w:rsidRPr="001C79F4">
        <w:t>The impact of a 50 basis point increase in base interest rate assumptions would result in Net interest costs increasing by</w:t>
      </w:r>
      <w:r w:rsidR="00BF4CA2">
        <w:t xml:space="preserve"> $155 000 in </w:t>
      </w:r>
      <w:r w:rsidR="00035CE7">
        <w:t>2023</w:t>
      </w:r>
      <w:r w:rsidR="00BF4CA2">
        <w:t>-</w:t>
      </w:r>
      <w:r w:rsidR="00035CE7">
        <w:t xml:space="preserve">24 </w:t>
      </w:r>
      <w:r w:rsidR="00BF4CA2">
        <w:t>and by</w:t>
      </w:r>
      <w:r w:rsidRPr="001C79F4">
        <w:t xml:space="preserve"> $</w:t>
      </w:r>
      <w:r>
        <w:t>17.5</w:t>
      </w:r>
      <w:r w:rsidRPr="001C79F4">
        <w:t> million in 202</w:t>
      </w:r>
      <w:r>
        <w:t>6</w:t>
      </w:r>
      <w:r w:rsidRPr="001C79F4">
        <w:noBreakHyphen/>
        <w:t>2</w:t>
      </w:r>
      <w:r>
        <w:t>7</w:t>
      </w:r>
      <w:r w:rsidRPr="001C79F4">
        <w:t>. Should the base interest rate assumptions increase by 100 basis points, net interest costs are estimated to increase by $</w:t>
      </w:r>
      <w:r w:rsidR="00BF4CA2">
        <w:t>330 000</w:t>
      </w:r>
      <w:r w:rsidRPr="001C79F4">
        <w:t xml:space="preserve"> in 202</w:t>
      </w:r>
      <w:r>
        <w:t>3</w:t>
      </w:r>
      <w:r w:rsidRPr="001C79F4">
        <w:noBreakHyphen/>
        <w:t>2</w:t>
      </w:r>
      <w:r>
        <w:t>4</w:t>
      </w:r>
      <w:r w:rsidRPr="001C79F4">
        <w:t>, and by $</w:t>
      </w:r>
      <w:r>
        <w:t>35.5</w:t>
      </w:r>
      <w:r w:rsidRPr="001C79F4">
        <w:t> million in 202</w:t>
      </w:r>
      <w:r>
        <w:t>6</w:t>
      </w:r>
      <w:r w:rsidRPr="001C79F4">
        <w:noBreakHyphen/>
        <w:t>2</w:t>
      </w:r>
      <w:r>
        <w:t>7</w:t>
      </w:r>
      <w:r w:rsidRPr="001C79F4">
        <w:t>.</w:t>
      </w:r>
    </w:p>
    <w:p w14:paraId="3CB2CA73" w14:textId="1C0AAEE7" w:rsidR="00543CF5" w:rsidRDefault="00543CF5" w:rsidP="00543CF5">
      <w:pPr>
        <w:pStyle w:val="Heading6"/>
      </w:pPr>
      <w:r w:rsidRPr="00843688">
        <w:t>Chart 7.4</w:t>
      </w:r>
      <w:r>
        <w:t>:</w:t>
      </w:r>
      <w:r w:rsidRPr="00843688">
        <w:t xml:space="preserve"> </w:t>
      </w:r>
      <w:r w:rsidRPr="00843688">
        <w:tab/>
        <w:t>Sensitivity Analysis of the General Government Sector Net Interest Costs</w:t>
      </w:r>
    </w:p>
    <w:p w14:paraId="1FEA4081" w14:textId="10F8890E" w:rsidR="00E27F5E" w:rsidRDefault="00051136" w:rsidP="00E27F5E">
      <w:pPr>
        <w:pStyle w:val="Body"/>
      </w:pPr>
      <w:r>
        <w:rPr>
          <w:noProof/>
        </w:rPr>
        <w:drawing>
          <wp:inline distT="0" distB="0" distL="0" distR="0" wp14:anchorId="3088B57F" wp14:editId="35FDAA8B">
            <wp:extent cx="6084570" cy="3096895"/>
            <wp:effectExtent l="0" t="0" r="0" b="8255"/>
            <wp:docPr id="15" name="Picture 15" descr="Sensitivity Analysis of the General Government Sector Net Interest Costs&#10;The chart shows that the increase in Net Interest Costs is amplified over time as interest rate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nsitivity Analysis of the General Government Sector Net Interest Costs&#10;The chart shows that the increase in Net Interest Costs is amplified over time as interest rate incre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5D4C0A4B" w14:textId="42D1FC79" w:rsidR="00E27F5E" w:rsidRDefault="00E27F5E">
      <w:r>
        <w:br w:type="page"/>
      </w:r>
    </w:p>
    <w:p w14:paraId="7EC1B00D" w14:textId="77777777" w:rsidR="00E27F5E" w:rsidRPr="00843688" w:rsidRDefault="00E27F5E" w:rsidP="00E27F5E">
      <w:pPr>
        <w:pStyle w:val="Heading2"/>
      </w:pPr>
      <w:r w:rsidRPr="00843688">
        <w:lastRenderedPageBreak/>
        <w:t>Net Worth</w:t>
      </w:r>
    </w:p>
    <w:p w14:paraId="678BD789" w14:textId="77777777" w:rsidR="00E27F5E" w:rsidRPr="00843688" w:rsidRDefault="00E27F5E" w:rsidP="00E27F5E">
      <w:pPr>
        <w:pStyle w:val="Body"/>
      </w:pPr>
      <w:r w:rsidRPr="00843688">
        <w:t>Net Worth provides a measure of the Government’s overall financial position. It includes the impact of Equity Investments, Non-financial assets such as Land and buildings and Infrastructure, as well as Superannuation and Other liabilities.</w:t>
      </w:r>
    </w:p>
    <w:p w14:paraId="7AD88380" w14:textId="54A07E96" w:rsidR="00E27F5E" w:rsidRPr="00285092" w:rsidRDefault="00E27F5E" w:rsidP="00E27F5E">
      <w:pPr>
        <w:pStyle w:val="Body"/>
      </w:pPr>
      <w:r w:rsidRPr="00285092">
        <w:t>Chart</w:t>
      </w:r>
      <w:r w:rsidR="001A7A30">
        <w:t> </w:t>
      </w:r>
      <w:r w:rsidRPr="00285092">
        <w:t>7.5 shows Net Worth for the period 30 June 2018 to 30 June 2027. The chart shows that Net Worth is forecast to rise by $6 711 million over the period from $10 501 million as at 30 June 2018 to $17 212 million as at 30 June 2027. The increase reflects:</w:t>
      </w:r>
    </w:p>
    <w:p w14:paraId="5F39B272" w14:textId="342C5C48" w:rsidR="00E27F5E" w:rsidRPr="00285092" w:rsidRDefault="00E27F5E" w:rsidP="00E27F5E">
      <w:pPr>
        <w:pStyle w:val="Dotpoint"/>
      </w:pPr>
      <w:r w:rsidRPr="00285092">
        <w:t>an increase in financial assets of $7 514.4 million, which is primarily due to the increase in Equity</w:t>
      </w:r>
      <w:r w:rsidR="001A7A30">
        <w:t> </w:t>
      </w:r>
      <w:r w:rsidRPr="00285092">
        <w:t>investments in PNFC and PFC Sectors of $7 152.2 million reflecting the addition of Homes</w:t>
      </w:r>
      <w:r w:rsidR="001A7A30">
        <w:t> </w:t>
      </w:r>
      <w:r w:rsidRPr="00285092">
        <w:t xml:space="preserve">Tasmania to the PNFC Sector following the </w:t>
      </w:r>
      <w:r w:rsidR="00FC45F2">
        <w:t xml:space="preserve">restructure and </w:t>
      </w:r>
      <w:r w:rsidRPr="00285092">
        <w:t>aboli</w:t>
      </w:r>
      <w:r w:rsidR="000853C8">
        <w:t>tion</w:t>
      </w:r>
      <w:r w:rsidRPr="00285092">
        <w:t xml:space="preserve"> of the</w:t>
      </w:r>
      <w:r w:rsidR="001B5757">
        <w:t xml:space="preserve"> former</w:t>
      </w:r>
      <w:r w:rsidRPr="00285092">
        <w:t xml:space="preserve"> Department</w:t>
      </w:r>
      <w:r w:rsidR="001A7A30">
        <w:t> </w:t>
      </w:r>
      <w:r w:rsidRPr="00285092">
        <w:t xml:space="preserve">of Communities Tasmania </w:t>
      </w:r>
      <w:r w:rsidR="007D50E9">
        <w:t>from</w:t>
      </w:r>
      <w:r w:rsidRPr="00285092">
        <w:t xml:space="preserve"> </w:t>
      </w:r>
      <w:r w:rsidR="007D50E9">
        <w:t>1</w:t>
      </w:r>
      <w:r w:rsidR="001A7A30">
        <w:t> </w:t>
      </w:r>
      <w:r w:rsidR="007D50E9">
        <w:t>December</w:t>
      </w:r>
      <w:r>
        <w:t> </w:t>
      </w:r>
      <w:r w:rsidRPr="00285092">
        <w:t>202</w:t>
      </w:r>
      <w:r w:rsidR="007D50E9">
        <w:t>2</w:t>
      </w:r>
      <w:r w:rsidRPr="00285092">
        <w:t>. In addition</w:t>
      </w:r>
      <w:r w:rsidR="00B36B9C">
        <w:t>,</w:t>
      </w:r>
      <w:r w:rsidRPr="00285092">
        <w:t xml:space="preserve"> Other equity investments ha</w:t>
      </w:r>
      <w:r w:rsidR="001D07CE">
        <w:t>ve</w:t>
      </w:r>
      <w:r w:rsidRPr="00285092">
        <w:t xml:space="preserve"> increased by $169.5 million, reflecting the $</w:t>
      </w:r>
      <w:r w:rsidR="00C26D59">
        <w:t>187.1</w:t>
      </w:r>
      <w:r w:rsidRPr="00285092">
        <w:t> million investment in the Tasmanian Water and Sewerage Corporation Pty Ltd;</w:t>
      </w:r>
    </w:p>
    <w:p w14:paraId="437F9D73" w14:textId="2AC69FEE" w:rsidR="00E27F5E" w:rsidRPr="00285092" w:rsidRDefault="00E27F5E" w:rsidP="00E27F5E">
      <w:pPr>
        <w:pStyle w:val="Dotpoint"/>
      </w:pPr>
      <w:r w:rsidRPr="00285092">
        <w:t>an increase in Non-financial assets of $</w:t>
      </w:r>
      <w:r>
        <w:t>6 162</w:t>
      </w:r>
      <w:r w:rsidRPr="00285092">
        <w:t xml:space="preserve"> million, which is primarily due to the increased value </w:t>
      </w:r>
      <w:r>
        <w:t xml:space="preserve">for </w:t>
      </w:r>
      <w:r w:rsidRPr="003111C1">
        <w:t>Infrastructure of $</w:t>
      </w:r>
      <w:r>
        <w:t>3 779.6 </w:t>
      </w:r>
      <w:r w:rsidRPr="003111C1">
        <w:t>million</w:t>
      </w:r>
      <w:r>
        <w:t xml:space="preserve"> and </w:t>
      </w:r>
      <w:r w:rsidRPr="00285092">
        <w:t>Land and buildings of $</w:t>
      </w:r>
      <w:r>
        <w:t>1 289.4</w:t>
      </w:r>
      <w:r w:rsidRPr="00285092">
        <w:t> million</w:t>
      </w:r>
      <w:r>
        <w:t>;</w:t>
      </w:r>
      <w:r w:rsidRPr="00285092">
        <w:t xml:space="preserve"> and</w:t>
      </w:r>
    </w:p>
    <w:p w14:paraId="10860A0D" w14:textId="25A3FCE0" w:rsidR="00E77578" w:rsidRDefault="00E27F5E" w:rsidP="00E27F5E">
      <w:pPr>
        <w:pStyle w:val="Dotpoint"/>
      </w:pPr>
      <w:r w:rsidRPr="00285092">
        <w:t>an increase in Liabilities of $</w:t>
      </w:r>
      <w:r>
        <w:t>6 964.8</w:t>
      </w:r>
      <w:r w:rsidRPr="00285092">
        <w:t> million, which is primarily due to:</w:t>
      </w:r>
    </w:p>
    <w:p w14:paraId="0142F759" w14:textId="1F28DD71" w:rsidR="00E77578" w:rsidRDefault="00E27F5E" w:rsidP="00E77578">
      <w:pPr>
        <w:pStyle w:val="Dashpoint"/>
      </w:pPr>
      <w:r w:rsidRPr="00285092">
        <w:t>the increase in Borrowings of $</w:t>
      </w:r>
      <w:r>
        <w:t>6 184.2</w:t>
      </w:r>
      <w:r w:rsidRPr="00285092">
        <w:t> million reflecting the additional borrowings to support the General Government Sector cash deficit;</w:t>
      </w:r>
    </w:p>
    <w:p w14:paraId="099822D8" w14:textId="7DC3F723" w:rsidR="00E77578" w:rsidRDefault="00E27F5E" w:rsidP="00E77578">
      <w:pPr>
        <w:pStyle w:val="Dashpoint"/>
      </w:pPr>
      <w:r w:rsidRPr="00285092">
        <w:t xml:space="preserve">an increase in </w:t>
      </w:r>
      <w:r>
        <w:t>Lease liabilities of $653.5 million due to the change in accounting standards</w:t>
      </w:r>
      <w:r w:rsidR="00394E0D">
        <w:t>;</w:t>
      </w:r>
      <w:r>
        <w:t xml:space="preserve"> </w:t>
      </w:r>
      <w:r w:rsidRPr="00285092">
        <w:t>and</w:t>
      </w:r>
    </w:p>
    <w:p w14:paraId="11C81D0C" w14:textId="1FF4E8B9" w:rsidR="00E27F5E" w:rsidRPr="00285092" w:rsidRDefault="00E27F5E" w:rsidP="00E77578">
      <w:pPr>
        <w:pStyle w:val="Dashpoint"/>
      </w:pPr>
      <w:r w:rsidRPr="00285092">
        <w:t>an increase in Other liabilities of $</w:t>
      </w:r>
      <w:r>
        <w:t>493 </w:t>
      </w:r>
      <w:r w:rsidRPr="00285092">
        <w:t xml:space="preserve">million, which is primarily due to an increase in the </w:t>
      </w:r>
      <w:r w:rsidR="00E77578">
        <w:t xml:space="preserve">Liability for </w:t>
      </w:r>
      <w:r w:rsidRPr="00285092">
        <w:t>Government grants received in advance of $</w:t>
      </w:r>
      <w:r w:rsidR="00414BA5">
        <w:t>231.6 </w:t>
      </w:r>
      <w:r w:rsidRPr="00285092">
        <w:t>million.</w:t>
      </w:r>
      <w:r>
        <w:t xml:space="preserve"> These increases are offset by an improvement in Superannuation of $589.6 million due to the change in discount rates used to value the liability.</w:t>
      </w:r>
    </w:p>
    <w:p w14:paraId="450F07C9" w14:textId="77777777" w:rsidR="00E27F5E" w:rsidRDefault="00E27F5E" w:rsidP="00E27F5E">
      <w:pPr>
        <w:pStyle w:val="Heading6"/>
      </w:pPr>
      <w:r w:rsidRPr="00843688">
        <w:t>Chart 7.5:</w:t>
      </w:r>
      <w:r w:rsidRPr="00843688">
        <w:tab/>
        <w:t>Net</w:t>
      </w:r>
      <w:r>
        <w:t> </w:t>
      </w:r>
      <w:r w:rsidRPr="00843688">
        <w:t>Worth, 30</w:t>
      </w:r>
      <w:r>
        <w:t> </w:t>
      </w:r>
      <w:r w:rsidRPr="00843688">
        <w:t>June</w:t>
      </w:r>
      <w:r>
        <w:t> </w:t>
      </w:r>
      <w:r w:rsidRPr="00843688">
        <w:t>201</w:t>
      </w:r>
      <w:r>
        <w:t>8</w:t>
      </w:r>
      <w:r w:rsidRPr="00843688">
        <w:t xml:space="preserve"> to 30</w:t>
      </w:r>
      <w:r>
        <w:t> </w:t>
      </w:r>
      <w:r w:rsidRPr="00843688">
        <w:t>June</w:t>
      </w:r>
      <w:r>
        <w:t> </w:t>
      </w:r>
      <w:r w:rsidRPr="00843688">
        <w:t>202</w:t>
      </w:r>
      <w:r>
        <w:t>7</w:t>
      </w:r>
    </w:p>
    <w:p w14:paraId="0CCF9476" w14:textId="0065B4D0" w:rsidR="00E27F5E" w:rsidRDefault="00051136" w:rsidP="00E27F5E">
      <w:pPr>
        <w:pStyle w:val="Body"/>
      </w:pPr>
      <w:r>
        <w:rPr>
          <w:noProof/>
        </w:rPr>
        <w:drawing>
          <wp:inline distT="0" distB="0" distL="0" distR="0" wp14:anchorId="0F2A1840" wp14:editId="50AD68A8">
            <wp:extent cx="6084570" cy="3096895"/>
            <wp:effectExtent l="0" t="0" r="0" b="8255"/>
            <wp:docPr id="16" name="Picture 16" descr="Net Worth, 30 June 2018 to 30 June 2027&#10;The chart shows stability in both Financial and Non-financial assets over time, and increases in the value of assets and liabilities. After a slight low in 2020, Net Worth is expected to remain stable in 2023-24 and increase slightly across the Forward Estim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et Worth, 30 June 2018 to 30 June 2027&#10;The chart shows stability in both Financial and Non-financial assets over time, and increases in the value of assets and liabilities. After a slight low in 2020, Net Worth is expected to remain stable in 2023-24 and increase slightly across the Forward Estimate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551B2CAF" w14:textId="77777777" w:rsidR="00E27F5E" w:rsidRPr="00843688" w:rsidRDefault="00E27F5E" w:rsidP="00E27F5E">
      <w:pPr>
        <w:pStyle w:val="Heading3"/>
      </w:pPr>
      <w:r w:rsidRPr="00843688">
        <w:lastRenderedPageBreak/>
        <w:t>Equity Investment in PNFC and PFC Sectors</w:t>
      </w:r>
    </w:p>
    <w:p w14:paraId="0E8E1D21" w14:textId="61ECF7AB" w:rsidR="00E27F5E" w:rsidRPr="00843688" w:rsidRDefault="00E27F5E" w:rsidP="00E27F5E">
      <w:pPr>
        <w:pStyle w:val="Body"/>
      </w:pPr>
      <w:r w:rsidRPr="00843688">
        <w:t>Equity Investments in this section consists of the Government’s investment in the Net Assets of the Public Non</w:t>
      </w:r>
      <w:r w:rsidRPr="00843688">
        <w:noBreakHyphen/>
        <w:t>Financial Corporations and Public Financial Corporations sectors.</w:t>
      </w:r>
    </w:p>
    <w:p w14:paraId="7D002F82" w14:textId="61BC8F00" w:rsidR="00E27F5E" w:rsidRPr="00843688" w:rsidRDefault="00E27F5E" w:rsidP="00E27F5E">
      <w:pPr>
        <w:pStyle w:val="Body"/>
      </w:pPr>
      <w:r w:rsidRPr="00843688">
        <w:t>The Government’s equity investment is estimated to be $</w:t>
      </w:r>
      <w:r>
        <w:t>11</w:t>
      </w:r>
      <w:r w:rsidRPr="00843688">
        <w:t> </w:t>
      </w:r>
      <w:r>
        <w:t>013.6</w:t>
      </w:r>
      <w:r w:rsidRPr="00843688">
        <w:t> million as at 30 June 202</w:t>
      </w:r>
      <w:r>
        <w:t>4</w:t>
      </w:r>
      <w:r w:rsidRPr="00843688">
        <w:t>, an increase of $</w:t>
      </w:r>
      <w:r>
        <w:t>5 568.4</w:t>
      </w:r>
      <w:r w:rsidRPr="00843688">
        <w:t> million from the 202</w:t>
      </w:r>
      <w:r>
        <w:t>2</w:t>
      </w:r>
      <w:r w:rsidRPr="00843688">
        <w:t>-2</w:t>
      </w:r>
      <w:r>
        <w:t>3</w:t>
      </w:r>
      <w:r w:rsidR="001A7A30">
        <w:t> </w:t>
      </w:r>
      <w:r w:rsidRPr="00843688">
        <w:t>Budget of $</w:t>
      </w:r>
      <w:r>
        <w:t>5</w:t>
      </w:r>
      <w:r w:rsidRPr="00843688">
        <w:t> </w:t>
      </w:r>
      <w:r>
        <w:t>445.2</w:t>
      </w:r>
      <w:r w:rsidRPr="00843688">
        <w:t> million as at 30 June 202</w:t>
      </w:r>
      <w:r>
        <w:t>3</w:t>
      </w:r>
      <w:r w:rsidRPr="00843688">
        <w:t>. This reflects an increase in the Net Assets of the PNFC Sector of $</w:t>
      </w:r>
      <w:r>
        <w:t>5 677.2</w:t>
      </w:r>
      <w:r w:rsidRPr="00843688">
        <w:t xml:space="preserve"> million which is primarily due to </w:t>
      </w:r>
      <w:r>
        <w:t>the transfer of net assets to Homes Tasmania from the General Government Sector. Homes</w:t>
      </w:r>
      <w:r w:rsidR="00561F02">
        <w:t> </w:t>
      </w:r>
      <w:r>
        <w:t>Tasmania was established as a PNFC Sector entity, effective from 1 December 2022.</w:t>
      </w:r>
      <w:r w:rsidRPr="00843688">
        <w:t xml:space="preserve"> The increase is partly offset by a decrease in net assets of the PFC Sector of $</w:t>
      </w:r>
      <w:r>
        <w:t>108.8</w:t>
      </w:r>
      <w:r w:rsidRPr="00843688">
        <w:t xml:space="preserve"> million. This decrease is primarily due to the </w:t>
      </w:r>
      <w:r>
        <w:t xml:space="preserve">payment of the </w:t>
      </w:r>
      <w:r w:rsidRPr="00843688">
        <w:t>Mersey Community</w:t>
      </w:r>
      <w:r w:rsidR="00561F02">
        <w:t> </w:t>
      </w:r>
      <w:r w:rsidRPr="00843688">
        <w:t xml:space="preserve">Hospital Dividend of </w:t>
      </w:r>
      <w:r w:rsidRPr="00B9326E">
        <w:t>$96.1 million by the PFC Sector in 2023-24.</w:t>
      </w:r>
    </w:p>
    <w:p w14:paraId="0B2B9B18" w14:textId="77777777" w:rsidR="00E27F5E" w:rsidRPr="00843688" w:rsidRDefault="00E27F5E" w:rsidP="00E27F5E">
      <w:pPr>
        <w:pStyle w:val="Body"/>
      </w:pPr>
      <w:r w:rsidRPr="00843688">
        <w:t>Chart 7.6 illustrates the components of the Government’s equity investment holdings.</w:t>
      </w:r>
    </w:p>
    <w:p w14:paraId="22E9ADC7" w14:textId="1FEAA6A0" w:rsidR="00E27F5E" w:rsidRPr="005F7211" w:rsidRDefault="00E27F5E" w:rsidP="00E27F5E">
      <w:pPr>
        <w:pStyle w:val="Heading6"/>
        <w:rPr>
          <w:rStyle w:val="Heading6Superscipt"/>
        </w:rPr>
      </w:pPr>
      <w:r w:rsidRPr="00843688">
        <w:t>Chart 7.6:</w:t>
      </w:r>
      <w:r w:rsidRPr="00843688">
        <w:tab/>
        <w:t>Equity Investment in PNFC and PFC Sectors as at 30 June 202</w:t>
      </w:r>
      <w:r>
        <w:t>4</w:t>
      </w:r>
    </w:p>
    <w:p w14:paraId="353FF0D2" w14:textId="2AB7620E" w:rsidR="00E27F5E" w:rsidRDefault="00051136" w:rsidP="00E27F5E">
      <w:pPr>
        <w:pStyle w:val="Body"/>
      </w:pPr>
      <w:r>
        <w:rPr>
          <w:noProof/>
        </w:rPr>
        <w:drawing>
          <wp:inline distT="0" distB="0" distL="0" distR="0" wp14:anchorId="6D92E07E" wp14:editId="4260C541">
            <wp:extent cx="6084570" cy="3169920"/>
            <wp:effectExtent l="0" t="0" r="0" b="0"/>
            <wp:docPr id="18" name="Picture 18" descr="Equity Investment in PNFC and PFC Sectors as at 30 June 2024&#10;The chart shows that the largest component of the Government's Equity Investment holdings is in the Housing sector ($5.3 billion or 48%), followed by the Electricity sector ($3.4 billion or 31%) and the Financial sector ($876.5 million or 8%). &#10;The Government’s remaining holdings consist of the Transport sector ($694.6 million or 6%), the Ports function ($305.5 million or 3%), Resource Management sector ($210.7 million or 2%) and Other purposes ($254.1 million 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quity Investment in PNFC and PFC Sectors as at 30 June 2024&#10;The chart shows that the largest component of the Government's Equity Investment holdings is in the Housing sector ($5.3 billion or 48%), followed by the Electricity sector ($3.4 billion or 31%) and the Financial sector ($876.5 million or 8%). &#10;The Government’s remaining holdings consist of the Transport sector ($694.6 million or 6%), the Ports function ($305.5 million or 3%), Resource Management sector ($210.7 million or 2%) and Other purposes ($254.1 million or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4570" cy="3169920"/>
                    </a:xfrm>
                    <a:prstGeom prst="rect">
                      <a:avLst/>
                    </a:prstGeom>
                    <a:noFill/>
                  </pic:spPr>
                </pic:pic>
              </a:graphicData>
            </a:graphic>
          </wp:inline>
        </w:drawing>
      </w:r>
      <w:r w:rsidR="00442D8C" w:rsidRPr="00442D8C">
        <w:t xml:space="preserve"> </w:t>
      </w:r>
    </w:p>
    <w:p w14:paraId="44BDA168" w14:textId="77777777" w:rsidR="0075067E" w:rsidRPr="00843688" w:rsidRDefault="0075067E" w:rsidP="0075067E">
      <w:pPr>
        <w:pStyle w:val="Body"/>
      </w:pPr>
    </w:p>
    <w:p w14:paraId="320A6006" w14:textId="781CC94E" w:rsidR="00374C2B" w:rsidRPr="00843688" w:rsidRDefault="00374C2B" w:rsidP="00374C2B">
      <w:pPr>
        <w:pStyle w:val="Heading3"/>
      </w:pPr>
      <w:r w:rsidRPr="00843688">
        <w:t>Other Equity Investments</w:t>
      </w:r>
    </w:p>
    <w:p w14:paraId="5312A0FE" w14:textId="33FC6CD6" w:rsidR="00374C2B" w:rsidRPr="00843688" w:rsidRDefault="00374C2B" w:rsidP="00374C2B">
      <w:pPr>
        <w:pStyle w:val="Body"/>
      </w:pPr>
      <w:r w:rsidRPr="007F36E4">
        <w:t xml:space="preserve">Other equity investments primarily consist of equity invested in the </w:t>
      </w:r>
      <w:r w:rsidRPr="001550D7">
        <w:t>Tasmanian Water and Sewerage Corporation Pty Ltd.</w:t>
      </w:r>
      <w:r w:rsidRPr="007F36E4">
        <w:t xml:space="preserve"> Other equity investments is estimated to be $</w:t>
      </w:r>
      <w:r>
        <w:t>189.9</w:t>
      </w:r>
      <w:r w:rsidRPr="007F36E4">
        <w:t> million as at 30 June 202</w:t>
      </w:r>
      <w:r>
        <w:t>4</w:t>
      </w:r>
      <w:r w:rsidRPr="007F36E4">
        <w:t xml:space="preserve">, a </w:t>
      </w:r>
      <w:r>
        <w:t>de</w:t>
      </w:r>
      <w:r w:rsidRPr="007F36E4">
        <w:t>crease of $</w:t>
      </w:r>
      <w:r>
        <w:t>11</w:t>
      </w:r>
      <w:r w:rsidRPr="007F36E4">
        <w:t>.5 million from the 202</w:t>
      </w:r>
      <w:r>
        <w:t>2</w:t>
      </w:r>
      <w:r w:rsidRPr="007F36E4">
        <w:noBreakHyphen/>
        <w:t>2</w:t>
      </w:r>
      <w:r>
        <w:t>3</w:t>
      </w:r>
      <w:r w:rsidRPr="007F36E4">
        <w:t xml:space="preserve"> Budget of $</w:t>
      </w:r>
      <w:r>
        <w:t>201.4</w:t>
      </w:r>
      <w:r w:rsidRPr="007F36E4">
        <w:t> million. Table</w:t>
      </w:r>
      <w:r w:rsidR="001A7A30">
        <w:t> </w:t>
      </w:r>
      <w:r w:rsidRPr="007F36E4">
        <w:t>7.6 provides a breakdown of Other</w:t>
      </w:r>
      <w:r w:rsidR="001A7A30">
        <w:t> </w:t>
      </w:r>
      <w:r w:rsidRPr="007F36E4">
        <w:t>equity</w:t>
      </w:r>
      <w:r w:rsidR="001A7A30">
        <w:t> </w:t>
      </w:r>
      <w:r w:rsidRPr="007F36E4">
        <w:t>investments.</w:t>
      </w:r>
    </w:p>
    <w:p w14:paraId="29BF2507" w14:textId="24FC39B6" w:rsidR="00E27F5E" w:rsidRDefault="00E27F5E" w:rsidP="00E27F5E">
      <w:pPr>
        <w:pStyle w:val="Body"/>
      </w:pPr>
    </w:p>
    <w:p w14:paraId="7B3ECF7C" w14:textId="2827DE82" w:rsidR="00374C2B" w:rsidRDefault="00374C2B">
      <w:r>
        <w:br w:type="page"/>
      </w:r>
    </w:p>
    <w:p w14:paraId="0006F2B2" w14:textId="77777777" w:rsidR="00374C2B" w:rsidRPr="00843688" w:rsidRDefault="00374C2B" w:rsidP="00374C2B">
      <w:pPr>
        <w:pStyle w:val="Heading6"/>
      </w:pPr>
      <w:r w:rsidRPr="00843688">
        <w:lastRenderedPageBreak/>
        <w:t>Table 7.6:</w:t>
      </w:r>
      <w:r w:rsidRPr="00843688">
        <w:tab/>
        <w:t>Other Equity Investments as at 30 June</w:t>
      </w:r>
    </w:p>
    <w:tbl>
      <w:tblPr>
        <w:tblW w:w="9580" w:type="dxa"/>
        <w:tblCellMar>
          <w:left w:w="28" w:type="dxa"/>
          <w:right w:w="28" w:type="dxa"/>
        </w:tblCellMar>
        <w:tblLook w:val="04A0" w:firstRow="1" w:lastRow="0" w:firstColumn="1" w:lastColumn="0" w:noHBand="0" w:noVBand="1"/>
      </w:tblPr>
      <w:tblGrid>
        <w:gridCol w:w="3628"/>
        <w:gridCol w:w="992"/>
        <w:gridCol w:w="992"/>
        <w:gridCol w:w="992"/>
        <w:gridCol w:w="992"/>
        <w:gridCol w:w="992"/>
        <w:gridCol w:w="992"/>
      </w:tblGrid>
      <w:tr w:rsidR="00374C2B" w:rsidRPr="00843688" w14:paraId="0CC9F3A6" w14:textId="77777777" w:rsidTr="001B5757">
        <w:tc>
          <w:tcPr>
            <w:tcW w:w="3628" w:type="dxa"/>
            <w:tcBorders>
              <w:top w:val="single" w:sz="6" w:space="0" w:color="auto"/>
              <w:left w:val="nil"/>
              <w:bottom w:val="nil"/>
              <w:right w:val="nil"/>
            </w:tcBorders>
            <w:shd w:val="clear" w:color="auto" w:fill="auto"/>
            <w:vAlign w:val="center"/>
            <w:hideMark/>
          </w:tcPr>
          <w:p w14:paraId="25995874" w14:textId="77777777" w:rsidR="00374C2B" w:rsidRPr="00374C2B" w:rsidRDefault="00374C2B" w:rsidP="001B5757">
            <w:pPr>
              <w:pStyle w:val="TableRightHeading"/>
            </w:pPr>
            <w:r w:rsidRPr="00843688">
              <w:t> </w:t>
            </w:r>
          </w:p>
        </w:tc>
        <w:tc>
          <w:tcPr>
            <w:tcW w:w="992" w:type="dxa"/>
            <w:tcBorders>
              <w:top w:val="single" w:sz="6" w:space="0" w:color="auto"/>
              <w:left w:val="nil"/>
              <w:bottom w:val="nil"/>
              <w:right w:val="nil"/>
            </w:tcBorders>
            <w:shd w:val="clear" w:color="auto" w:fill="auto"/>
            <w:vAlign w:val="center"/>
            <w:hideMark/>
          </w:tcPr>
          <w:p w14:paraId="06E3200E" w14:textId="77777777" w:rsidR="00374C2B" w:rsidRPr="00374C2B" w:rsidRDefault="00374C2B" w:rsidP="001A7A30">
            <w:pPr>
              <w:pStyle w:val="TableRightHeading"/>
            </w:pPr>
            <w:r w:rsidRPr="00843688">
              <w:t>202</w:t>
            </w:r>
            <w:r w:rsidRPr="00374C2B">
              <w:t>3 </w:t>
            </w:r>
          </w:p>
        </w:tc>
        <w:tc>
          <w:tcPr>
            <w:tcW w:w="992" w:type="dxa"/>
            <w:tcBorders>
              <w:top w:val="single" w:sz="6" w:space="0" w:color="auto"/>
              <w:left w:val="nil"/>
              <w:bottom w:val="nil"/>
              <w:right w:val="nil"/>
            </w:tcBorders>
            <w:shd w:val="clear" w:color="auto" w:fill="auto"/>
            <w:vAlign w:val="center"/>
            <w:hideMark/>
          </w:tcPr>
          <w:p w14:paraId="525165E4" w14:textId="77777777" w:rsidR="00374C2B" w:rsidRPr="00374C2B" w:rsidRDefault="00374C2B" w:rsidP="001A7A30">
            <w:pPr>
              <w:pStyle w:val="TableRightHeading"/>
            </w:pPr>
            <w:r w:rsidRPr="00843688">
              <w:t>202</w:t>
            </w:r>
            <w:r w:rsidRPr="00374C2B">
              <w:t>3 </w:t>
            </w:r>
          </w:p>
        </w:tc>
        <w:tc>
          <w:tcPr>
            <w:tcW w:w="992" w:type="dxa"/>
            <w:tcBorders>
              <w:top w:val="single" w:sz="6" w:space="0" w:color="auto"/>
              <w:left w:val="nil"/>
              <w:bottom w:val="nil"/>
              <w:right w:val="nil"/>
            </w:tcBorders>
            <w:shd w:val="clear" w:color="auto" w:fill="auto"/>
            <w:vAlign w:val="center"/>
            <w:hideMark/>
          </w:tcPr>
          <w:p w14:paraId="17BECD7F" w14:textId="77777777" w:rsidR="00374C2B" w:rsidRPr="00374C2B" w:rsidRDefault="00374C2B" w:rsidP="001A7A30">
            <w:pPr>
              <w:pStyle w:val="TableRightHeading"/>
            </w:pPr>
            <w:r w:rsidRPr="00843688">
              <w:t>202</w:t>
            </w:r>
            <w:r w:rsidRPr="00374C2B">
              <w:t>4 </w:t>
            </w:r>
          </w:p>
        </w:tc>
        <w:tc>
          <w:tcPr>
            <w:tcW w:w="992" w:type="dxa"/>
            <w:tcBorders>
              <w:top w:val="single" w:sz="6" w:space="0" w:color="auto"/>
              <w:left w:val="nil"/>
              <w:bottom w:val="nil"/>
              <w:right w:val="nil"/>
            </w:tcBorders>
            <w:shd w:val="clear" w:color="auto" w:fill="auto"/>
            <w:vAlign w:val="center"/>
            <w:hideMark/>
          </w:tcPr>
          <w:p w14:paraId="0DDE49AC" w14:textId="77777777" w:rsidR="00374C2B" w:rsidRPr="00374C2B" w:rsidRDefault="00374C2B" w:rsidP="001A7A30">
            <w:pPr>
              <w:pStyle w:val="TableRightHeading"/>
            </w:pPr>
            <w:r w:rsidRPr="00843688">
              <w:t>202</w:t>
            </w:r>
            <w:r w:rsidRPr="00374C2B">
              <w:t>5 </w:t>
            </w:r>
          </w:p>
        </w:tc>
        <w:tc>
          <w:tcPr>
            <w:tcW w:w="992" w:type="dxa"/>
            <w:tcBorders>
              <w:top w:val="single" w:sz="6" w:space="0" w:color="auto"/>
              <w:left w:val="nil"/>
              <w:bottom w:val="nil"/>
              <w:right w:val="nil"/>
            </w:tcBorders>
            <w:shd w:val="clear" w:color="auto" w:fill="auto"/>
            <w:vAlign w:val="center"/>
            <w:hideMark/>
          </w:tcPr>
          <w:p w14:paraId="23BCF85E" w14:textId="77777777" w:rsidR="00374C2B" w:rsidRPr="00374C2B" w:rsidRDefault="00374C2B" w:rsidP="001A7A30">
            <w:pPr>
              <w:pStyle w:val="TableRightHeading"/>
            </w:pPr>
            <w:r w:rsidRPr="00843688">
              <w:t>202</w:t>
            </w:r>
            <w:r w:rsidRPr="00374C2B">
              <w:t>6 </w:t>
            </w:r>
          </w:p>
        </w:tc>
        <w:tc>
          <w:tcPr>
            <w:tcW w:w="992" w:type="dxa"/>
            <w:tcBorders>
              <w:top w:val="single" w:sz="6" w:space="0" w:color="auto"/>
              <w:left w:val="nil"/>
              <w:bottom w:val="nil"/>
              <w:right w:val="nil"/>
            </w:tcBorders>
            <w:shd w:val="clear" w:color="auto" w:fill="auto"/>
            <w:vAlign w:val="center"/>
            <w:hideMark/>
          </w:tcPr>
          <w:p w14:paraId="2391006C" w14:textId="77777777" w:rsidR="00374C2B" w:rsidRPr="00374C2B" w:rsidRDefault="00374C2B" w:rsidP="001A7A30">
            <w:pPr>
              <w:pStyle w:val="TableRightHeading"/>
            </w:pPr>
            <w:r w:rsidRPr="00843688">
              <w:t>202</w:t>
            </w:r>
            <w:r w:rsidRPr="00374C2B">
              <w:t>7 </w:t>
            </w:r>
          </w:p>
        </w:tc>
      </w:tr>
      <w:tr w:rsidR="00374C2B" w:rsidRPr="00843688" w14:paraId="3AD675EF" w14:textId="77777777" w:rsidTr="001B5757">
        <w:tc>
          <w:tcPr>
            <w:tcW w:w="3628" w:type="dxa"/>
            <w:tcBorders>
              <w:top w:val="nil"/>
              <w:left w:val="nil"/>
              <w:right w:val="nil"/>
            </w:tcBorders>
            <w:shd w:val="clear" w:color="auto" w:fill="auto"/>
            <w:vAlign w:val="center"/>
            <w:hideMark/>
          </w:tcPr>
          <w:p w14:paraId="3A94D490" w14:textId="77777777" w:rsidR="00374C2B" w:rsidRPr="00843688" w:rsidRDefault="00374C2B" w:rsidP="001B5757">
            <w:pPr>
              <w:pStyle w:val="TableRightHeading"/>
            </w:pPr>
          </w:p>
        </w:tc>
        <w:tc>
          <w:tcPr>
            <w:tcW w:w="992" w:type="dxa"/>
            <w:tcBorders>
              <w:top w:val="nil"/>
              <w:left w:val="nil"/>
              <w:right w:val="nil"/>
            </w:tcBorders>
            <w:shd w:val="clear" w:color="auto" w:fill="auto"/>
            <w:vAlign w:val="center"/>
            <w:hideMark/>
          </w:tcPr>
          <w:p w14:paraId="7AAB670F" w14:textId="77777777" w:rsidR="00374C2B" w:rsidRPr="00843688" w:rsidRDefault="00374C2B" w:rsidP="001A7A30">
            <w:pPr>
              <w:pStyle w:val="TableRightHeading"/>
            </w:pPr>
          </w:p>
        </w:tc>
        <w:tc>
          <w:tcPr>
            <w:tcW w:w="992" w:type="dxa"/>
            <w:tcBorders>
              <w:top w:val="nil"/>
              <w:left w:val="nil"/>
              <w:right w:val="nil"/>
            </w:tcBorders>
            <w:shd w:val="clear" w:color="auto" w:fill="auto"/>
            <w:vAlign w:val="center"/>
          </w:tcPr>
          <w:p w14:paraId="1C9DA6FC" w14:textId="77777777" w:rsidR="00374C2B" w:rsidRPr="00374C2B" w:rsidRDefault="00374C2B" w:rsidP="001B5757">
            <w:pPr>
              <w:pStyle w:val="TableRightHeading"/>
              <w:ind w:left="-169"/>
            </w:pPr>
            <w:r w:rsidRPr="00843688">
              <w:t>Estimated </w:t>
            </w:r>
          </w:p>
        </w:tc>
        <w:tc>
          <w:tcPr>
            <w:tcW w:w="992" w:type="dxa"/>
            <w:tcBorders>
              <w:top w:val="nil"/>
              <w:left w:val="nil"/>
              <w:right w:val="nil"/>
            </w:tcBorders>
            <w:shd w:val="clear" w:color="auto" w:fill="auto"/>
            <w:vAlign w:val="center"/>
            <w:hideMark/>
          </w:tcPr>
          <w:p w14:paraId="671BC0D3" w14:textId="77777777" w:rsidR="00374C2B" w:rsidRPr="00843688" w:rsidRDefault="00374C2B" w:rsidP="001A7A30">
            <w:pPr>
              <w:pStyle w:val="TableRightHeading"/>
            </w:pPr>
          </w:p>
        </w:tc>
        <w:tc>
          <w:tcPr>
            <w:tcW w:w="992" w:type="dxa"/>
            <w:tcBorders>
              <w:top w:val="nil"/>
              <w:left w:val="nil"/>
              <w:right w:val="nil"/>
            </w:tcBorders>
            <w:shd w:val="clear" w:color="auto" w:fill="auto"/>
            <w:vAlign w:val="center"/>
            <w:hideMark/>
          </w:tcPr>
          <w:p w14:paraId="2EC15018" w14:textId="77777777" w:rsidR="00374C2B" w:rsidRPr="00374C2B" w:rsidRDefault="00374C2B" w:rsidP="001A7A30">
            <w:pPr>
              <w:pStyle w:val="TableRightHeading"/>
            </w:pPr>
            <w:r w:rsidRPr="00843688">
              <w:t>Forward </w:t>
            </w:r>
          </w:p>
        </w:tc>
        <w:tc>
          <w:tcPr>
            <w:tcW w:w="992" w:type="dxa"/>
            <w:tcBorders>
              <w:top w:val="nil"/>
              <w:left w:val="nil"/>
              <w:right w:val="nil"/>
            </w:tcBorders>
            <w:shd w:val="clear" w:color="auto" w:fill="auto"/>
            <w:vAlign w:val="center"/>
            <w:hideMark/>
          </w:tcPr>
          <w:p w14:paraId="492A82B5" w14:textId="77777777" w:rsidR="00374C2B" w:rsidRPr="00374C2B" w:rsidRDefault="00374C2B" w:rsidP="001A7A30">
            <w:pPr>
              <w:pStyle w:val="TableRightHeading"/>
            </w:pPr>
            <w:r w:rsidRPr="00843688">
              <w:t>Forward </w:t>
            </w:r>
          </w:p>
        </w:tc>
        <w:tc>
          <w:tcPr>
            <w:tcW w:w="992" w:type="dxa"/>
            <w:tcBorders>
              <w:top w:val="nil"/>
              <w:left w:val="nil"/>
              <w:right w:val="nil"/>
            </w:tcBorders>
            <w:shd w:val="clear" w:color="auto" w:fill="auto"/>
            <w:vAlign w:val="center"/>
            <w:hideMark/>
          </w:tcPr>
          <w:p w14:paraId="7EE5395C" w14:textId="77777777" w:rsidR="00374C2B" w:rsidRPr="00374C2B" w:rsidRDefault="00374C2B" w:rsidP="001A7A30">
            <w:pPr>
              <w:pStyle w:val="TableRightHeading"/>
            </w:pPr>
            <w:r w:rsidRPr="00843688">
              <w:t>Forward </w:t>
            </w:r>
          </w:p>
        </w:tc>
      </w:tr>
      <w:tr w:rsidR="00374C2B" w:rsidRPr="00843688" w14:paraId="105EF381" w14:textId="77777777" w:rsidTr="001B5757">
        <w:tc>
          <w:tcPr>
            <w:tcW w:w="3628" w:type="dxa"/>
            <w:tcBorders>
              <w:top w:val="nil"/>
              <w:left w:val="nil"/>
              <w:bottom w:val="single" w:sz="6" w:space="0" w:color="auto"/>
              <w:right w:val="nil"/>
            </w:tcBorders>
            <w:shd w:val="clear" w:color="auto" w:fill="auto"/>
            <w:vAlign w:val="center"/>
            <w:hideMark/>
          </w:tcPr>
          <w:p w14:paraId="507720DF" w14:textId="77777777" w:rsidR="00374C2B" w:rsidRPr="00374C2B" w:rsidRDefault="00374C2B" w:rsidP="001B5757">
            <w:pPr>
              <w:pStyle w:val="TableRightHeading"/>
            </w:pPr>
            <w:r w:rsidRPr="00843688">
              <w:t> </w:t>
            </w:r>
          </w:p>
        </w:tc>
        <w:tc>
          <w:tcPr>
            <w:tcW w:w="992" w:type="dxa"/>
            <w:tcBorders>
              <w:top w:val="nil"/>
              <w:left w:val="nil"/>
              <w:bottom w:val="single" w:sz="6" w:space="0" w:color="auto"/>
              <w:right w:val="nil"/>
            </w:tcBorders>
            <w:shd w:val="clear" w:color="auto" w:fill="auto"/>
            <w:vAlign w:val="center"/>
            <w:hideMark/>
          </w:tcPr>
          <w:p w14:paraId="0534FD0E" w14:textId="77777777" w:rsidR="00374C2B" w:rsidRPr="00374C2B" w:rsidRDefault="00374C2B" w:rsidP="001A7A30">
            <w:pPr>
              <w:pStyle w:val="TableRightHeading"/>
            </w:pPr>
            <w:r w:rsidRPr="00843688">
              <w:t>Budget </w:t>
            </w:r>
          </w:p>
        </w:tc>
        <w:tc>
          <w:tcPr>
            <w:tcW w:w="992" w:type="dxa"/>
            <w:tcBorders>
              <w:top w:val="nil"/>
              <w:left w:val="nil"/>
              <w:bottom w:val="single" w:sz="6" w:space="0" w:color="auto"/>
              <w:right w:val="nil"/>
            </w:tcBorders>
            <w:shd w:val="clear" w:color="auto" w:fill="auto"/>
            <w:vAlign w:val="center"/>
          </w:tcPr>
          <w:p w14:paraId="5CDCC718" w14:textId="77777777" w:rsidR="00374C2B" w:rsidRPr="00374C2B" w:rsidRDefault="00374C2B" w:rsidP="001A7A30">
            <w:pPr>
              <w:pStyle w:val="TableRightHeading"/>
            </w:pPr>
            <w:r w:rsidRPr="00843688">
              <w:t>Outcome </w:t>
            </w:r>
          </w:p>
        </w:tc>
        <w:tc>
          <w:tcPr>
            <w:tcW w:w="992" w:type="dxa"/>
            <w:tcBorders>
              <w:top w:val="nil"/>
              <w:left w:val="nil"/>
              <w:bottom w:val="single" w:sz="6" w:space="0" w:color="auto"/>
              <w:right w:val="nil"/>
            </w:tcBorders>
            <w:shd w:val="clear" w:color="auto" w:fill="auto"/>
            <w:vAlign w:val="center"/>
            <w:hideMark/>
          </w:tcPr>
          <w:p w14:paraId="1CCEC8B9" w14:textId="77777777" w:rsidR="00374C2B" w:rsidRPr="00374C2B" w:rsidRDefault="00374C2B" w:rsidP="001A7A30">
            <w:pPr>
              <w:pStyle w:val="TableRightHeading"/>
            </w:pPr>
            <w:r w:rsidRPr="00843688">
              <w:t>Budget </w:t>
            </w:r>
          </w:p>
        </w:tc>
        <w:tc>
          <w:tcPr>
            <w:tcW w:w="992" w:type="dxa"/>
            <w:tcBorders>
              <w:top w:val="nil"/>
              <w:left w:val="nil"/>
              <w:bottom w:val="single" w:sz="6" w:space="0" w:color="auto"/>
              <w:right w:val="nil"/>
            </w:tcBorders>
            <w:shd w:val="clear" w:color="auto" w:fill="auto"/>
            <w:vAlign w:val="center"/>
            <w:hideMark/>
          </w:tcPr>
          <w:p w14:paraId="43F7355A" w14:textId="77777777" w:rsidR="00374C2B" w:rsidRPr="00374C2B" w:rsidRDefault="00374C2B" w:rsidP="001A7A30">
            <w:pPr>
              <w:pStyle w:val="TableRightHeading"/>
            </w:pPr>
            <w:r w:rsidRPr="00843688">
              <w:t>Estimate </w:t>
            </w:r>
          </w:p>
        </w:tc>
        <w:tc>
          <w:tcPr>
            <w:tcW w:w="992" w:type="dxa"/>
            <w:tcBorders>
              <w:top w:val="nil"/>
              <w:left w:val="nil"/>
              <w:bottom w:val="single" w:sz="6" w:space="0" w:color="auto"/>
              <w:right w:val="nil"/>
            </w:tcBorders>
            <w:shd w:val="clear" w:color="auto" w:fill="auto"/>
            <w:vAlign w:val="center"/>
            <w:hideMark/>
          </w:tcPr>
          <w:p w14:paraId="7DC696DB" w14:textId="77777777" w:rsidR="00374C2B" w:rsidRPr="00374C2B" w:rsidRDefault="00374C2B" w:rsidP="001A7A30">
            <w:pPr>
              <w:pStyle w:val="TableRightHeading"/>
            </w:pPr>
            <w:r w:rsidRPr="00843688">
              <w:t>Estimate </w:t>
            </w:r>
          </w:p>
        </w:tc>
        <w:tc>
          <w:tcPr>
            <w:tcW w:w="992" w:type="dxa"/>
            <w:tcBorders>
              <w:top w:val="nil"/>
              <w:left w:val="nil"/>
              <w:bottom w:val="single" w:sz="6" w:space="0" w:color="auto"/>
              <w:right w:val="nil"/>
            </w:tcBorders>
            <w:shd w:val="clear" w:color="auto" w:fill="auto"/>
            <w:vAlign w:val="center"/>
            <w:hideMark/>
          </w:tcPr>
          <w:p w14:paraId="4696559B" w14:textId="77777777" w:rsidR="00374C2B" w:rsidRPr="00374C2B" w:rsidRDefault="00374C2B" w:rsidP="001A7A30">
            <w:pPr>
              <w:pStyle w:val="TableRightHeading"/>
            </w:pPr>
            <w:r w:rsidRPr="00843688">
              <w:t>Estimate </w:t>
            </w:r>
          </w:p>
        </w:tc>
      </w:tr>
      <w:tr w:rsidR="00374C2B" w:rsidRPr="00843688" w14:paraId="2216F083" w14:textId="77777777" w:rsidTr="001B5757">
        <w:tc>
          <w:tcPr>
            <w:tcW w:w="3628" w:type="dxa"/>
            <w:tcBorders>
              <w:top w:val="single" w:sz="6" w:space="0" w:color="auto"/>
              <w:left w:val="nil"/>
              <w:bottom w:val="nil"/>
              <w:right w:val="nil"/>
            </w:tcBorders>
            <w:shd w:val="clear" w:color="auto" w:fill="auto"/>
            <w:vAlign w:val="center"/>
            <w:hideMark/>
          </w:tcPr>
          <w:p w14:paraId="25B04753" w14:textId="77777777" w:rsidR="00374C2B" w:rsidRPr="00843688" w:rsidRDefault="00374C2B" w:rsidP="00374C2B">
            <w:pPr>
              <w:pStyle w:val="TableLeft"/>
            </w:pPr>
          </w:p>
        </w:tc>
        <w:tc>
          <w:tcPr>
            <w:tcW w:w="992" w:type="dxa"/>
            <w:tcBorders>
              <w:top w:val="single" w:sz="6" w:space="0" w:color="auto"/>
              <w:left w:val="nil"/>
              <w:bottom w:val="nil"/>
              <w:right w:val="nil"/>
            </w:tcBorders>
            <w:shd w:val="clear" w:color="auto" w:fill="auto"/>
            <w:vAlign w:val="center"/>
            <w:hideMark/>
          </w:tcPr>
          <w:p w14:paraId="76ACFC1D" w14:textId="77777777" w:rsidR="00374C2B" w:rsidRPr="00374C2B" w:rsidRDefault="00374C2B" w:rsidP="00374C2B">
            <w:pPr>
              <w:pStyle w:val="TableRightHeading"/>
            </w:pPr>
            <w:r w:rsidRPr="00843688">
              <w:t>$m </w:t>
            </w:r>
          </w:p>
        </w:tc>
        <w:tc>
          <w:tcPr>
            <w:tcW w:w="992" w:type="dxa"/>
            <w:tcBorders>
              <w:top w:val="single" w:sz="6" w:space="0" w:color="auto"/>
              <w:left w:val="nil"/>
              <w:bottom w:val="nil"/>
              <w:right w:val="nil"/>
            </w:tcBorders>
            <w:shd w:val="clear" w:color="auto" w:fill="auto"/>
            <w:vAlign w:val="center"/>
            <w:hideMark/>
          </w:tcPr>
          <w:p w14:paraId="6550D0E1" w14:textId="77777777" w:rsidR="00374C2B" w:rsidRPr="00374C2B" w:rsidRDefault="00374C2B" w:rsidP="00374C2B">
            <w:pPr>
              <w:pStyle w:val="TableRightHeading"/>
            </w:pPr>
            <w:r w:rsidRPr="00843688">
              <w:t>$m </w:t>
            </w:r>
          </w:p>
        </w:tc>
        <w:tc>
          <w:tcPr>
            <w:tcW w:w="992" w:type="dxa"/>
            <w:tcBorders>
              <w:top w:val="single" w:sz="6" w:space="0" w:color="auto"/>
              <w:left w:val="nil"/>
              <w:bottom w:val="nil"/>
              <w:right w:val="nil"/>
            </w:tcBorders>
            <w:shd w:val="clear" w:color="auto" w:fill="auto"/>
            <w:vAlign w:val="center"/>
            <w:hideMark/>
          </w:tcPr>
          <w:p w14:paraId="686A3AC0" w14:textId="77777777" w:rsidR="00374C2B" w:rsidRPr="00374C2B" w:rsidRDefault="00374C2B" w:rsidP="00374C2B">
            <w:pPr>
              <w:pStyle w:val="TableRightHeading"/>
            </w:pPr>
            <w:r w:rsidRPr="00843688">
              <w:t>$m </w:t>
            </w:r>
          </w:p>
        </w:tc>
        <w:tc>
          <w:tcPr>
            <w:tcW w:w="992" w:type="dxa"/>
            <w:tcBorders>
              <w:top w:val="single" w:sz="6" w:space="0" w:color="auto"/>
              <w:left w:val="nil"/>
              <w:bottom w:val="nil"/>
              <w:right w:val="nil"/>
            </w:tcBorders>
            <w:shd w:val="clear" w:color="auto" w:fill="auto"/>
            <w:vAlign w:val="center"/>
            <w:hideMark/>
          </w:tcPr>
          <w:p w14:paraId="4E5CD0FC" w14:textId="77777777" w:rsidR="00374C2B" w:rsidRPr="00374C2B" w:rsidRDefault="00374C2B" w:rsidP="00374C2B">
            <w:pPr>
              <w:pStyle w:val="TableRightHeading"/>
            </w:pPr>
            <w:r w:rsidRPr="00843688">
              <w:t>$m </w:t>
            </w:r>
          </w:p>
        </w:tc>
        <w:tc>
          <w:tcPr>
            <w:tcW w:w="992" w:type="dxa"/>
            <w:tcBorders>
              <w:top w:val="single" w:sz="6" w:space="0" w:color="auto"/>
              <w:left w:val="nil"/>
              <w:bottom w:val="nil"/>
              <w:right w:val="nil"/>
            </w:tcBorders>
            <w:shd w:val="clear" w:color="auto" w:fill="auto"/>
            <w:vAlign w:val="center"/>
            <w:hideMark/>
          </w:tcPr>
          <w:p w14:paraId="59CA2957" w14:textId="77777777" w:rsidR="00374C2B" w:rsidRPr="00374C2B" w:rsidRDefault="00374C2B" w:rsidP="00374C2B">
            <w:pPr>
              <w:pStyle w:val="TableRightHeading"/>
            </w:pPr>
            <w:r w:rsidRPr="00843688">
              <w:t>$m </w:t>
            </w:r>
          </w:p>
        </w:tc>
        <w:tc>
          <w:tcPr>
            <w:tcW w:w="992" w:type="dxa"/>
            <w:tcBorders>
              <w:top w:val="single" w:sz="6" w:space="0" w:color="auto"/>
              <w:left w:val="nil"/>
              <w:bottom w:val="nil"/>
              <w:right w:val="nil"/>
            </w:tcBorders>
            <w:shd w:val="clear" w:color="auto" w:fill="auto"/>
            <w:vAlign w:val="center"/>
            <w:hideMark/>
          </w:tcPr>
          <w:p w14:paraId="3BA0C79F" w14:textId="77777777" w:rsidR="00374C2B" w:rsidRPr="00374C2B" w:rsidRDefault="00374C2B" w:rsidP="00374C2B">
            <w:pPr>
              <w:pStyle w:val="TableRightHeading"/>
            </w:pPr>
            <w:r w:rsidRPr="00843688">
              <w:t>$m </w:t>
            </w:r>
          </w:p>
        </w:tc>
      </w:tr>
      <w:tr w:rsidR="00374C2B" w:rsidRPr="00843688" w14:paraId="0C981B1D" w14:textId="77777777" w:rsidTr="001B5757">
        <w:tc>
          <w:tcPr>
            <w:tcW w:w="3628" w:type="dxa"/>
            <w:tcBorders>
              <w:top w:val="nil"/>
              <w:left w:val="nil"/>
              <w:bottom w:val="nil"/>
              <w:right w:val="nil"/>
            </w:tcBorders>
            <w:shd w:val="clear" w:color="auto" w:fill="auto"/>
            <w:vAlign w:val="center"/>
          </w:tcPr>
          <w:p w14:paraId="65158B95" w14:textId="77777777" w:rsidR="00374C2B" w:rsidRPr="00843688" w:rsidRDefault="00374C2B" w:rsidP="00374C2B">
            <w:pPr>
              <w:pStyle w:val="TableLeft"/>
            </w:pPr>
          </w:p>
        </w:tc>
        <w:tc>
          <w:tcPr>
            <w:tcW w:w="992" w:type="dxa"/>
            <w:tcBorders>
              <w:top w:val="nil"/>
              <w:left w:val="nil"/>
              <w:right w:val="nil"/>
            </w:tcBorders>
            <w:shd w:val="clear" w:color="auto" w:fill="auto"/>
            <w:vAlign w:val="center"/>
          </w:tcPr>
          <w:p w14:paraId="0698C39A" w14:textId="77777777" w:rsidR="00374C2B" w:rsidRPr="00843688" w:rsidRDefault="00374C2B" w:rsidP="00374C2B">
            <w:pPr>
              <w:pStyle w:val="TableRight"/>
            </w:pPr>
          </w:p>
        </w:tc>
        <w:tc>
          <w:tcPr>
            <w:tcW w:w="992" w:type="dxa"/>
            <w:tcBorders>
              <w:top w:val="nil"/>
              <w:left w:val="nil"/>
              <w:right w:val="nil"/>
            </w:tcBorders>
            <w:shd w:val="clear" w:color="auto" w:fill="auto"/>
            <w:vAlign w:val="center"/>
          </w:tcPr>
          <w:p w14:paraId="2D9490B6" w14:textId="77777777" w:rsidR="00374C2B" w:rsidRPr="00843688" w:rsidRDefault="00374C2B" w:rsidP="00374C2B">
            <w:pPr>
              <w:pStyle w:val="TableRight"/>
            </w:pPr>
          </w:p>
        </w:tc>
        <w:tc>
          <w:tcPr>
            <w:tcW w:w="992" w:type="dxa"/>
            <w:tcBorders>
              <w:top w:val="nil"/>
              <w:left w:val="nil"/>
              <w:right w:val="nil"/>
            </w:tcBorders>
            <w:shd w:val="clear" w:color="auto" w:fill="auto"/>
            <w:vAlign w:val="center"/>
          </w:tcPr>
          <w:p w14:paraId="37805E93" w14:textId="77777777" w:rsidR="00374C2B" w:rsidRPr="00843688" w:rsidRDefault="00374C2B" w:rsidP="00374C2B">
            <w:pPr>
              <w:pStyle w:val="TableRight"/>
            </w:pPr>
          </w:p>
        </w:tc>
        <w:tc>
          <w:tcPr>
            <w:tcW w:w="992" w:type="dxa"/>
            <w:tcBorders>
              <w:top w:val="nil"/>
              <w:left w:val="nil"/>
              <w:right w:val="nil"/>
            </w:tcBorders>
            <w:shd w:val="clear" w:color="auto" w:fill="auto"/>
            <w:vAlign w:val="center"/>
          </w:tcPr>
          <w:p w14:paraId="52B8F9AE" w14:textId="77777777" w:rsidR="00374C2B" w:rsidRPr="00843688" w:rsidRDefault="00374C2B" w:rsidP="00374C2B">
            <w:pPr>
              <w:pStyle w:val="TableRight"/>
            </w:pPr>
          </w:p>
        </w:tc>
        <w:tc>
          <w:tcPr>
            <w:tcW w:w="992" w:type="dxa"/>
            <w:tcBorders>
              <w:top w:val="nil"/>
              <w:left w:val="nil"/>
              <w:right w:val="nil"/>
            </w:tcBorders>
            <w:shd w:val="clear" w:color="auto" w:fill="auto"/>
            <w:vAlign w:val="center"/>
          </w:tcPr>
          <w:p w14:paraId="1D4F5E9B" w14:textId="77777777" w:rsidR="00374C2B" w:rsidRPr="00843688" w:rsidRDefault="00374C2B" w:rsidP="00374C2B">
            <w:pPr>
              <w:pStyle w:val="TableRight"/>
            </w:pPr>
          </w:p>
        </w:tc>
        <w:tc>
          <w:tcPr>
            <w:tcW w:w="992" w:type="dxa"/>
            <w:tcBorders>
              <w:top w:val="nil"/>
              <w:left w:val="nil"/>
              <w:right w:val="nil"/>
            </w:tcBorders>
            <w:shd w:val="clear" w:color="auto" w:fill="auto"/>
            <w:vAlign w:val="center"/>
          </w:tcPr>
          <w:p w14:paraId="08ED2459" w14:textId="77777777" w:rsidR="00374C2B" w:rsidRPr="00843688" w:rsidRDefault="00374C2B" w:rsidP="00374C2B">
            <w:pPr>
              <w:pStyle w:val="TableRight"/>
            </w:pPr>
          </w:p>
        </w:tc>
      </w:tr>
      <w:tr w:rsidR="00374C2B" w:rsidRPr="00843688" w14:paraId="33C2DAE3" w14:textId="77777777" w:rsidTr="001B5757">
        <w:tc>
          <w:tcPr>
            <w:tcW w:w="3628" w:type="dxa"/>
            <w:tcBorders>
              <w:top w:val="nil"/>
              <w:left w:val="nil"/>
              <w:right w:val="nil"/>
            </w:tcBorders>
            <w:shd w:val="clear" w:color="auto" w:fill="auto"/>
            <w:vAlign w:val="center"/>
            <w:hideMark/>
          </w:tcPr>
          <w:p w14:paraId="4254E487" w14:textId="30C536B9" w:rsidR="00374C2B" w:rsidRPr="00374C2B" w:rsidRDefault="00374C2B" w:rsidP="00374C2B">
            <w:pPr>
              <w:pStyle w:val="TableLeft"/>
            </w:pPr>
            <w:r w:rsidRPr="00843688">
              <w:t xml:space="preserve">Equity investment </w:t>
            </w:r>
            <w:r w:rsidRPr="00374C2B">
              <w:t>in TasWater</w:t>
            </w:r>
            <w:r w:rsidR="005E51E4" w:rsidRPr="00306AC3">
              <w:rPr>
                <w:rStyle w:val="TableSuperscript"/>
              </w:rPr>
              <w:t>1</w:t>
            </w:r>
          </w:p>
        </w:tc>
        <w:tc>
          <w:tcPr>
            <w:tcW w:w="992" w:type="dxa"/>
            <w:tcBorders>
              <w:top w:val="nil"/>
              <w:left w:val="nil"/>
              <w:right w:val="nil"/>
            </w:tcBorders>
            <w:shd w:val="clear" w:color="auto" w:fill="auto"/>
            <w:vAlign w:val="center"/>
          </w:tcPr>
          <w:p w14:paraId="4DCFE356" w14:textId="77777777" w:rsidR="00374C2B" w:rsidRPr="00374C2B" w:rsidRDefault="00374C2B" w:rsidP="00374C2B">
            <w:pPr>
              <w:pStyle w:val="TableRight"/>
            </w:pPr>
            <w:r w:rsidRPr="00843688">
              <w:t xml:space="preserve"> </w:t>
            </w:r>
            <w:r w:rsidRPr="00374C2B">
              <w:t>150.0 </w:t>
            </w:r>
          </w:p>
        </w:tc>
        <w:tc>
          <w:tcPr>
            <w:tcW w:w="992" w:type="dxa"/>
            <w:tcBorders>
              <w:top w:val="nil"/>
              <w:left w:val="nil"/>
              <w:right w:val="nil"/>
            </w:tcBorders>
            <w:shd w:val="clear" w:color="auto" w:fill="auto"/>
            <w:vAlign w:val="center"/>
          </w:tcPr>
          <w:p w14:paraId="3B514158" w14:textId="77777777" w:rsidR="00374C2B" w:rsidRPr="00374C2B" w:rsidRDefault="00374C2B" w:rsidP="00374C2B">
            <w:pPr>
              <w:pStyle w:val="TableRight"/>
            </w:pPr>
            <w:r w:rsidRPr="00843688">
              <w:t xml:space="preserve"> 1</w:t>
            </w:r>
            <w:r w:rsidRPr="00374C2B">
              <w:t>37.1 </w:t>
            </w:r>
          </w:p>
        </w:tc>
        <w:tc>
          <w:tcPr>
            <w:tcW w:w="992" w:type="dxa"/>
            <w:tcBorders>
              <w:top w:val="nil"/>
              <w:left w:val="nil"/>
              <w:right w:val="nil"/>
            </w:tcBorders>
            <w:shd w:val="clear" w:color="auto" w:fill="auto"/>
            <w:vAlign w:val="center"/>
          </w:tcPr>
          <w:p w14:paraId="3744A469" w14:textId="77777777" w:rsidR="00374C2B" w:rsidRPr="00374C2B" w:rsidRDefault="00374C2B" w:rsidP="00374C2B">
            <w:pPr>
              <w:pStyle w:val="TableRight"/>
            </w:pPr>
            <w:r w:rsidRPr="00843688">
              <w:t xml:space="preserve"> 1</w:t>
            </w:r>
            <w:r w:rsidRPr="00374C2B">
              <w:t>87.1 </w:t>
            </w:r>
          </w:p>
        </w:tc>
        <w:tc>
          <w:tcPr>
            <w:tcW w:w="992" w:type="dxa"/>
            <w:tcBorders>
              <w:top w:val="nil"/>
              <w:left w:val="nil"/>
              <w:right w:val="nil"/>
            </w:tcBorders>
            <w:shd w:val="clear" w:color="auto" w:fill="auto"/>
            <w:vAlign w:val="center"/>
          </w:tcPr>
          <w:p w14:paraId="5F642902" w14:textId="77777777" w:rsidR="00374C2B" w:rsidRPr="00374C2B" w:rsidRDefault="00374C2B" w:rsidP="00374C2B">
            <w:pPr>
              <w:pStyle w:val="TableRight"/>
            </w:pPr>
            <w:r w:rsidRPr="00843688">
              <w:t xml:space="preserve"> </w:t>
            </w:r>
            <w:r w:rsidRPr="00374C2B">
              <w:t>187.1 </w:t>
            </w:r>
          </w:p>
        </w:tc>
        <w:tc>
          <w:tcPr>
            <w:tcW w:w="992" w:type="dxa"/>
            <w:tcBorders>
              <w:top w:val="nil"/>
              <w:left w:val="nil"/>
              <w:right w:val="nil"/>
            </w:tcBorders>
            <w:shd w:val="clear" w:color="auto" w:fill="auto"/>
            <w:vAlign w:val="center"/>
          </w:tcPr>
          <w:p w14:paraId="20861BE7" w14:textId="77777777" w:rsidR="00374C2B" w:rsidRPr="00374C2B" w:rsidRDefault="00374C2B" w:rsidP="00374C2B">
            <w:pPr>
              <w:pStyle w:val="TableRight"/>
            </w:pPr>
            <w:r w:rsidRPr="00843688">
              <w:t xml:space="preserve"> </w:t>
            </w:r>
            <w:r w:rsidRPr="00374C2B">
              <w:t>187.1 </w:t>
            </w:r>
          </w:p>
        </w:tc>
        <w:tc>
          <w:tcPr>
            <w:tcW w:w="992" w:type="dxa"/>
            <w:tcBorders>
              <w:top w:val="nil"/>
              <w:left w:val="nil"/>
              <w:right w:val="nil"/>
            </w:tcBorders>
            <w:shd w:val="clear" w:color="auto" w:fill="auto"/>
            <w:vAlign w:val="center"/>
          </w:tcPr>
          <w:p w14:paraId="53E92F27" w14:textId="77777777" w:rsidR="00374C2B" w:rsidRPr="00374C2B" w:rsidRDefault="00374C2B" w:rsidP="00374C2B">
            <w:pPr>
              <w:pStyle w:val="TableRight"/>
            </w:pPr>
            <w:r w:rsidRPr="00843688">
              <w:t xml:space="preserve"> </w:t>
            </w:r>
            <w:r w:rsidRPr="00374C2B">
              <w:t>187.1 </w:t>
            </w:r>
          </w:p>
        </w:tc>
      </w:tr>
      <w:tr w:rsidR="00374C2B" w:rsidRPr="00843688" w14:paraId="576A77A6" w14:textId="77777777" w:rsidTr="001B5757">
        <w:tc>
          <w:tcPr>
            <w:tcW w:w="3628" w:type="dxa"/>
            <w:tcBorders>
              <w:left w:val="nil"/>
              <w:bottom w:val="nil"/>
              <w:right w:val="nil"/>
            </w:tcBorders>
            <w:shd w:val="clear" w:color="auto" w:fill="auto"/>
            <w:vAlign w:val="center"/>
          </w:tcPr>
          <w:p w14:paraId="555409A2" w14:textId="462CEC09" w:rsidR="00374C2B" w:rsidRPr="00374C2B" w:rsidRDefault="00374C2B" w:rsidP="00374C2B">
            <w:pPr>
              <w:pStyle w:val="TableLeft"/>
            </w:pPr>
            <w:r w:rsidRPr="00843688">
              <w:t>Other</w:t>
            </w:r>
            <w:r w:rsidR="005E51E4" w:rsidRPr="001B5757">
              <w:rPr>
                <w:rStyle w:val="TableSuperscript"/>
              </w:rPr>
              <w:t>2</w:t>
            </w:r>
          </w:p>
        </w:tc>
        <w:tc>
          <w:tcPr>
            <w:tcW w:w="992" w:type="dxa"/>
            <w:tcBorders>
              <w:left w:val="nil"/>
              <w:bottom w:val="single" w:sz="6" w:space="0" w:color="auto"/>
              <w:right w:val="nil"/>
            </w:tcBorders>
            <w:shd w:val="clear" w:color="auto" w:fill="auto"/>
            <w:vAlign w:val="center"/>
          </w:tcPr>
          <w:p w14:paraId="14027D85" w14:textId="77777777" w:rsidR="00374C2B" w:rsidRPr="00374C2B" w:rsidRDefault="00374C2B" w:rsidP="00374C2B">
            <w:pPr>
              <w:pStyle w:val="TableRight"/>
            </w:pPr>
            <w:r w:rsidRPr="00843688">
              <w:t xml:space="preserve"> </w:t>
            </w:r>
            <w:r w:rsidRPr="00374C2B">
              <w:t>51.4 </w:t>
            </w:r>
          </w:p>
        </w:tc>
        <w:tc>
          <w:tcPr>
            <w:tcW w:w="992" w:type="dxa"/>
            <w:tcBorders>
              <w:left w:val="nil"/>
              <w:bottom w:val="single" w:sz="6" w:space="0" w:color="auto"/>
              <w:right w:val="nil"/>
            </w:tcBorders>
            <w:shd w:val="clear" w:color="auto" w:fill="auto"/>
            <w:vAlign w:val="center"/>
          </w:tcPr>
          <w:p w14:paraId="3E961FD9" w14:textId="77777777" w:rsidR="00374C2B" w:rsidRPr="00374C2B" w:rsidRDefault="00374C2B" w:rsidP="00374C2B">
            <w:pPr>
              <w:pStyle w:val="TableRight"/>
            </w:pPr>
            <w:r w:rsidRPr="00843688">
              <w:t xml:space="preserve"> </w:t>
            </w:r>
            <w:r w:rsidRPr="00374C2B">
              <w:t>2.8 </w:t>
            </w:r>
          </w:p>
        </w:tc>
        <w:tc>
          <w:tcPr>
            <w:tcW w:w="992" w:type="dxa"/>
            <w:tcBorders>
              <w:left w:val="nil"/>
              <w:bottom w:val="single" w:sz="6" w:space="0" w:color="auto"/>
              <w:right w:val="nil"/>
            </w:tcBorders>
            <w:shd w:val="clear" w:color="auto" w:fill="auto"/>
            <w:vAlign w:val="center"/>
          </w:tcPr>
          <w:p w14:paraId="20509B14" w14:textId="77777777" w:rsidR="00374C2B" w:rsidRPr="00374C2B" w:rsidRDefault="00374C2B" w:rsidP="00374C2B">
            <w:pPr>
              <w:pStyle w:val="TableRight"/>
            </w:pPr>
            <w:r w:rsidRPr="00843688">
              <w:t xml:space="preserve"> </w:t>
            </w:r>
            <w:r w:rsidRPr="00374C2B">
              <w:t>2.8 </w:t>
            </w:r>
          </w:p>
        </w:tc>
        <w:tc>
          <w:tcPr>
            <w:tcW w:w="992" w:type="dxa"/>
            <w:tcBorders>
              <w:left w:val="nil"/>
              <w:bottom w:val="single" w:sz="6" w:space="0" w:color="auto"/>
              <w:right w:val="nil"/>
            </w:tcBorders>
            <w:shd w:val="clear" w:color="auto" w:fill="auto"/>
            <w:vAlign w:val="center"/>
          </w:tcPr>
          <w:p w14:paraId="4F5A2089" w14:textId="77777777" w:rsidR="00374C2B" w:rsidRPr="00374C2B" w:rsidRDefault="00374C2B" w:rsidP="00374C2B">
            <w:pPr>
              <w:pStyle w:val="TableRight"/>
            </w:pPr>
            <w:r w:rsidRPr="00843688">
              <w:t xml:space="preserve"> </w:t>
            </w:r>
            <w:r w:rsidRPr="00374C2B">
              <w:t>2.9 </w:t>
            </w:r>
          </w:p>
        </w:tc>
        <w:tc>
          <w:tcPr>
            <w:tcW w:w="992" w:type="dxa"/>
            <w:tcBorders>
              <w:left w:val="nil"/>
              <w:bottom w:val="single" w:sz="6" w:space="0" w:color="auto"/>
              <w:right w:val="nil"/>
            </w:tcBorders>
            <w:shd w:val="clear" w:color="auto" w:fill="auto"/>
            <w:vAlign w:val="center"/>
          </w:tcPr>
          <w:p w14:paraId="4F9F128B" w14:textId="77777777" w:rsidR="00374C2B" w:rsidRPr="00374C2B" w:rsidRDefault="00374C2B" w:rsidP="00374C2B">
            <w:pPr>
              <w:pStyle w:val="TableRight"/>
            </w:pPr>
            <w:r w:rsidRPr="00843688">
              <w:t xml:space="preserve"> </w:t>
            </w:r>
            <w:r w:rsidRPr="00374C2B">
              <w:t>2.9 </w:t>
            </w:r>
          </w:p>
        </w:tc>
        <w:tc>
          <w:tcPr>
            <w:tcW w:w="992" w:type="dxa"/>
            <w:tcBorders>
              <w:left w:val="nil"/>
              <w:bottom w:val="single" w:sz="6" w:space="0" w:color="auto"/>
              <w:right w:val="nil"/>
            </w:tcBorders>
            <w:shd w:val="clear" w:color="auto" w:fill="auto"/>
            <w:vAlign w:val="center"/>
          </w:tcPr>
          <w:p w14:paraId="2497321E" w14:textId="77777777" w:rsidR="00374C2B" w:rsidRPr="00374C2B" w:rsidRDefault="00374C2B" w:rsidP="00374C2B">
            <w:pPr>
              <w:pStyle w:val="TableRight"/>
            </w:pPr>
            <w:r w:rsidRPr="00843688">
              <w:t xml:space="preserve"> </w:t>
            </w:r>
            <w:r w:rsidRPr="00374C2B">
              <w:t>2.9 </w:t>
            </w:r>
          </w:p>
        </w:tc>
      </w:tr>
      <w:tr w:rsidR="00374C2B" w:rsidRPr="00843688" w14:paraId="78E960CD" w14:textId="77777777" w:rsidTr="001B5757">
        <w:tc>
          <w:tcPr>
            <w:tcW w:w="3628" w:type="dxa"/>
            <w:tcBorders>
              <w:top w:val="nil"/>
              <w:left w:val="nil"/>
              <w:right w:val="nil"/>
            </w:tcBorders>
            <w:shd w:val="clear" w:color="auto" w:fill="auto"/>
            <w:vAlign w:val="center"/>
            <w:hideMark/>
          </w:tcPr>
          <w:p w14:paraId="2A7CF179" w14:textId="77777777" w:rsidR="00374C2B" w:rsidRPr="00843688" w:rsidRDefault="00374C2B" w:rsidP="00374C2B">
            <w:pPr>
              <w:pStyle w:val="TableLeft"/>
            </w:pPr>
          </w:p>
        </w:tc>
        <w:tc>
          <w:tcPr>
            <w:tcW w:w="992" w:type="dxa"/>
            <w:tcBorders>
              <w:top w:val="single" w:sz="6" w:space="0" w:color="auto"/>
              <w:left w:val="nil"/>
              <w:right w:val="nil"/>
            </w:tcBorders>
            <w:shd w:val="clear" w:color="auto" w:fill="auto"/>
            <w:vAlign w:val="center"/>
          </w:tcPr>
          <w:p w14:paraId="16488474" w14:textId="77777777" w:rsidR="00374C2B" w:rsidRPr="00374C2B" w:rsidRDefault="00374C2B" w:rsidP="00374C2B">
            <w:pPr>
              <w:pStyle w:val="TableRightHeading"/>
            </w:pPr>
            <w:r w:rsidRPr="00843688">
              <w:t xml:space="preserve"> </w:t>
            </w:r>
            <w:r w:rsidRPr="00374C2B">
              <w:t>201.4 </w:t>
            </w:r>
          </w:p>
        </w:tc>
        <w:tc>
          <w:tcPr>
            <w:tcW w:w="992" w:type="dxa"/>
            <w:tcBorders>
              <w:top w:val="single" w:sz="6" w:space="0" w:color="auto"/>
              <w:left w:val="nil"/>
              <w:right w:val="nil"/>
            </w:tcBorders>
            <w:shd w:val="clear" w:color="auto" w:fill="auto"/>
            <w:vAlign w:val="center"/>
          </w:tcPr>
          <w:p w14:paraId="770E1347" w14:textId="77777777" w:rsidR="00374C2B" w:rsidRPr="00374C2B" w:rsidRDefault="00374C2B" w:rsidP="00374C2B">
            <w:pPr>
              <w:pStyle w:val="TableRightHeading"/>
            </w:pPr>
            <w:r w:rsidRPr="00843688">
              <w:t xml:space="preserve"> 1</w:t>
            </w:r>
            <w:r w:rsidRPr="00374C2B">
              <w:t>39.9 </w:t>
            </w:r>
          </w:p>
        </w:tc>
        <w:tc>
          <w:tcPr>
            <w:tcW w:w="992" w:type="dxa"/>
            <w:tcBorders>
              <w:top w:val="single" w:sz="6" w:space="0" w:color="auto"/>
              <w:left w:val="nil"/>
              <w:right w:val="nil"/>
            </w:tcBorders>
            <w:shd w:val="clear" w:color="auto" w:fill="auto"/>
            <w:vAlign w:val="center"/>
          </w:tcPr>
          <w:p w14:paraId="72069362" w14:textId="77777777" w:rsidR="00374C2B" w:rsidRPr="00374C2B" w:rsidRDefault="00374C2B" w:rsidP="00374C2B">
            <w:pPr>
              <w:pStyle w:val="TableRightHeading"/>
            </w:pPr>
            <w:r w:rsidRPr="00843688">
              <w:t xml:space="preserve"> </w:t>
            </w:r>
            <w:r w:rsidRPr="00374C2B">
              <w:t>189.9 </w:t>
            </w:r>
          </w:p>
        </w:tc>
        <w:tc>
          <w:tcPr>
            <w:tcW w:w="992" w:type="dxa"/>
            <w:tcBorders>
              <w:top w:val="single" w:sz="6" w:space="0" w:color="auto"/>
              <w:left w:val="nil"/>
              <w:right w:val="nil"/>
            </w:tcBorders>
            <w:shd w:val="clear" w:color="auto" w:fill="auto"/>
            <w:vAlign w:val="center"/>
          </w:tcPr>
          <w:p w14:paraId="01511BE7" w14:textId="77777777" w:rsidR="00374C2B" w:rsidRPr="00374C2B" w:rsidRDefault="00374C2B" w:rsidP="00374C2B">
            <w:pPr>
              <w:pStyle w:val="TableRightHeading"/>
            </w:pPr>
            <w:r w:rsidRPr="00843688">
              <w:t xml:space="preserve"> </w:t>
            </w:r>
            <w:r w:rsidRPr="00374C2B">
              <w:t>190.0 </w:t>
            </w:r>
          </w:p>
        </w:tc>
        <w:tc>
          <w:tcPr>
            <w:tcW w:w="992" w:type="dxa"/>
            <w:tcBorders>
              <w:top w:val="single" w:sz="6" w:space="0" w:color="auto"/>
              <w:left w:val="nil"/>
              <w:right w:val="nil"/>
            </w:tcBorders>
            <w:shd w:val="clear" w:color="auto" w:fill="auto"/>
            <w:vAlign w:val="center"/>
          </w:tcPr>
          <w:p w14:paraId="1FA825CA" w14:textId="77777777" w:rsidR="00374C2B" w:rsidRPr="00374C2B" w:rsidRDefault="00374C2B" w:rsidP="00374C2B">
            <w:pPr>
              <w:pStyle w:val="TableRightHeading"/>
            </w:pPr>
            <w:r w:rsidRPr="00843688">
              <w:t xml:space="preserve"> </w:t>
            </w:r>
            <w:r w:rsidRPr="00374C2B">
              <w:t>190.0 </w:t>
            </w:r>
          </w:p>
        </w:tc>
        <w:tc>
          <w:tcPr>
            <w:tcW w:w="992" w:type="dxa"/>
            <w:tcBorders>
              <w:top w:val="single" w:sz="6" w:space="0" w:color="auto"/>
              <w:left w:val="nil"/>
              <w:right w:val="nil"/>
            </w:tcBorders>
            <w:shd w:val="clear" w:color="auto" w:fill="auto"/>
            <w:vAlign w:val="center"/>
          </w:tcPr>
          <w:p w14:paraId="10BE8B0E" w14:textId="77777777" w:rsidR="00374C2B" w:rsidRPr="00374C2B" w:rsidRDefault="00374C2B" w:rsidP="00374C2B">
            <w:pPr>
              <w:pStyle w:val="TableRightHeading"/>
            </w:pPr>
            <w:r w:rsidRPr="00843688">
              <w:t xml:space="preserve"> </w:t>
            </w:r>
            <w:r w:rsidRPr="00374C2B">
              <w:t>190.0 </w:t>
            </w:r>
          </w:p>
        </w:tc>
      </w:tr>
      <w:tr w:rsidR="00374C2B" w:rsidRPr="00843688" w14:paraId="1A8F5967" w14:textId="77777777" w:rsidTr="001B5757">
        <w:tc>
          <w:tcPr>
            <w:tcW w:w="3628" w:type="dxa"/>
            <w:tcBorders>
              <w:top w:val="nil"/>
              <w:left w:val="nil"/>
              <w:bottom w:val="single" w:sz="6" w:space="0" w:color="auto"/>
              <w:right w:val="nil"/>
            </w:tcBorders>
            <w:shd w:val="clear" w:color="auto" w:fill="auto"/>
            <w:vAlign w:val="center"/>
            <w:hideMark/>
          </w:tcPr>
          <w:p w14:paraId="2C339052" w14:textId="77777777" w:rsidR="00374C2B" w:rsidRPr="00374C2B" w:rsidRDefault="00374C2B" w:rsidP="00374C2B">
            <w:pPr>
              <w:pStyle w:val="TableLeft"/>
            </w:pPr>
            <w:r w:rsidRPr="00843688">
              <w:t> </w:t>
            </w:r>
          </w:p>
        </w:tc>
        <w:tc>
          <w:tcPr>
            <w:tcW w:w="992" w:type="dxa"/>
            <w:tcBorders>
              <w:top w:val="nil"/>
              <w:left w:val="nil"/>
              <w:bottom w:val="single" w:sz="6" w:space="0" w:color="auto"/>
              <w:right w:val="nil"/>
            </w:tcBorders>
            <w:shd w:val="clear" w:color="auto" w:fill="auto"/>
            <w:vAlign w:val="center"/>
            <w:hideMark/>
          </w:tcPr>
          <w:p w14:paraId="513474FA" w14:textId="77777777" w:rsidR="00374C2B" w:rsidRPr="00374C2B" w:rsidRDefault="00374C2B" w:rsidP="00374C2B">
            <w:pPr>
              <w:pStyle w:val="TableRight"/>
            </w:pPr>
            <w:r w:rsidRPr="00843688">
              <w:t> </w:t>
            </w:r>
          </w:p>
        </w:tc>
        <w:tc>
          <w:tcPr>
            <w:tcW w:w="992" w:type="dxa"/>
            <w:tcBorders>
              <w:top w:val="nil"/>
              <w:left w:val="nil"/>
              <w:bottom w:val="single" w:sz="6" w:space="0" w:color="auto"/>
              <w:right w:val="nil"/>
            </w:tcBorders>
            <w:shd w:val="clear" w:color="auto" w:fill="auto"/>
            <w:vAlign w:val="center"/>
            <w:hideMark/>
          </w:tcPr>
          <w:p w14:paraId="647876D5" w14:textId="77777777" w:rsidR="00374C2B" w:rsidRPr="00374C2B" w:rsidRDefault="00374C2B" w:rsidP="00374C2B">
            <w:pPr>
              <w:pStyle w:val="TableRight"/>
            </w:pPr>
            <w:r w:rsidRPr="00843688">
              <w:t> </w:t>
            </w:r>
          </w:p>
        </w:tc>
        <w:tc>
          <w:tcPr>
            <w:tcW w:w="992" w:type="dxa"/>
            <w:tcBorders>
              <w:top w:val="nil"/>
              <w:left w:val="nil"/>
              <w:bottom w:val="single" w:sz="6" w:space="0" w:color="auto"/>
              <w:right w:val="nil"/>
            </w:tcBorders>
            <w:shd w:val="clear" w:color="auto" w:fill="auto"/>
            <w:vAlign w:val="center"/>
            <w:hideMark/>
          </w:tcPr>
          <w:p w14:paraId="7C73A550" w14:textId="77777777" w:rsidR="00374C2B" w:rsidRPr="00374C2B" w:rsidRDefault="00374C2B" w:rsidP="00374C2B">
            <w:pPr>
              <w:pStyle w:val="TableRight"/>
            </w:pPr>
            <w:r w:rsidRPr="00843688">
              <w:t> </w:t>
            </w:r>
          </w:p>
        </w:tc>
        <w:tc>
          <w:tcPr>
            <w:tcW w:w="992" w:type="dxa"/>
            <w:tcBorders>
              <w:top w:val="nil"/>
              <w:left w:val="nil"/>
              <w:bottom w:val="single" w:sz="6" w:space="0" w:color="auto"/>
              <w:right w:val="nil"/>
            </w:tcBorders>
            <w:shd w:val="clear" w:color="auto" w:fill="auto"/>
            <w:vAlign w:val="center"/>
            <w:hideMark/>
          </w:tcPr>
          <w:p w14:paraId="7B99E964" w14:textId="77777777" w:rsidR="00374C2B" w:rsidRPr="00374C2B" w:rsidRDefault="00374C2B" w:rsidP="00374C2B">
            <w:pPr>
              <w:pStyle w:val="TableRight"/>
            </w:pPr>
            <w:r w:rsidRPr="00843688">
              <w:t> </w:t>
            </w:r>
          </w:p>
        </w:tc>
        <w:tc>
          <w:tcPr>
            <w:tcW w:w="992" w:type="dxa"/>
            <w:tcBorders>
              <w:top w:val="nil"/>
              <w:left w:val="nil"/>
              <w:bottom w:val="single" w:sz="6" w:space="0" w:color="auto"/>
              <w:right w:val="nil"/>
            </w:tcBorders>
            <w:shd w:val="clear" w:color="auto" w:fill="auto"/>
            <w:vAlign w:val="center"/>
            <w:hideMark/>
          </w:tcPr>
          <w:p w14:paraId="5A9BA0EE" w14:textId="77777777" w:rsidR="00374C2B" w:rsidRPr="00374C2B" w:rsidRDefault="00374C2B" w:rsidP="00374C2B">
            <w:pPr>
              <w:pStyle w:val="TableRight"/>
            </w:pPr>
            <w:r w:rsidRPr="00843688">
              <w:t> </w:t>
            </w:r>
          </w:p>
        </w:tc>
        <w:tc>
          <w:tcPr>
            <w:tcW w:w="992" w:type="dxa"/>
            <w:tcBorders>
              <w:top w:val="nil"/>
              <w:left w:val="nil"/>
              <w:bottom w:val="single" w:sz="6" w:space="0" w:color="auto"/>
              <w:right w:val="nil"/>
            </w:tcBorders>
            <w:shd w:val="clear" w:color="auto" w:fill="auto"/>
            <w:vAlign w:val="center"/>
            <w:hideMark/>
          </w:tcPr>
          <w:p w14:paraId="1F79B131" w14:textId="77777777" w:rsidR="00374C2B" w:rsidRPr="00374C2B" w:rsidRDefault="00374C2B" w:rsidP="00374C2B">
            <w:pPr>
              <w:pStyle w:val="TableRight"/>
            </w:pPr>
            <w:r w:rsidRPr="00843688">
              <w:t> </w:t>
            </w:r>
          </w:p>
        </w:tc>
      </w:tr>
    </w:tbl>
    <w:p w14:paraId="08658B87" w14:textId="7A5828E8" w:rsidR="00374C2B" w:rsidRPr="00843688" w:rsidRDefault="00374C2B" w:rsidP="00374C2B">
      <w:pPr>
        <w:pStyle w:val="NotesHeading"/>
      </w:pPr>
      <w:r w:rsidRPr="00843688">
        <w:t>Note</w:t>
      </w:r>
      <w:r w:rsidR="00AF5A11">
        <w:t>s</w:t>
      </w:r>
      <w:r w:rsidRPr="00843688">
        <w:t>:</w:t>
      </w:r>
    </w:p>
    <w:p w14:paraId="16CCED95" w14:textId="5351D67C" w:rsidR="001D07CE" w:rsidRPr="001D07CE" w:rsidRDefault="003F0A2E" w:rsidP="00964183">
      <w:pPr>
        <w:pStyle w:val="Notes0"/>
        <w:numPr>
          <w:ilvl w:val="0"/>
          <w:numId w:val="12"/>
        </w:numPr>
      </w:pPr>
      <w:r w:rsidRPr="001D07CE">
        <w:rPr>
          <w:rStyle w:val="AnyText-Highlight"/>
          <w:shd w:val="clear" w:color="auto" w:fill="auto"/>
        </w:rPr>
        <w:t xml:space="preserve">The </w:t>
      </w:r>
      <w:r w:rsidR="001B7A46" w:rsidRPr="001D07CE">
        <w:rPr>
          <w:rStyle w:val="AnyText-Highlight"/>
          <w:shd w:val="clear" w:color="auto" w:fill="auto"/>
        </w:rPr>
        <w:t>Equity investment in TasWater is recognised as the State</w:t>
      </w:r>
      <w:r w:rsidR="00A032C5">
        <w:rPr>
          <w:rStyle w:val="AnyText-Highlight"/>
          <w:shd w:val="clear" w:color="auto" w:fill="auto"/>
        </w:rPr>
        <w:t>’</w:t>
      </w:r>
      <w:r w:rsidR="001B7A46" w:rsidRPr="001D07CE">
        <w:rPr>
          <w:rStyle w:val="AnyText-Highlight"/>
          <w:shd w:val="clear" w:color="auto" w:fill="auto"/>
        </w:rPr>
        <w:t>s equity interest in TasWater</w:t>
      </w:r>
      <w:r w:rsidR="00A032C5">
        <w:rPr>
          <w:rStyle w:val="AnyText-Highlight"/>
          <w:shd w:val="clear" w:color="auto" w:fill="auto"/>
        </w:rPr>
        <w:t>’</w:t>
      </w:r>
      <w:r w:rsidR="001B7A46" w:rsidRPr="001D07CE">
        <w:rPr>
          <w:rStyle w:val="AnyText-Highlight"/>
          <w:shd w:val="clear" w:color="auto" w:fill="auto"/>
        </w:rPr>
        <w:t>s net asset value.</w:t>
      </w:r>
    </w:p>
    <w:p w14:paraId="3AA67BFB" w14:textId="134381F6" w:rsidR="00374C2B" w:rsidRPr="001D07CE" w:rsidRDefault="00374C2B" w:rsidP="00964183">
      <w:pPr>
        <w:pStyle w:val="Notes0"/>
        <w:numPr>
          <w:ilvl w:val="0"/>
          <w:numId w:val="12"/>
        </w:numPr>
        <w:rPr>
          <w:shd w:val="clear" w:color="auto" w:fill="FFFF00"/>
        </w:rPr>
      </w:pPr>
      <w:r w:rsidRPr="00843688">
        <w:t xml:space="preserve">Other is primarily comprised of the balance of investments held by </w:t>
      </w:r>
      <w:r w:rsidRPr="00374C2B">
        <w:t>the Department of Natural Resources and Environment Tasmania.</w:t>
      </w:r>
    </w:p>
    <w:p w14:paraId="4301E4AC" w14:textId="77777777" w:rsidR="00374C2B" w:rsidRPr="00843688" w:rsidRDefault="00374C2B" w:rsidP="00374C2B">
      <w:pPr>
        <w:pStyle w:val="Heading3"/>
      </w:pPr>
      <w:r w:rsidRPr="00843688">
        <w:t>Non</w:t>
      </w:r>
      <w:r w:rsidRPr="00843688">
        <w:noBreakHyphen/>
        <w:t>Financial Assets</w:t>
      </w:r>
    </w:p>
    <w:p w14:paraId="3AAE65CA" w14:textId="4E7EBC89" w:rsidR="00374C2B" w:rsidRPr="00843688" w:rsidRDefault="00374C2B" w:rsidP="00374C2B">
      <w:pPr>
        <w:pStyle w:val="Body"/>
      </w:pPr>
      <w:r w:rsidRPr="00843688">
        <w:t>Non</w:t>
      </w:r>
      <w:r w:rsidRPr="00843688">
        <w:noBreakHyphen/>
        <w:t>financial assets include the value of Crown Land and other land holdings, including national parks and conservation areas, schools, hospitals and other buildings held by the Government. Non</w:t>
      </w:r>
      <w:r w:rsidRPr="00843688">
        <w:noBreakHyphen/>
        <w:t>financial assets also includes Plant and equipment, Intangibles, Assets held for sale, Lease - right</w:t>
      </w:r>
      <w:r w:rsidRPr="00843688">
        <w:noBreakHyphen/>
        <w:t>of</w:t>
      </w:r>
      <w:r w:rsidRPr="00843688">
        <w:noBreakHyphen/>
        <w:t>use assets and Other</w:t>
      </w:r>
      <w:r w:rsidR="002A52EA">
        <w:t> </w:t>
      </w:r>
      <w:r w:rsidRPr="00843688">
        <w:t>non</w:t>
      </w:r>
      <w:r w:rsidRPr="00843688">
        <w:noBreakHyphen/>
        <w:t>financial assets.</w:t>
      </w:r>
    </w:p>
    <w:p w14:paraId="4F83BEEA" w14:textId="05E1197A" w:rsidR="00374C2B" w:rsidRPr="00843688" w:rsidRDefault="00374C2B" w:rsidP="00374C2B">
      <w:pPr>
        <w:pStyle w:val="Body"/>
      </w:pPr>
      <w:r w:rsidRPr="009C11F4">
        <w:t>Land and buildings is estimated to be $7 022.7 million as at 30 June 2024, a decrease of $1</w:t>
      </w:r>
      <w:r w:rsidR="00710DA5">
        <w:t> </w:t>
      </w:r>
      <w:r w:rsidRPr="009C11F4">
        <w:t>183 million from the 2022</w:t>
      </w:r>
      <w:r w:rsidRPr="009C11F4">
        <w:noBreakHyphen/>
        <w:t>23</w:t>
      </w:r>
      <w:r w:rsidR="00561F02">
        <w:t> </w:t>
      </w:r>
      <w:r w:rsidRPr="009C11F4">
        <w:t xml:space="preserve">Budget of $8 205.7 million as at 30 June 2023. </w:t>
      </w:r>
      <w:r>
        <w:t xml:space="preserve">This decrease primarily reflects the transfer of housing assets to Homes Tasmania which is a PNFC Sector entity. </w:t>
      </w:r>
      <w:r w:rsidRPr="009C11F4">
        <w:t xml:space="preserve">Land and buildings is estimated to increase by $588.2 million to $7 610.9 million as at 30 June 2027. </w:t>
      </w:r>
      <w:r w:rsidRPr="0009575B">
        <w:t xml:space="preserve">This primarily reflects increased capital expenditure on schools, hospital and prison assets undertaken by the Department for Education, Children and Young People, </w:t>
      </w:r>
      <w:r w:rsidR="00561F02">
        <w:t xml:space="preserve">the </w:t>
      </w:r>
      <w:r w:rsidRPr="0009575B">
        <w:t xml:space="preserve">Department of Health and </w:t>
      </w:r>
      <w:r w:rsidR="00561F02">
        <w:t xml:space="preserve">the </w:t>
      </w:r>
      <w:r w:rsidRPr="0009575B">
        <w:t>Department of Justice.</w:t>
      </w:r>
    </w:p>
    <w:p w14:paraId="0C3FEA42" w14:textId="77777777" w:rsidR="00374C2B" w:rsidRPr="00843688" w:rsidRDefault="00374C2B" w:rsidP="00374C2B">
      <w:pPr>
        <w:pStyle w:val="Body"/>
      </w:pPr>
      <w:r w:rsidRPr="00843688">
        <w:t>Infrastructure is estimated to be $</w:t>
      </w:r>
      <w:r>
        <w:t>7</w:t>
      </w:r>
      <w:r w:rsidRPr="00843688">
        <w:t> </w:t>
      </w:r>
      <w:r>
        <w:t>591.4</w:t>
      </w:r>
      <w:r w:rsidRPr="00843688">
        <w:t> million as at 30 June 202</w:t>
      </w:r>
      <w:r>
        <w:t>4</w:t>
      </w:r>
      <w:r w:rsidRPr="00843688">
        <w:t>, an increase of $</w:t>
      </w:r>
      <w:r>
        <w:t>652.5</w:t>
      </w:r>
      <w:r w:rsidRPr="00843688">
        <w:t> million from the 202</w:t>
      </w:r>
      <w:r>
        <w:t>2</w:t>
      </w:r>
      <w:r w:rsidRPr="00843688">
        <w:noBreakHyphen/>
        <w:t>2</w:t>
      </w:r>
      <w:r>
        <w:t>3</w:t>
      </w:r>
      <w:r w:rsidRPr="00843688">
        <w:t xml:space="preserve"> Budget of </w:t>
      </w:r>
      <w:r>
        <w:t>$</w:t>
      </w:r>
      <w:r w:rsidRPr="00843688">
        <w:t>6 </w:t>
      </w:r>
      <w:r>
        <w:t>938.9</w:t>
      </w:r>
      <w:r w:rsidRPr="00843688">
        <w:t> million as at 30 June 202</w:t>
      </w:r>
      <w:r>
        <w:t>3</w:t>
      </w:r>
      <w:r w:rsidRPr="00843688">
        <w:t>. Infrastructure is estimated to increase by $1 </w:t>
      </w:r>
      <w:r>
        <w:t>665.9</w:t>
      </w:r>
      <w:r w:rsidRPr="00843688">
        <w:t> million to $</w:t>
      </w:r>
      <w:r>
        <w:t>9</w:t>
      </w:r>
      <w:r w:rsidRPr="00843688">
        <w:t> </w:t>
      </w:r>
      <w:r>
        <w:t>257.3</w:t>
      </w:r>
      <w:r w:rsidRPr="00843688">
        <w:t> million as at 30 June 202</w:t>
      </w:r>
      <w:r>
        <w:t>7</w:t>
      </w:r>
      <w:r w:rsidRPr="00843688">
        <w:t xml:space="preserve">, </w:t>
      </w:r>
      <w:r w:rsidRPr="00D423FC">
        <w:t>which primarily reflects capital expenditure on road and bridge infrastructure assets by the Department of State Growth.</w:t>
      </w:r>
    </w:p>
    <w:p w14:paraId="0B0A91E3" w14:textId="77777777" w:rsidR="00374C2B" w:rsidRPr="00843688" w:rsidRDefault="00374C2B" w:rsidP="00374C2B">
      <w:pPr>
        <w:pStyle w:val="Body"/>
      </w:pPr>
      <w:r w:rsidRPr="0058029F">
        <w:t>Lease - right</w:t>
      </w:r>
      <w:r w:rsidRPr="0058029F">
        <w:noBreakHyphen/>
        <w:t>of</w:t>
      </w:r>
      <w:r w:rsidRPr="0058029F">
        <w:noBreakHyphen/>
        <w:t>use assets is estimated to be $687.8 million as at 30 June 2024. This consists of $668.4 million for Land and buildings, which primarily reflects the leasing of Government office accommodation held by Finance</w:t>
      </w:r>
      <w:r w:rsidRPr="0058029F">
        <w:noBreakHyphen/>
        <w:t>General and $19.4 million for Plant and equipment, which primarily reflects the leasing of equipment by the Department of Natural Resources and Environment Tasmania and the Department of Health.</w:t>
      </w:r>
    </w:p>
    <w:p w14:paraId="2F8B75E0" w14:textId="2D0B25F6" w:rsidR="00374C2B" w:rsidRPr="00843688" w:rsidRDefault="00374C2B" w:rsidP="00374C2B">
      <w:pPr>
        <w:pStyle w:val="Body"/>
      </w:pPr>
      <w:r w:rsidRPr="00843688">
        <w:t>The increase in Land and buildings and Infrastructure over the 202</w:t>
      </w:r>
      <w:r>
        <w:t>3</w:t>
      </w:r>
      <w:r w:rsidRPr="00843688">
        <w:noBreakHyphen/>
        <w:t>2</w:t>
      </w:r>
      <w:r>
        <w:t>4</w:t>
      </w:r>
      <w:r w:rsidRPr="00843688">
        <w:t> Budget and Forward</w:t>
      </w:r>
      <w:r w:rsidR="00AF5A11">
        <w:t> </w:t>
      </w:r>
      <w:r w:rsidRPr="00843688">
        <w:t xml:space="preserve">Estimates reflects the implementation of the Government’s </w:t>
      </w:r>
      <w:r w:rsidR="000853C8">
        <w:t>I</w:t>
      </w:r>
      <w:r w:rsidRPr="00843688">
        <w:t xml:space="preserve">nfrastructure </w:t>
      </w:r>
      <w:r w:rsidR="000853C8">
        <w:t>I</w:t>
      </w:r>
      <w:r w:rsidRPr="00843688">
        <w:t xml:space="preserve">nvestment </w:t>
      </w:r>
      <w:r w:rsidR="000853C8">
        <w:t>P</w:t>
      </w:r>
      <w:r w:rsidRPr="00843688">
        <w:t>rogram. Further information on infrastructure investment is provided in chapter 6 of this Budget Paper.</w:t>
      </w:r>
    </w:p>
    <w:p w14:paraId="1C8FE2A4" w14:textId="53D7C40C" w:rsidR="00374C2B" w:rsidRDefault="00374C2B">
      <w:r>
        <w:br w:type="page"/>
      </w:r>
    </w:p>
    <w:p w14:paraId="7AC56A10" w14:textId="77777777" w:rsidR="00374C2B" w:rsidRPr="00843688" w:rsidRDefault="00374C2B" w:rsidP="00374C2B">
      <w:pPr>
        <w:pStyle w:val="Heading3"/>
      </w:pPr>
      <w:r w:rsidRPr="00843688">
        <w:lastRenderedPageBreak/>
        <w:t>Superannuation</w:t>
      </w:r>
    </w:p>
    <w:p w14:paraId="0282E672" w14:textId="77777777" w:rsidR="00374C2B" w:rsidRPr="00843688" w:rsidRDefault="00374C2B" w:rsidP="00374C2B">
      <w:pPr>
        <w:pStyle w:val="Heading4"/>
      </w:pPr>
      <w:r w:rsidRPr="00843688">
        <w:t>General Government Sector</w:t>
      </w:r>
    </w:p>
    <w:p w14:paraId="72CF55FD" w14:textId="62ACF7AF" w:rsidR="00374C2B" w:rsidRPr="00843688" w:rsidRDefault="00374C2B" w:rsidP="00374C2B">
      <w:pPr>
        <w:pStyle w:val="Body"/>
      </w:pPr>
      <w:r w:rsidRPr="00843688">
        <w:t>The Government’s superannuation liability is an estimate of the obligations of the State with respect to liabilities arising from the current and former members of unfunded or partially funded Public Sector defined benefit superannuation schemes, which were closed to new members with effect from May 1999.</w:t>
      </w:r>
    </w:p>
    <w:p w14:paraId="1722BC0F" w14:textId="20A6E7E4" w:rsidR="00374C2B" w:rsidRPr="00843688" w:rsidRDefault="00374C2B" w:rsidP="00374C2B">
      <w:pPr>
        <w:pStyle w:val="Body"/>
      </w:pPr>
      <w:r w:rsidRPr="00843688">
        <w:t>The superannuation liability is an estimate of the net present value of the Government’s share of meeting current and future benefit payments for scheme members. The superannuation liability differs from many other financial liabilities, such as Borrowings, which can be called on for repayment in full at any point in time.</w:t>
      </w:r>
    </w:p>
    <w:p w14:paraId="6D99FFF4" w14:textId="08ACC59C" w:rsidR="00E644A8" w:rsidRDefault="00374C2B" w:rsidP="00656D5B">
      <w:pPr>
        <w:pStyle w:val="Body"/>
      </w:pPr>
      <w:r w:rsidRPr="00843688">
        <w:t>The superannuation liability has arisen over many decades because benefits are funded on an emerging basis when scheme members become entitled to a pension or lump sum benefit. That is, the Government’s portion of the final benefit is paid when it falls due, with the remaining part of the benefit being funded from the scheme’s assets. The major schemes currently operating in the General</w:t>
      </w:r>
      <w:r w:rsidR="00710DA5">
        <w:t> </w:t>
      </w:r>
      <w:r w:rsidRPr="00843688">
        <w:t xml:space="preserve">Government Sector that have an unfunded liability are those </w:t>
      </w:r>
      <w:r w:rsidR="007A6756">
        <w:t>administered under</w:t>
      </w:r>
      <w:r w:rsidR="00E644A8">
        <w:t>:</w:t>
      </w:r>
    </w:p>
    <w:p w14:paraId="32863BA0" w14:textId="1FBC1A1F" w:rsidR="00E644A8" w:rsidRDefault="007A6756" w:rsidP="00F25302">
      <w:pPr>
        <w:pStyle w:val="Dotpoint"/>
        <w:rPr>
          <w:rStyle w:val="AnyText-Italics"/>
        </w:rPr>
      </w:pPr>
      <w:r>
        <w:t xml:space="preserve">the </w:t>
      </w:r>
      <w:r w:rsidRPr="00F25302">
        <w:rPr>
          <w:rStyle w:val="AnyText-Italics"/>
        </w:rPr>
        <w:t>Public Sector Superannuation Reform Act 2016</w:t>
      </w:r>
      <w:r w:rsidR="00E644A8" w:rsidRPr="000853C8">
        <w:rPr>
          <w:rStyle w:val="AnyText-Italics"/>
          <w:i w:val="0"/>
          <w:iCs/>
        </w:rPr>
        <w:t>;</w:t>
      </w:r>
    </w:p>
    <w:p w14:paraId="7D6CFE09" w14:textId="0E42E33E" w:rsidR="00E644A8" w:rsidRDefault="007A6756" w:rsidP="00F25302">
      <w:pPr>
        <w:pStyle w:val="Dotpoint"/>
        <w:rPr>
          <w:rStyle w:val="AnyText-Italics"/>
        </w:rPr>
      </w:pPr>
      <w:r>
        <w:t xml:space="preserve">the </w:t>
      </w:r>
      <w:r w:rsidRPr="00F25302">
        <w:rPr>
          <w:rStyle w:val="AnyText-Italics"/>
        </w:rPr>
        <w:t>Public Sector Superannuation Reform Regulations 2017</w:t>
      </w:r>
      <w:r w:rsidR="00E644A8" w:rsidRPr="000853C8">
        <w:rPr>
          <w:rStyle w:val="AnyText-Italics"/>
          <w:i w:val="0"/>
          <w:iCs/>
        </w:rPr>
        <w:t>;</w:t>
      </w:r>
    </w:p>
    <w:p w14:paraId="319E8535" w14:textId="2021F3A4" w:rsidR="00E644A8" w:rsidRPr="00F25302" w:rsidRDefault="00695016" w:rsidP="00E644A8">
      <w:pPr>
        <w:pStyle w:val="Dotpoint"/>
        <w:rPr>
          <w:rStyle w:val="AnyText-Italics"/>
          <w:rFonts w:asciiTheme="minorHAnsi" w:hAnsiTheme="minorHAnsi"/>
          <w:i w:val="0"/>
        </w:rPr>
      </w:pPr>
      <w:r>
        <w:t xml:space="preserve">the </w:t>
      </w:r>
      <w:r w:rsidRPr="00D7663A">
        <w:rPr>
          <w:rStyle w:val="AnyText-Italics"/>
        </w:rPr>
        <w:t>Public Sector Superannuation Reform</w:t>
      </w:r>
      <w:r>
        <w:rPr>
          <w:rStyle w:val="AnyText-Italics"/>
        </w:rPr>
        <w:t xml:space="preserve"> (Parliamentary </w:t>
      </w:r>
      <w:r w:rsidR="009750BC">
        <w:rPr>
          <w:rStyle w:val="AnyText-Italics"/>
        </w:rPr>
        <w:t>Superannuation</w:t>
      </w:r>
      <w:r>
        <w:rPr>
          <w:rStyle w:val="AnyText-Italics"/>
        </w:rPr>
        <w:t>)</w:t>
      </w:r>
      <w:r w:rsidRPr="00D7663A">
        <w:rPr>
          <w:rStyle w:val="AnyText-Italics"/>
        </w:rPr>
        <w:t xml:space="preserve"> Regulations 201</w:t>
      </w:r>
      <w:r w:rsidR="00E644A8">
        <w:rPr>
          <w:rStyle w:val="AnyText-Italics"/>
        </w:rPr>
        <w:t>6</w:t>
      </w:r>
      <w:r w:rsidR="00846212" w:rsidRPr="000853C8">
        <w:rPr>
          <w:rStyle w:val="AnyText-Italics"/>
          <w:i w:val="0"/>
          <w:iCs/>
        </w:rPr>
        <w:t>;</w:t>
      </w:r>
      <w:r w:rsidRPr="000853C8">
        <w:rPr>
          <w:rStyle w:val="AnyText-Italics"/>
          <w:i w:val="0"/>
          <w:iCs/>
        </w:rPr>
        <w:t xml:space="preserve"> </w:t>
      </w:r>
      <w:r w:rsidR="00A5749E" w:rsidRPr="000853C8">
        <w:rPr>
          <w:rStyle w:val="AnyText-Italics"/>
          <w:i w:val="0"/>
          <w:iCs/>
        </w:rPr>
        <w:t>and</w:t>
      </w:r>
      <w:r w:rsidR="00A5749E">
        <w:rPr>
          <w:rStyle w:val="AnyText-Italics"/>
        </w:rPr>
        <w:t xml:space="preserve"> </w:t>
      </w:r>
    </w:p>
    <w:p w14:paraId="02DC05F4" w14:textId="47EEDCEF" w:rsidR="007A6756" w:rsidRDefault="00A5749E" w:rsidP="00F25302">
      <w:pPr>
        <w:pStyle w:val="Dotpoint"/>
      </w:pPr>
      <w:r w:rsidRPr="00F25302">
        <w:t>the</w:t>
      </w:r>
      <w:r>
        <w:rPr>
          <w:rStyle w:val="AnyText-Italics"/>
        </w:rPr>
        <w:t xml:space="preserve"> </w:t>
      </w:r>
      <w:r w:rsidRPr="00F25302">
        <w:rPr>
          <w:rStyle w:val="AnyText-Italics"/>
        </w:rPr>
        <w:t>Judges’ Contributory Pensions Act 1968</w:t>
      </w:r>
      <w:r w:rsidR="007A6756">
        <w:t xml:space="preserve">. </w:t>
      </w:r>
    </w:p>
    <w:p w14:paraId="39E9A3CA" w14:textId="3E1ADE36" w:rsidR="00374C2B" w:rsidRPr="00843688" w:rsidRDefault="00374C2B" w:rsidP="00374C2B">
      <w:pPr>
        <w:pStyle w:val="Body"/>
      </w:pPr>
      <w:r w:rsidRPr="00843688">
        <w:t>While these schemes have been closed to new members, because of the long</w:t>
      </w:r>
      <w:r w:rsidRPr="00843688">
        <w:noBreakHyphen/>
        <w:t>term nature of superannuation benefits, the superannuation liability continues to increase as existing members accrue additional years of service as they approach retirement age.</w:t>
      </w:r>
    </w:p>
    <w:p w14:paraId="533D48BC" w14:textId="64F67572" w:rsidR="00374C2B" w:rsidRPr="00843688" w:rsidRDefault="00374C2B" w:rsidP="00374C2B">
      <w:pPr>
        <w:pStyle w:val="Body"/>
      </w:pPr>
      <w:r w:rsidRPr="00843688">
        <w:t xml:space="preserve">The General Government </w:t>
      </w:r>
      <w:r w:rsidR="00B039E1">
        <w:t xml:space="preserve">Sector </w:t>
      </w:r>
      <w:r w:rsidRPr="00843688">
        <w:t>Superannuation liability is estimated to be $</w:t>
      </w:r>
      <w:r>
        <w:t>7</w:t>
      </w:r>
      <w:r w:rsidRPr="00843688">
        <w:t> </w:t>
      </w:r>
      <w:r>
        <w:t>759.3</w:t>
      </w:r>
      <w:r w:rsidRPr="00843688">
        <w:t> million as at 30 June 202</w:t>
      </w:r>
      <w:r>
        <w:t>4</w:t>
      </w:r>
      <w:r w:rsidRPr="00843688">
        <w:t>, which is comprised of the estimated present value of the liability of $</w:t>
      </w:r>
      <w:r>
        <w:t>9</w:t>
      </w:r>
      <w:r w:rsidRPr="00843688">
        <w:t> </w:t>
      </w:r>
      <w:r>
        <w:t>731.3</w:t>
      </w:r>
      <w:r w:rsidRPr="00843688">
        <w:t> million less the estimated fair value of plan assets of $</w:t>
      </w:r>
      <w:r>
        <w:t>1</w:t>
      </w:r>
      <w:r w:rsidRPr="00843688">
        <w:t> </w:t>
      </w:r>
      <w:r>
        <w:t>972</w:t>
      </w:r>
      <w:r w:rsidRPr="00843688">
        <w:t> million.</w:t>
      </w:r>
    </w:p>
    <w:p w14:paraId="711C31A8" w14:textId="1D2E7C43" w:rsidR="00374C2B" w:rsidRPr="00843688" w:rsidRDefault="00374C2B" w:rsidP="00374C2B">
      <w:pPr>
        <w:pStyle w:val="Heading6"/>
      </w:pPr>
      <w:r w:rsidRPr="00843688">
        <w:t>Table 7.7:</w:t>
      </w:r>
      <w:r w:rsidRPr="00843688">
        <w:tab/>
        <w:t xml:space="preserve">General Government </w:t>
      </w:r>
      <w:r w:rsidR="00B039E1">
        <w:t xml:space="preserve">Sector </w:t>
      </w:r>
      <w:r w:rsidRPr="00843688">
        <w:t>Superannuation Liability as at 30 June</w:t>
      </w:r>
    </w:p>
    <w:tbl>
      <w:tblPr>
        <w:tblW w:w="9612" w:type="dxa"/>
        <w:jc w:val="center"/>
        <w:tblLayout w:type="fixed"/>
        <w:tblCellMar>
          <w:left w:w="28" w:type="dxa"/>
          <w:right w:w="28" w:type="dxa"/>
        </w:tblCellMar>
        <w:tblLook w:val="0000" w:firstRow="0" w:lastRow="0" w:firstColumn="0" w:lastColumn="0" w:noHBand="0" w:noVBand="0"/>
      </w:tblPr>
      <w:tblGrid>
        <w:gridCol w:w="3828"/>
        <w:gridCol w:w="964"/>
        <w:gridCol w:w="964"/>
        <w:gridCol w:w="964"/>
        <w:gridCol w:w="964"/>
        <w:gridCol w:w="964"/>
        <w:gridCol w:w="964"/>
      </w:tblGrid>
      <w:tr w:rsidR="00374C2B" w:rsidRPr="00843688" w14:paraId="3497120B" w14:textId="77777777" w:rsidTr="001B5757">
        <w:trPr>
          <w:jc w:val="center"/>
        </w:trPr>
        <w:tc>
          <w:tcPr>
            <w:tcW w:w="3828" w:type="dxa"/>
            <w:tcBorders>
              <w:top w:val="single" w:sz="4" w:space="0" w:color="auto"/>
              <w:left w:val="nil"/>
              <w:right w:val="nil"/>
            </w:tcBorders>
            <w:shd w:val="clear" w:color="auto" w:fill="auto"/>
            <w:vAlign w:val="bottom"/>
          </w:tcPr>
          <w:p w14:paraId="61A9E04F" w14:textId="77777777" w:rsidR="00374C2B" w:rsidRPr="00843688" w:rsidRDefault="00374C2B" w:rsidP="00AF5A11">
            <w:pPr>
              <w:pStyle w:val="TableRightHeading"/>
            </w:pPr>
          </w:p>
        </w:tc>
        <w:tc>
          <w:tcPr>
            <w:tcW w:w="964" w:type="dxa"/>
            <w:tcBorders>
              <w:top w:val="single" w:sz="4" w:space="0" w:color="auto"/>
              <w:left w:val="nil"/>
              <w:right w:val="nil"/>
            </w:tcBorders>
            <w:vAlign w:val="bottom"/>
          </w:tcPr>
          <w:p w14:paraId="12940282" w14:textId="18F66918" w:rsidR="00374C2B" w:rsidRPr="00374C2B" w:rsidRDefault="00374C2B" w:rsidP="00AF5A11">
            <w:pPr>
              <w:pStyle w:val="TableRightHeading"/>
            </w:pPr>
            <w:r w:rsidRPr="00843688">
              <w:t>202</w:t>
            </w:r>
            <w:r w:rsidRPr="00374C2B">
              <w:t>3</w:t>
            </w:r>
          </w:p>
        </w:tc>
        <w:tc>
          <w:tcPr>
            <w:tcW w:w="964" w:type="dxa"/>
            <w:tcBorders>
              <w:top w:val="single" w:sz="4" w:space="0" w:color="auto"/>
              <w:left w:val="nil"/>
              <w:right w:val="nil"/>
            </w:tcBorders>
            <w:vAlign w:val="bottom"/>
          </w:tcPr>
          <w:p w14:paraId="18AF184B" w14:textId="3E47BC9B" w:rsidR="00374C2B" w:rsidRPr="00374C2B" w:rsidRDefault="00374C2B" w:rsidP="00AF5A11">
            <w:pPr>
              <w:pStyle w:val="TableRightHeading"/>
            </w:pPr>
            <w:r w:rsidRPr="00843688">
              <w:t>202</w:t>
            </w:r>
            <w:r w:rsidRPr="00374C2B">
              <w:t>3</w:t>
            </w:r>
          </w:p>
        </w:tc>
        <w:tc>
          <w:tcPr>
            <w:tcW w:w="964" w:type="dxa"/>
            <w:tcBorders>
              <w:top w:val="single" w:sz="4" w:space="0" w:color="auto"/>
              <w:left w:val="nil"/>
              <w:right w:val="nil"/>
            </w:tcBorders>
            <w:shd w:val="clear" w:color="auto" w:fill="auto"/>
            <w:vAlign w:val="bottom"/>
          </w:tcPr>
          <w:p w14:paraId="6570DB08" w14:textId="74312077" w:rsidR="00374C2B" w:rsidRPr="00374C2B" w:rsidRDefault="00374C2B" w:rsidP="00AF5A11">
            <w:pPr>
              <w:pStyle w:val="TableRightHeading"/>
            </w:pPr>
            <w:r w:rsidRPr="00843688">
              <w:t>202</w:t>
            </w:r>
            <w:r w:rsidRPr="00374C2B">
              <w:t>4</w:t>
            </w:r>
          </w:p>
        </w:tc>
        <w:tc>
          <w:tcPr>
            <w:tcW w:w="964" w:type="dxa"/>
            <w:tcBorders>
              <w:top w:val="single" w:sz="4" w:space="0" w:color="auto"/>
              <w:left w:val="nil"/>
              <w:right w:val="nil"/>
            </w:tcBorders>
            <w:shd w:val="clear" w:color="auto" w:fill="auto"/>
            <w:vAlign w:val="bottom"/>
          </w:tcPr>
          <w:p w14:paraId="63F761CB" w14:textId="4B729C8D" w:rsidR="00374C2B" w:rsidRPr="00374C2B" w:rsidRDefault="00374C2B" w:rsidP="00AF5A11">
            <w:pPr>
              <w:pStyle w:val="TableRightHeading"/>
            </w:pPr>
            <w:r w:rsidRPr="00843688">
              <w:t>202</w:t>
            </w:r>
            <w:r w:rsidRPr="00374C2B">
              <w:t>5</w:t>
            </w:r>
          </w:p>
        </w:tc>
        <w:tc>
          <w:tcPr>
            <w:tcW w:w="964" w:type="dxa"/>
            <w:tcBorders>
              <w:top w:val="single" w:sz="4" w:space="0" w:color="auto"/>
              <w:left w:val="nil"/>
              <w:right w:val="nil"/>
            </w:tcBorders>
            <w:shd w:val="clear" w:color="auto" w:fill="auto"/>
            <w:vAlign w:val="bottom"/>
          </w:tcPr>
          <w:p w14:paraId="69D6CDC7" w14:textId="4F2799B7" w:rsidR="00374C2B" w:rsidRPr="00374C2B" w:rsidRDefault="00374C2B" w:rsidP="00AF5A11">
            <w:pPr>
              <w:pStyle w:val="TableRightHeading"/>
            </w:pPr>
            <w:r w:rsidRPr="00843688">
              <w:t>202</w:t>
            </w:r>
            <w:r w:rsidRPr="00374C2B">
              <w:t>6</w:t>
            </w:r>
          </w:p>
        </w:tc>
        <w:tc>
          <w:tcPr>
            <w:tcW w:w="964" w:type="dxa"/>
            <w:tcBorders>
              <w:top w:val="single" w:sz="4" w:space="0" w:color="auto"/>
              <w:left w:val="nil"/>
              <w:right w:val="nil"/>
            </w:tcBorders>
            <w:shd w:val="clear" w:color="auto" w:fill="auto"/>
            <w:vAlign w:val="bottom"/>
          </w:tcPr>
          <w:p w14:paraId="71FA90EF" w14:textId="67374846" w:rsidR="00374C2B" w:rsidRPr="00374C2B" w:rsidRDefault="00374C2B" w:rsidP="00AF5A11">
            <w:pPr>
              <w:pStyle w:val="TableRightHeading"/>
            </w:pPr>
            <w:r w:rsidRPr="00843688">
              <w:t>202</w:t>
            </w:r>
            <w:r w:rsidRPr="00374C2B">
              <w:t>7</w:t>
            </w:r>
          </w:p>
        </w:tc>
      </w:tr>
      <w:tr w:rsidR="0065472F" w:rsidRPr="00843688" w14:paraId="7868168C" w14:textId="77777777" w:rsidTr="001B5757">
        <w:trPr>
          <w:jc w:val="center"/>
        </w:trPr>
        <w:tc>
          <w:tcPr>
            <w:tcW w:w="3828" w:type="dxa"/>
            <w:tcBorders>
              <w:left w:val="nil"/>
              <w:right w:val="nil"/>
            </w:tcBorders>
            <w:shd w:val="clear" w:color="auto" w:fill="auto"/>
            <w:vAlign w:val="bottom"/>
          </w:tcPr>
          <w:p w14:paraId="36E7BBD2" w14:textId="77777777" w:rsidR="0065472F" w:rsidRPr="00843688" w:rsidRDefault="0065472F" w:rsidP="00AF5A11">
            <w:pPr>
              <w:pStyle w:val="TableRightHeading"/>
            </w:pPr>
          </w:p>
        </w:tc>
        <w:tc>
          <w:tcPr>
            <w:tcW w:w="964" w:type="dxa"/>
            <w:tcBorders>
              <w:left w:val="nil"/>
              <w:right w:val="nil"/>
            </w:tcBorders>
            <w:vAlign w:val="bottom"/>
          </w:tcPr>
          <w:p w14:paraId="731D2746" w14:textId="77777777" w:rsidR="0065472F" w:rsidRPr="00843688" w:rsidRDefault="0065472F" w:rsidP="00AF5A11">
            <w:pPr>
              <w:pStyle w:val="TableRightHeading"/>
            </w:pPr>
          </w:p>
        </w:tc>
        <w:tc>
          <w:tcPr>
            <w:tcW w:w="964" w:type="dxa"/>
            <w:tcBorders>
              <w:left w:val="nil"/>
              <w:right w:val="nil"/>
            </w:tcBorders>
            <w:vAlign w:val="bottom"/>
          </w:tcPr>
          <w:p w14:paraId="4078AD47" w14:textId="045B7CD7" w:rsidR="0065472F" w:rsidRPr="00843688" w:rsidRDefault="0065472F" w:rsidP="00AF5A11">
            <w:pPr>
              <w:pStyle w:val="TableRightHeading"/>
            </w:pPr>
            <w:r w:rsidRPr="00843688">
              <w:t>Estimated</w:t>
            </w:r>
          </w:p>
        </w:tc>
        <w:tc>
          <w:tcPr>
            <w:tcW w:w="964" w:type="dxa"/>
            <w:tcBorders>
              <w:left w:val="nil"/>
              <w:right w:val="nil"/>
            </w:tcBorders>
            <w:shd w:val="clear" w:color="auto" w:fill="auto"/>
            <w:vAlign w:val="bottom"/>
          </w:tcPr>
          <w:p w14:paraId="709C5894" w14:textId="77777777" w:rsidR="0065472F" w:rsidRPr="00843688" w:rsidRDefault="0065472F" w:rsidP="00AF5A11">
            <w:pPr>
              <w:pStyle w:val="TableRightHeading"/>
            </w:pPr>
          </w:p>
        </w:tc>
        <w:tc>
          <w:tcPr>
            <w:tcW w:w="964" w:type="dxa"/>
            <w:tcBorders>
              <w:left w:val="nil"/>
              <w:right w:val="nil"/>
            </w:tcBorders>
            <w:shd w:val="clear" w:color="auto" w:fill="auto"/>
            <w:vAlign w:val="bottom"/>
          </w:tcPr>
          <w:p w14:paraId="38FF1329" w14:textId="4F78759D" w:rsidR="0065472F" w:rsidRPr="00843688" w:rsidRDefault="0065472F" w:rsidP="00AF5A11">
            <w:pPr>
              <w:pStyle w:val="TableRightHeading"/>
            </w:pPr>
            <w:r w:rsidRPr="00843688">
              <w:t>Forward</w:t>
            </w:r>
          </w:p>
        </w:tc>
        <w:tc>
          <w:tcPr>
            <w:tcW w:w="964" w:type="dxa"/>
            <w:tcBorders>
              <w:left w:val="nil"/>
              <w:right w:val="nil"/>
            </w:tcBorders>
            <w:shd w:val="clear" w:color="auto" w:fill="auto"/>
            <w:vAlign w:val="bottom"/>
          </w:tcPr>
          <w:p w14:paraId="2C8EED3A" w14:textId="6EDA7D92" w:rsidR="0065472F" w:rsidRPr="00843688" w:rsidRDefault="0065472F" w:rsidP="00AF5A11">
            <w:pPr>
              <w:pStyle w:val="TableRightHeading"/>
            </w:pPr>
            <w:r w:rsidRPr="00843688">
              <w:t>Forward</w:t>
            </w:r>
          </w:p>
        </w:tc>
        <w:tc>
          <w:tcPr>
            <w:tcW w:w="964" w:type="dxa"/>
            <w:tcBorders>
              <w:left w:val="nil"/>
              <w:right w:val="nil"/>
            </w:tcBorders>
            <w:shd w:val="clear" w:color="auto" w:fill="auto"/>
            <w:vAlign w:val="bottom"/>
          </w:tcPr>
          <w:p w14:paraId="022FA20A" w14:textId="2E1AC0D7" w:rsidR="0065472F" w:rsidRPr="00843688" w:rsidRDefault="001B5757" w:rsidP="00AF5A11">
            <w:pPr>
              <w:pStyle w:val="TableRightHeading"/>
            </w:pPr>
            <w:r w:rsidRPr="00843688">
              <w:t>Forward</w:t>
            </w:r>
          </w:p>
        </w:tc>
      </w:tr>
      <w:tr w:rsidR="0065472F" w:rsidRPr="00843688" w14:paraId="4D8472FA" w14:textId="77777777" w:rsidTr="001B5757">
        <w:trPr>
          <w:jc w:val="center"/>
        </w:trPr>
        <w:tc>
          <w:tcPr>
            <w:tcW w:w="3828" w:type="dxa"/>
            <w:tcBorders>
              <w:left w:val="nil"/>
              <w:bottom w:val="single" w:sz="4" w:space="0" w:color="auto"/>
              <w:right w:val="nil"/>
            </w:tcBorders>
            <w:shd w:val="clear" w:color="auto" w:fill="auto"/>
            <w:vAlign w:val="bottom"/>
          </w:tcPr>
          <w:p w14:paraId="2D74393E" w14:textId="77777777" w:rsidR="0065472F" w:rsidRPr="00843688" w:rsidRDefault="0065472F" w:rsidP="00AF5A11">
            <w:pPr>
              <w:pStyle w:val="TableRightHeading"/>
            </w:pPr>
          </w:p>
        </w:tc>
        <w:tc>
          <w:tcPr>
            <w:tcW w:w="964" w:type="dxa"/>
            <w:tcBorders>
              <w:left w:val="nil"/>
              <w:bottom w:val="single" w:sz="4" w:space="0" w:color="auto"/>
              <w:right w:val="nil"/>
            </w:tcBorders>
            <w:vAlign w:val="bottom"/>
          </w:tcPr>
          <w:p w14:paraId="5EC4CA27" w14:textId="72E0C3C9" w:rsidR="0065472F" w:rsidRPr="00843688" w:rsidRDefault="0065472F" w:rsidP="00AF5A11">
            <w:pPr>
              <w:pStyle w:val="TableRightHeading"/>
            </w:pPr>
            <w:r w:rsidRPr="00843688">
              <w:t>Budget</w:t>
            </w:r>
          </w:p>
        </w:tc>
        <w:tc>
          <w:tcPr>
            <w:tcW w:w="964" w:type="dxa"/>
            <w:tcBorders>
              <w:left w:val="nil"/>
              <w:bottom w:val="single" w:sz="4" w:space="0" w:color="auto"/>
              <w:right w:val="nil"/>
            </w:tcBorders>
            <w:vAlign w:val="bottom"/>
          </w:tcPr>
          <w:p w14:paraId="3E8C10B6" w14:textId="5E4A6737" w:rsidR="0065472F" w:rsidRPr="00843688" w:rsidRDefault="0065472F" w:rsidP="00AF5A11">
            <w:pPr>
              <w:pStyle w:val="TableRightHeading"/>
            </w:pPr>
            <w:r w:rsidRPr="00843688">
              <w:t>Outcome</w:t>
            </w:r>
          </w:p>
        </w:tc>
        <w:tc>
          <w:tcPr>
            <w:tcW w:w="964" w:type="dxa"/>
            <w:tcBorders>
              <w:left w:val="nil"/>
              <w:bottom w:val="single" w:sz="4" w:space="0" w:color="auto"/>
              <w:right w:val="nil"/>
            </w:tcBorders>
            <w:shd w:val="clear" w:color="auto" w:fill="auto"/>
            <w:vAlign w:val="bottom"/>
          </w:tcPr>
          <w:p w14:paraId="1E69E817" w14:textId="3F03FE87" w:rsidR="0065472F" w:rsidRPr="00843688" w:rsidRDefault="0065472F" w:rsidP="00AF5A11">
            <w:pPr>
              <w:pStyle w:val="TableRightHeading"/>
            </w:pPr>
            <w:r w:rsidRPr="00843688">
              <w:t>Budget</w:t>
            </w:r>
          </w:p>
        </w:tc>
        <w:tc>
          <w:tcPr>
            <w:tcW w:w="964" w:type="dxa"/>
            <w:tcBorders>
              <w:left w:val="nil"/>
              <w:bottom w:val="single" w:sz="4" w:space="0" w:color="auto"/>
              <w:right w:val="nil"/>
            </w:tcBorders>
            <w:shd w:val="clear" w:color="auto" w:fill="auto"/>
            <w:vAlign w:val="bottom"/>
          </w:tcPr>
          <w:p w14:paraId="5FF98941" w14:textId="1F0EB1E1" w:rsidR="0065472F" w:rsidRPr="00843688" w:rsidRDefault="0065472F" w:rsidP="00AF5A11">
            <w:pPr>
              <w:pStyle w:val="TableRightHeading"/>
            </w:pPr>
            <w:r w:rsidRPr="00843688">
              <w:t>Estimate</w:t>
            </w:r>
          </w:p>
        </w:tc>
        <w:tc>
          <w:tcPr>
            <w:tcW w:w="964" w:type="dxa"/>
            <w:tcBorders>
              <w:left w:val="nil"/>
              <w:bottom w:val="single" w:sz="4" w:space="0" w:color="auto"/>
              <w:right w:val="nil"/>
            </w:tcBorders>
            <w:shd w:val="clear" w:color="auto" w:fill="auto"/>
            <w:vAlign w:val="bottom"/>
          </w:tcPr>
          <w:p w14:paraId="031366B9" w14:textId="39E68C34" w:rsidR="0065472F" w:rsidRPr="00843688" w:rsidRDefault="0065472F" w:rsidP="00AF5A11">
            <w:pPr>
              <w:pStyle w:val="TableRightHeading"/>
            </w:pPr>
            <w:r w:rsidRPr="00843688">
              <w:t>Estimate</w:t>
            </w:r>
          </w:p>
        </w:tc>
        <w:tc>
          <w:tcPr>
            <w:tcW w:w="964" w:type="dxa"/>
            <w:tcBorders>
              <w:left w:val="nil"/>
              <w:bottom w:val="single" w:sz="4" w:space="0" w:color="auto"/>
              <w:right w:val="nil"/>
            </w:tcBorders>
            <w:shd w:val="clear" w:color="auto" w:fill="auto"/>
            <w:vAlign w:val="bottom"/>
          </w:tcPr>
          <w:p w14:paraId="1A586E19" w14:textId="2DD3511A" w:rsidR="0065472F" w:rsidRPr="00843688" w:rsidRDefault="0065472F" w:rsidP="00AF5A11">
            <w:pPr>
              <w:pStyle w:val="TableRightHeading"/>
            </w:pPr>
            <w:r w:rsidRPr="00843688">
              <w:t>Estimate</w:t>
            </w:r>
          </w:p>
        </w:tc>
      </w:tr>
      <w:tr w:rsidR="00374C2B" w:rsidRPr="00843688" w14:paraId="1DF35F69" w14:textId="77777777" w:rsidTr="001B5757">
        <w:trPr>
          <w:jc w:val="center"/>
        </w:trPr>
        <w:tc>
          <w:tcPr>
            <w:tcW w:w="3828" w:type="dxa"/>
            <w:tcBorders>
              <w:top w:val="single" w:sz="4" w:space="0" w:color="auto"/>
              <w:left w:val="nil"/>
              <w:bottom w:val="nil"/>
              <w:right w:val="nil"/>
            </w:tcBorders>
            <w:shd w:val="clear" w:color="auto" w:fill="auto"/>
            <w:noWrap/>
            <w:vAlign w:val="bottom"/>
          </w:tcPr>
          <w:p w14:paraId="229BF528" w14:textId="77777777" w:rsidR="00374C2B" w:rsidRPr="00843688" w:rsidRDefault="00374C2B" w:rsidP="00374C2B">
            <w:pPr>
              <w:pStyle w:val="TableRightHeading"/>
            </w:pPr>
          </w:p>
        </w:tc>
        <w:tc>
          <w:tcPr>
            <w:tcW w:w="964" w:type="dxa"/>
            <w:tcBorders>
              <w:top w:val="single" w:sz="4" w:space="0" w:color="auto"/>
              <w:left w:val="nil"/>
              <w:bottom w:val="nil"/>
              <w:right w:val="nil"/>
            </w:tcBorders>
            <w:vAlign w:val="bottom"/>
          </w:tcPr>
          <w:p w14:paraId="5418CC1B" w14:textId="77777777" w:rsidR="00374C2B" w:rsidRPr="00374C2B" w:rsidRDefault="00374C2B" w:rsidP="00374C2B">
            <w:pPr>
              <w:pStyle w:val="TableRightHeading"/>
            </w:pPr>
            <w:r w:rsidRPr="00843688">
              <w:t>$m</w:t>
            </w:r>
          </w:p>
        </w:tc>
        <w:tc>
          <w:tcPr>
            <w:tcW w:w="964" w:type="dxa"/>
            <w:tcBorders>
              <w:top w:val="single" w:sz="4" w:space="0" w:color="auto"/>
              <w:left w:val="nil"/>
              <w:bottom w:val="nil"/>
              <w:right w:val="nil"/>
            </w:tcBorders>
            <w:vAlign w:val="bottom"/>
          </w:tcPr>
          <w:p w14:paraId="565B1A13" w14:textId="77777777" w:rsidR="00374C2B" w:rsidRPr="00374C2B" w:rsidRDefault="00374C2B" w:rsidP="00374C2B">
            <w:pPr>
              <w:pStyle w:val="TableRightHeading"/>
            </w:pPr>
            <w:r w:rsidRPr="00843688">
              <w:t>$m</w:t>
            </w:r>
          </w:p>
        </w:tc>
        <w:tc>
          <w:tcPr>
            <w:tcW w:w="964" w:type="dxa"/>
            <w:tcBorders>
              <w:top w:val="single" w:sz="4" w:space="0" w:color="auto"/>
              <w:left w:val="nil"/>
              <w:bottom w:val="nil"/>
              <w:right w:val="nil"/>
            </w:tcBorders>
            <w:shd w:val="clear" w:color="auto" w:fill="auto"/>
            <w:noWrap/>
            <w:vAlign w:val="bottom"/>
          </w:tcPr>
          <w:p w14:paraId="000424D2" w14:textId="77777777" w:rsidR="00374C2B" w:rsidRPr="00374C2B" w:rsidRDefault="00374C2B" w:rsidP="00374C2B">
            <w:pPr>
              <w:pStyle w:val="TableRightHeading"/>
            </w:pPr>
            <w:r w:rsidRPr="00843688">
              <w:t>$m</w:t>
            </w:r>
          </w:p>
        </w:tc>
        <w:tc>
          <w:tcPr>
            <w:tcW w:w="964" w:type="dxa"/>
            <w:tcBorders>
              <w:top w:val="single" w:sz="4" w:space="0" w:color="auto"/>
              <w:left w:val="nil"/>
              <w:bottom w:val="nil"/>
              <w:right w:val="nil"/>
            </w:tcBorders>
            <w:shd w:val="clear" w:color="auto" w:fill="auto"/>
            <w:noWrap/>
            <w:vAlign w:val="bottom"/>
          </w:tcPr>
          <w:p w14:paraId="3A053E91" w14:textId="77777777" w:rsidR="00374C2B" w:rsidRPr="00374C2B" w:rsidRDefault="00374C2B" w:rsidP="00374C2B">
            <w:pPr>
              <w:pStyle w:val="TableRightHeading"/>
            </w:pPr>
            <w:r w:rsidRPr="00843688">
              <w:t>$m</w:t>
            </w:r>
          </w:p>
        </w:tc>
        <w:tc>
          <w:tcPr>
            <w:tcW w:w="964" w:type="dxa"/>
            <w:tcBorders>
              <w:top w:val="single" w:sz="4" w:space="0" w:color="auto"/>
              <w:left w:val="nil"/>
              <w:bottom w:val="nil"/>
              <w:right w:val="nil"/>
            </w:tcBorders>
            <w:shd w:val="clear" w:color="auto" w:fill="auto"/>
            <w:noWrap/>
            <w:vAlign w:val="bottom"/>
          </w:tcPr>
          <w:p w14:paraId="763E15F1" w14:textId="77777777" w:rsidR="00374C2B" w:rsidRPr="00374C2B" w:rsidRDefault="00374C2B" w:rsidP="00374C2B">
            <w:pPr>
              <w:pStyle w:val="TableRightHeading"/>
            </w:pPr>
            <w:r w:rsidRPr="00843688">
              <w:t>$m</w:t>
            </w:r>
          </w:p>
        </w:tc>
        <w:tc>
          <w:tcPr>
            <w:tcW w:w="964" w:type="dxa"/>
            <w:tcBorders>
              <w:top w:val="single" w:sz="4" w:space="0" w:color="auto"/>
              <w:left w:val="nil"/>
              <w:bottom w:val="nil"/>
              <w:right w:val="nil"/>
            </w:tcBorders>
            <w:shd w:val="clear" w:color="auto" w:fill="auto"/>
            <w:noWrap/>
            <w:vAlign w:val="bottom"/>
          </w:tcPr>
          <w:p w14:paraId="46DCC160" w14:textId="77777777" w:rsidR="00374C2B" w:rsidRPr="00374C2B" w:rsidRDefault="00374C2B" w:rsidP="00374C2B">
            <w:pPr>
              <w:pStyle w:val="TableRightHeading"/>
            </w:pPr>
            <w:r w:rsidRPr="00843688">
              <w:t>$m</w:t>
            </w:r>
          </w:p>
        </w:tc>
      </w:tr>
      <w:tr w:rsidR="00374C2B" w:rsidRPr="00843688" w14:paraId="2CFBD127" w14:textId="77777777" w:rsidTr="001B5757">
        <w:trPr>
          <w:jc w:val="center"/>
        </w:trPr>
        <w:tc>
          <w:tcPr>
            <w:tcW w:w="3828" w:type="dxa"/>
            <w:tcBorders>
              <w:top w:val="nil"/>
              <w:left w:val="nil"/>
              <w:bottom w:val="nil"/>
              <w:right w:val="nil"/>
            </w:tcBorders>
            <w:shd w:val="clear" w:color="auto" w:fill="auto"/>
            <w:noWrap/>
            <w:vAlign w:val="bottom"/>
          </w:tcPr>
          <w:p w14:paraId="1CA00953" w14:textId="77777777" w:rsidR="00374C2B" w:rsidRPr="00843688" w:rsidRDefault="00374C2B" w:rsidP="00374C2B">
            <w:pPr>
              <w:pStyle w:val="TableLeft"/>
            </w:pPr>
          </w:p>
        </w:tc>
        <w:tc>
          <w:tcPr>
            <w:tcW w:w="964" w:type="dxa"/>
            <w:tcBorders>
              <w:top w:val="nil"/>
              <w:left w:val="nil"/>
              <w:bottom w:val="nil"/>
              <w:right w:val="nil"/>
            </w:tcBorders>
            <w:vAlign w:val="bottom"/>
          </w:tcPr>
          <w:p w14:paraId="4292883F" w14:textId="77777777" w:rsidR="00374C2B" w:rsidRPr="00843688" w:rsidRDefault="00374C2B" w:rsidP="00374C2B">
            <w:pPr>
              <w:pStyle w:val="TableRight"/>
            </w:pPr>
          </w:p>
        </w:tc>
        <w:tc>
          <w:tcPr>
            <w:tcW w:w="964" w:type="dxa"/>
            <w:tcBorders>
              <w:top w:val="nil"/>
              <w:left w:val="nil"/>
              <w:bottom w:val="nil"/>
              <w:right w:val="nil"/>
            </w:tcBorders>
          </w:tcPr>
          <w:p w14:paraId="0A81C397" w14:textId="77777777" w:rsidR="00374C2B" w:rsidRPr="00843688" w:rsidRDefault="00374C2B" w:rsidP="00374C2B">
            <w:pPr>
              <w:pStyle w:val="TableRight"/>
            </w:pPr>
          </w:p>
        </w:tc>
        <w:tc>
          <w:tcPr>
            <w:tcW w:w="964" w:type="dxa"/>
            <w:tcBorders>
              <w:top w:val="nil"/>
              <w:left w:val="nil"/>
              <w:bottom w:val="nil"/>
              <w:right w:val="nil"/>
            </w:tcBorders>
            <w:shd w:val="clear" w:color="auto" w:fill="auto"/>
            <w:noWrap/>
            <w:vAlign w:val="bottom"/>
          </w:tcPr>
          <w:p w14:paraId="2F391E25" w14:textId="77777777" w:rsidR="00374C2B" w:rsidRPr="00843688" w:rsidRDefault="00374C2B" w:rsidP="00374C2B">
            <w:pPr>
              <w:pStyle w:val="TableRight"/>
            </w:pPr>
          </w:p>
        </w:tc>
        <w:tc>
          <w:tcPr>
            <w:tcW w:w="964" w:type="dxa"/>
            <w:tcBorders>
              <w:top w:val="nil"/>
              <w:left w:val="nil"/>
              <w:bottom w:val="nil"/>
              <w:right w:val="nil"/>
            </w:tcBorders>
            <w:shd w:val="clear" w:color="auto" w:fill="auto"/>
            <w:noWrap/>
            <w:vAlign w:val="bottom"/>
          </w:tcPr>
          <w:p w14:paraId="3D464450" w14:textId="77777777" w:rsidR="00374C2B" w:rsidRPr="00843688" w:rsidRDefault="00374C2B" w:rsidP="00374C2B">
            <w:pPr>
              <w:pStyle w:val="TableRight"/>
            </w:pPr>
          </w:p>
        </w:tc>
        <w:tc>
          <w:tcPr>
            <w:tcW w:w="964" w:type="dxa"/>
            <w:tcBorders>
              <w:top w:val="nil"/>
              <w:left w:val="nil"/>
              <w:bottom w:val="nil"/>
              <w:right w:val="nil"/>
            </w:tcBorders>
            <w:shd w:val="clear" w:color="auto" w:fill="auto"/>
            <w:noWrap/>
            <w:vAlign w:val="bottom"/>
          </w:tcPr>
          <w:p w14:paraId="4BB786DB" w14:textId="77777777" w:rsidR="00374C2B" w:rsidRPr="00843688" w:rsidRDefault="00374C2B" w:rsidP="00374C2B">
            <w:pPr>
              <w:pStyle w:val="TableRight"/>
            </w:pPr>
          </w:p>
        </w:tc>
        <w:tc>
          <w:tcPr>
            <w:tcW w:w="964" w:type="dxa"/>
            <w:tcBorders>
              <w:top w:val="nil"/>
              <w:left w:val="nil"/>
              <w:bottom w:val="nil"/>
              <w:right w:val="nil"/>
            </w:tcBorders>
            <w:shd w:val="clear" w:color="auto" w:fill="auto"/>
            <w:noWrap/>
            <w:vAlign w:val="bottom"/>
          </w:tcPr>
          <w:p w14:paraId="5ABD5892" w14:textId="77777777" w:rsidR="00374C2B" w:rsidRPr="00843688" w:rsidRDefault="00374C2B" w:rsidP="00374C2B">
            <w:pPr>
              <w:pStyle w:val="TableRight"/>
            </w:pPr>
          </w:p>
        </w:tc>
      </w:tr>
      <w:tr w:rsidR="00374C2B" w:rsidRPr="00843688" w14:paraId="55A49608" w14:textId="77777777" w:rsidTr="001B5757">
        <w:trPr>
          <w:jc w:val="center"/>
        </w:trPr>
        <w:tc>
          <w:tcPr>
            <w:tcW w:w="3828" w:type="dxa"/>
            <w:tcBorders>
              <w:top w:val="nil"/>
              <w:left w:val="nil"/>
              <w:right w:val="nil"/>
            </w:tcBorders>
            <w:shd w:val="clear" w:color="auto" w:fill="auto"/>
            <w:vAlign w:val="bottom"/>
          </w:tcPr>
          <w:p w14:paraId="53937F29" w14:textId="77777777" w:rsidR="00374C2B" w:rsidRPr="00374C2B" w:rsidRDefault="00374C2B" w:rsidP="00374C2B">
            <w:pPr>
              <w:pStyle w:val="TableLeft"/>
            </w:pPr>
            <w:r w:rsidRPr="00843688">
              <w:t xml:space="preserve">Present value of superannuation liability </w:t>
            </w:r>
          </w:p>
        </w:tc>
        <w:tc>
          <w:tcPr>
            <w:tcW w:w="964" w:type="dxa"/>
            <w:tcBorders>
              <w:top w:val="nil"/>
              <w:left w:val="nil"/>
              <w:right w:val="nil"/>
            </w:tcBorders>
            <w:vAlign w:val="center"/>
          </w:tcPr>
          <w:p w14:paraId="5C82385C" w14:textId="77777777" w:rsidR="00374C2B" w:rsidRPr="00374C2B" w:rsidRDefault="00374C2B" w:rsidP="00374C2B">
            <w:pPr>
              <w:pStyle w:val="TableRight"/>
            </w:pPr>
            <w:r w:rsidRPr="00843688">
              <w:t>1</w:t>
            </w:r>
            <w:r w:rsidRPr="00374C2B">
              <w:t>0 443.9 </w:t>
            </w:r>
          </w:p>
        </w:tc>
        <w:tc>
          <w:tcPr>
            <w:tcW w:w="964" w:type="dxa"/>
            <w:tcBorders>
              <w:top w:val="nil"/>
              <w:left w:val="nil"/>
              <w:right w:val="nil"/>
            </w:tcBorders>
            <w:vAlign w:val="center"/>
          </w:tcPr>
          <w:p w14:paraId="0AB913EA" w14:textId="77777777" w:rsidR="00374C2B" w:rsidRPr="00374C2B" w:rsidRDefault="00374C2B" w:rsidP="00374C2B">
            <w:pPr>
              <w:pStyle w:val="TableRight"/>
            </w:pPr>
            <w:r>
              <w:t>9</w:t>
            </w:r>
            <w:r w:rsidRPr="00374C2B">
              <w:t xml:space="preserve"> 736.1 </w:t>
            </w:r>
          </w:p>
        </w:tc>
        <w:tc>
          <w:tcPr>
            <w:tcW w:w="964" w:type="dxa"/>
            <w:tcBorders>
              <w:top w:val="nil"/>
              <w:left w:val="nil"/>
              <w:right w:val="nil"/>
            </w:tcBorders>
            <w:shd w:val="clear" w:color="auto" w:fill="auto"/>
            <w:noWrap/>
            <w:vAlign w:val="center"/>
          </w:tcPr>
          <w:p w14:paraId="793DC076" w14:textId="77777777" w:rsidR="00374C2B" w:rsidRPr="00374C2B" w:rsidRDefault="00374C2B" w:rsidP="00374C2B">
            <w:pPr>
              <w:pStyle w:val="TableRight"/>
            </w:pPr>
            <w:r>
              <w:t>9</w:t>
            </w:r>
            <w:r w:rsidRPr="00374C2B">
              <w:t xml:space="preserve"> 731.3 </w:t>
            </w:r>
          </w:p>
        </w:tc>
        <w:tc>
          <w:tcPr>
            <w:tcW w:w="964" w:type="dxa"/>
            <w:tcBorders>
              <w:top w:val="nil"/>
              <w:left w:val="nil"/>
              <w:right w:val="nil"/>
            </w:tcBorders>
            <w:shd w:val="clear" w:color="auto" w:fill="auto"/>
            <w:noWrap/>
            <w:vAlign w:val="center"/>
          </w:tcPr>
          <w:p w14:paraId="510D6182" w14:textId="77777777" w:rsidR="00374C2B" w:rsidRPr="00374C2B" w:rsidRDefault="00374C2B" w:rsidP="00374C2B">
            <w:pPr>
              <w:pStyle w:val="TableRight"/>
            </w:pPr>
            <w:r>
              <w:t>9</w:t>
            </w:r>
            <w:r w:rsidRPr="00374C2B">
              <w:t xml:space="preserve"> 693.9 </w:t>
            </w:r>
          </w:p>
        </w:tc>
        <w:tc>
          <w:tcPr>
            <w:tcW w:w="964" w:type="dxa"/>
            <w:tcBorders>
              <w:top w:val="nil"/>
              <w:left w:val="nil"/>
              <w:right w:val="nil"/>
            </w:tcBorders>
            <w:shd w:val="clear" w:color="auto" w:fill="auto"/>
            <w:noWrap/>
            <w:vAlign w:val="center"/>
          </w:tcPr>
          <w:p w14:paraId="09628EC6" w14:textId="77777777" w:rsidR="00374C2B" w:rsidRPr="00374C2B" w:rsidRDefault="00374C2B" w:rsidP="00374C2B">
            <w:pPr>
              <w:pStyle w:val="TableRight"/>
            </w:pPr>
            <w:r>
              <w:t>9 631.5</w:t>
            </w:r>
            <w:r w:rsidRPr="00374C2B">
              <w:t> </w:t>
            </w:r>
          </w:p>
        </w:tc>
        <w:tc>
          <w:tcPr>
            <w:tcW w:w="964" w:type="dxa"/>
            <w:tcBorders>
              <w:top w:val="nil"/>
              <w:left w:val="nil"/>
              <w:right w:val="nil"/>
            </w:tcBorders>
            <w:shd w:val="clear" w:color="auto" w:fill="auto"/>
            <w:noWrap/>
            <w:vAlign w:val="center"/>
          </w:tcPr>
          <w:p w14:paraId="250BED8A" w14:textId="77777777" w:rsidR="00374C2B" w:rsidRPr="00374C2B" w:rsidRDefault="00374C2B" w:rsidP="00374C2B">
            <w:pPr>
              <w:pStyle w:val="TableRight"/>
            </w:pPr>
            <w:r>
              <w:t>9</w:t>
            </w:r>
            <w:r w:rsidRPr="00374C2B">
              <w:t xml:space="preserve"> 542.5 </w:t>
            </w:r>
          </w:p>
        </w:tc>
      </w:tr>
      <w:tr w:rsidR="00374C2B" w:rsidRPr="00843688" w14:paraId="6AFC0A89" w14:textId="77777777" w:rsidTr="001B5757">
        <w:trPr>
          <w:jc w:val="center"/>
        </w:trPr>
        <w:tc>
          <w:tcPr>
            <w:tcW w:w="3828" w:type="dxa"/>
            <w:tcBorders>
              <w:top w:val="nil"/>
              <w:left w:val="nil"/>
              <w:right w:val="nil"/>
            </w:tcBorders>
            <w:shd w:val="clear" w:color="auto" w:fill="auto"/>
            <w:vAlign w:val="bottom"/>
          </w:tcPr>
          <w:p w14:paraId="261C9503" w14:textId="77777777" w:rsidR="00374C2B" w:rsidRPr="00374C2B" w:rsidRDefault="00374C2B" w:rsidP="00374C2B">
            <w:pPr>
              <w:pStyle w:val="TableLeft"/>
            </w:pPr>
            <w:r w:rsidRPr="00843688">
              <w:t>Fair value of plan assets</w:t>
            </w:r>
          </w:p>
        </w:tc>
        <w:tc>
          <w:tcPr>
            <w:tcW w:w="964" w:type="dxa"/>
            <w:tcBorders>
              <w:top w:val="nil"/>
              <w:left w:val="nil"/>
              <w:right w:val="nil"/>
            </w:tcBorders>
            <w:vAlign w:val="center"/>
          </w:tcPr>
          <w:p w14:paraId="318D6158" w14:textId="77777777" w:rsidR="00374C2B" w:rsidRPr="00374C2B" w:rsidRDefault="00374C2B" w:rsidP="00374C2B">
            <w:pPr>
              <w:pStyle w:val="TableRight"/>
            </w:pPr>
            <w:r w:rsidRPr="00843688">
              <w:t>(</w:t>
            </w:r>
            <w:r w:rsidRPr="00374C2B">
              <w:t>2 046.3)</w:t>
            </w:r>
          </w:p>
        </w:tc>
        <w:tc>
          <w:tcPr>
            <w:tcW w:w="964" w:type="dxa"/>
            <w:tcBorders>
              <w:top w:val="nil"/>
              <w:left w:val="nil"/>
              <w:right w:val="nil"/>
            </w:tcBorders>
            <w:vAlign w:val="center"/>
          </w:tcPr>
          <w:p w14:paraId="17DC2ADD" w14:textId="77777777" w:rsidR="00374C2B" w:rsidRPr="00374C2B" w:rsidRDefault="00374C2B" w:rsidP="00374C2B">
            <w:pPr>
              <w:pStyle w:val="TableRight"/>
            </w:pPr>
            <w:r w:rsidRPr="00843688">
              <w:t>(</w:t>
            </w:r>
            <w:r w:rsidRPr="00374C2B">
              <w:t>1 991.7)</w:t>
            </w:r>
          </w:p>
        </w:tc>
        <w:tc>
          <w:tcPr>
            <w:tcW w:w="964" w:type="dxa"/>
            <w:tcBorders>
              <w:top w:val="nil"/>
              <w:left w:val="nil"/>
              <w:right w:val="nil"/>
            </w:tcBorders>
            <w:shd w:val="clear" w:color="auto" w:fill="auto"/>
            <w:noWrap/>
            <w:vAlign w:val="center"/>
          </w:tcPr>
          <w:p w14:paraId="7465151B" w14:textId="77777777" w:rsidR="00374C2B" w:rsidRPr="00374C2B" w:rsidRDefault="00374C2B" w:rsidP="00374C2B">
            <w:pPr>
              <w:pStyle w:val="TableRight"/>
            </w:pPr>
            <w:r w:rsidRPr="00843688">
              <w:t>(</w:t>
            </w:r>
            <w:r w:rsidRPr="00374C2B">
              <w:t>1 972.0)</w:t>
            </w:r>
          </w:p>
        </w:tc>
        <w:tc>
          <w:tcPr>
            <w:tcW w:w="964" w:type="dxa"/>
            <w:tcBorders>
              <w:top w:val="nil"/>
              <w:left w:val="nil"/>
              <w:right w:val="nil"/>
            </w:tcBorders>
            <w:shd w:val="clear" w:color="auto" w:fill="auto"/>
            <w:noWrap/>
            <w:vAlign w:val="center"/>
          </w:tcPr>
          <w:p w14:paraId="64E7AF2F" w14:textId="77777777" w:rsidR="00374C2B" w:rsidRPr="00374C2B" w:rsidRDefault="00374C2B" w:rsidP="00374C2B">
            <w:pPr>
              <w:pStyle w:val="TableRight"/>
            </w:pPr>
            <w:r w:rsidRPr="00843688">
              <w:t>(1 9</w:t>
            </w:r>
            <w:r w:rsidRPr="00374C2B">
              <w:t>40.9)</w:t>
            </w:r>
          </w:p>
        </w:tc>
        <w:tc>
          <w:tcPr>
            <w:tcW w:w="964" w:type="dxa"/>
            <w:tcBorders>
              <w:top w:val="nil"/>
              <w:left w:val="nil"/>
              <w:right w:val="nil"/>
            </w:tcBorders>
            <w:shd w:val="clear" w:color="auto" w:fill="auto"/>
            <w:noWrap/>
            <w:vAlign w:val="center"/>
          </w:tcPr>
          <w:p w14:paraId="27387A03" w14:textId="77777777" w:rsidR="00374C2B" w:rsidRPr="00374C2B" w:rsidRDefault="00374C2B" w:rsidP="00374C2B">
            <w:pPr>
              <w:pStyle w:val="TableRight"/>
            </w:pPr>
            <w:r w:rsidRPr="00843688">
              <w:t>(1 9</w:t>
            </w:r>
            <w:r w:rsidRPr="00374C2B">
              <w:t>02.1)</w:t>
            </w:r>
          </w:p>
        </w:tc>
        <w:tc>
          <w:tcPr>
            <w:tcW w:w="964" w:type="dxa"/>
            <w:tcBorders>
              <w:top w:val="nil"/>
              <w:left w:val="nil"/>
              <w:right w:val="nil"/>
            </w:tcBorders>
            <w:shd w:val="clear" w:color="auto" w:fill="auto"/>
            <w:noWrap/>
            <w:vAlign w:val="center"/>
          </w:tcPr>
          <w:p w14:paraId="3CAD9A0F" w14:textId="77777777" w:rsidR="00374C2B" w:rsidRPr="00374C2B" w:rsidRDefault="00374C2B" w:rsidP="00374C2B">
            <w:pPr>
              <w:pStyle w:val="TableRight"/>
            </w:pPr>
            <w:r w:rsidRPr="00843688">
              <w:t>(1 8</w:t>
            </w:r>
            <w:r w:rsidRPr="00374C2B">
              <w:t>55.4)</w:t>
            </w:r>
          </w:p>
        </w:tc>
      </w:tr>
      <w:tr w:rsidR="00374C2B" w:rsidRPr="00843688" w14:paraId="5FBB52ED" w14:textId="77777777" w:rsidTr="001B5757">
        <w:trPr>
          <w:jc w:val="center"/>
        </w:trPr>
        <w:tc>
          <w:tcPr>
            <w:tcW w:w="3828" w:type="dxa"/>
            <w:tcBorders>
              <w:left w:val="nil"/>
              <w:bottom w:val="nil"/>
              <w:right w:val="nil"/>
            </w:tcBorders>
            <w:shd w:val="clear" w:color="auto" w:fill="auto"/>
            <w:vAlign w:val="bottom"/>
          </w:tcPr>
          <w:p w14:paraId="622D28D9" w14:textId="77777777" w:rsidR="00374C2B" w:rsidRPr="00843688" w:rsidRDefault="00374C2B" w:rsidP="00374C2B">
            <w:pPr>
              <w:pStyle w:val="TableLeft"/>
            </w:pPr>
          </w:p>
        </w:tc>
        <w:tc>
          <w:tcPr>
            <w:tcW w:w="964" w:type="dxa"/>
            <w:tcBorders>
              <w:left w:val="nil"/>
              <w:bottom w:val="single" w:sz="6" w:space="0" w:color="auto"/>
              <w:right w:val="nil"/>
            </w:tcBorders>
            <w:vAlign w:val="center"/>
          </w:tcPr>
          <w:p w14:paraId="7984E911" w14:textId="77777777" w:rsidR="00374C2B" w:rsidRPr="00374C2B" w:rsidRDefault="00374C2B" w:rsidP="00374C2B">
            <w:pPr>
              <w:pStyle w:val="TableRight"/>
            </w:pPr>
            <w:r w:rsidRPr="00843688">
              <w:t> </w:t>
            </w:r>
          </w:p>
        </w:tc>
        <w:tc>
          <w:tcPr>
            <w:tcW w:w="964" w:type="dxa"/>
            <w:tcBorders>
              <w:left w:val="nil"/>
              <w:bottom w:val="single" w:sz="6" w:space="0" w:color="auto"/>
              <w:right w:val="nil"/>
            </w:tcBorders>
            <w:vAlign w:val="center"/>
          </w:tcPr>
          <w:p w14:paraId="7AEE2204" w14:textId="77777777" w:rsidR="00374C2B" w:rsidRPr="00374C2B" w:rsidRDefault="00374C2B" w:rsidP="00374C2B">
            <w:pPr>
              <w:pStyle w:val="TableRight"/>
            </w:pPr>
            <w:r w:rsidRPr="00843688">
              <w:t> </w:t>
            </w:r>
          </w:p>
        </w:tc>
        <w:tc>
          <w:tcPr>
            <w:tcW w:w="964" w:type="dxa"/>
            <w:tcBorders>
              <w:left w:val="nil"/>
              <w:bottom w:val="single" w:sz="6" w:space="0" w:color="auto"/>
              <w:right w:val="nil"/>
            </w:tcBorders>
            <w:shd w:val="clear" w:color="auto" w:fill="auto"/>
            <w:noWrap/>
            <w:vAlign w:val="center"/>
          </w:tcPr>
          <w:p w14:paraId="1C9BE293" w14:textId="77777777" w:rsidR="00374C2B" w:rsidRPr="00374C2B" w:rsidRDefault="00374C2B" w:rsidP="00374C2B">
            <w:pPr>
              <w:pStyle w:val="TableRight"/>
            </w:pPr>
            <w:r w:rsidRPr="00843688">
              <w:t> </w:t>
            </w:r>
          </w:p>
        </w:tc>
        <w:tc>
          <w:tcPr>
            <w:tcW w:w="964" w:type="dxa"/>
            <w:tcBorders>
              <w:left w:val="nil"/>
              <w:bottom w:val="single" w:sz="6" w:space="0" w:color="auto"/>
              <w:right w:val="nil"/>
            </w:tcBorders>
            <w:shd w:val="clear" w:color="auto" w:fill="auto"/>
            <w:noWrap/>
            <w:vAlign w:val="center"/>
          </w:tcPr>
          <w:p w14:paraId="234FE344" w14:textId="77777777" w:rsidR="00374C2B" w:rsidRPr="00374C2B" w:rsidRDefault="00374C2B" w:rsidP="00374C2B">
            <w:pPr>
              <w:pStyle w:val="TableRight"/>
            </w:pPr>
            <w:r w:rsidRPr="00843688">
              <w:t> </w:t>
            </w:r>
          </w:p>
        </w:tc>
        <w:tc>
          <w:tcPr>
            <w:tcW w:w="964" w:type="dxa"/>
            <w:tcBorders>
              <w:left w:val="nil"/>
              <w:bottom w:val="single" w:sz="6" w:space="0" w:color="auto"/>
              <w:right w:val="nil"/>
            </w:tcBorders>
            <w:shd w:val="clear" w:color="auto" w:fill="auto"/>
            <w:noWrap/>
            <w:vAlign w:val="center"/>
          </w:tcPr>
          <w:p w14:paraId="4ACE7494" w14:textId="77777777" w:rsidR="00374C2B" w:rsidRPr="00374C2B" w:rsidRDefault="00374C2B" w:rsidP="00374C2B">
            <w:pPr>
              <w:pStyle w:val="TableRight"/>
            </w:pPr>
            <w:r w:rsidRPr="00843688">
              <w:t> </w:t>
            </w:r>
          </w:p>
        </w:tc>
        <w:tc>
          <w:tcPr>
            <w:tcW w:w="964" w:type="dxa"/>
            <w:tcBorders>
              <w:left w:val="nil"/>
              <w:bottom w:val="single" w:sz="6" w:space="0" w:color="auto"/>
              <w:right w:val="nil"/>
            </w:tcBorders>
            <w:shd w:val="clear" w:color="auto" w:fill="auto"/>
            <w:noWrap/>
            <w:vAlign w:val="center"/>
          </w:tcPr>
          <w:p w14:paraId="6D5B398A" w14:textId="77777777" w:rsidR="00374C2B" w:rsidRPr="00374C2B" w:rsidRDefault="00374C2B" w:rsidP="00374C2B">
            <w:pPr>
              <w:pStyle w:val="TableRight"/>
            </w:pPr>
            <w:r w:rsidRPr="00843688">
              <w:t> </w:t>
            </w:r>
          </w:p>
        </w:tc>
      </w:tr>
      <w:tr w:rsidR="00374C2B" w:rsidRPr="00843688" w14:paraId="5A2237C9" w14:textId="77777777" w:rsidTr="001B5757">
        <w:trPr>
          <w:jc w:val="center"/>
        </w:trPr>
        <w:tc>
          <w:tcPr>
            <w:tcW w:w="3828" w:type="dxa"/>
            <w:tcBorders>
              <w:top w:val="nil"/>
              <w:left w:val="nil"/>
              <w:bottom w:val="nil"/>
              <w:right w:val="nil"/>
            </w:tcBorders>
            <w:shd w:val="clear" w:color="auto" w:fill="auto"/>
            <w:noWrap/>
            <w:vAlign w:val="bottom"/>
          </w:tcPr>
          <w:p w14:paraId="3069283D" w14:textId="77777777" w:rsidR="00374C2B" w:rsidRPr="00374C2B" w:rsidRDefault="00374C2B" w:rsidP="00374C2B">
            <w:pPr>
              <w:pStyle w:val="TableLeftHeading"/>
            </w:pPr>
            <w:r w:rsidRPr="00843688">
              <w:t>Total</w:t>
            </w:r>
          </w:p>
        </w:tc>
        <w:tc>
          <w:tcPr>
            <w:tcW w:w="964" w:type="dxa"/>
            <w:tcBorders>
              <w:top w:val="single" w:sz="6" w:space="0" w:color="auto"/>
              <w:left w:val="nil"/>
              <w:bottom w:val="double" w:sz="6" w:space="0" w:color="auto"/>
              <w:right w:val="nil"/>
            </w:tcBorders>
            <w:vAlign w:val="center"/>
          </w:tcPr>
          <w:p w14:paraId="4D397357" w14:textId="77777777" w:rsidR="00374C2B" w:rsidRPr="00374C2B" w:rsidRDefault="00374C2B" w:rsidP="00374C2B">
            <w:pPr>
              <w:pStyle w:val="TableRightHeading"/>
            </w:pPr>
            <w:r>
              <w:t>8</w:t>
            </w:r>
            <w:r w:rsidRPr="00374C2B">
              <w:t xml:space="preserve"> 397.6 </w:t>
            </w:r>
          </w:p>
        </w:tc>
        <w:tc>
          <w:tcPr>
            <w:tcW w:w="964" w:type="dxa"/>
            <w:tcBorders>
              <w:top w:val="single" w:sz="6" w:space="0" w:color="auto"/>
              <w:left w:val="nil"/>
              <w:bottom w:val="double" w:sz="6" w:space="0" w:color="auto"/>
              <w:right w:val="nil"/>
            </w:tcBorders>
            <w:vAlign w:val="center"/>
          </w:tcPr>
          <w:p w14:paraId="300ABFE0" w14:textId="77777777" w:rsidR="00374C2B" w:rsidRPr="00374C2B" w:rsidRDefault="00374C2B" w:rsidP="00374C2B">
            <w:pPr>
              <w:pStyle w:val="TableRightHeading"/>
            </w:pPr>
            <w:r>
              <w:t>7</w:t>
            </w:r>
            <w:r w:rsidRPr="00374C2B">
              <w:t xml:space="preserve"> 744.4 </w:t>
            </w:r>
          </w:p>
        </w:tc>
        <w:tc>
          <w:tcPr>
            <w:tcW w:w="964" w:type="dxa"/>
            <w:tcBorders>
              <w:top w:val="single" w:sz="6" w:space="0" w:color="auto"/>
              <w:left w:val="nil"/>
              <w:bottom w:val="double" w:sz="6" w:space="0" w:color="auto"/>
              <w:right w:val="nil"/>
            </w:tcBorders>
            <w:shd w:val="clear" w:color="auto" w:fill="auto"/>
            <w:noWrap/>
            <w:vAlign w:val="center"/>
          </w:tcPr>
          <w:p w14:paraId="276FC41A" w14:textId="77777777" w:rsidR="00374C2B" w:rsidRPr="00374C2B" w:rsidRDefault="00374C2B" w:rsidP="00374C2B">
            <w:pPr>
              <w:pStyle w:val="TableRightHeading"/>
            </w:pPr>
            <w:r>
              <w:t>7</w:t>
            </w:r>
            <w:r w:rsidRPr="00374C2B">
              <w:t xml:space="preserve"> 759.3 </w:t>
            </w:r>
          </w:p>
        </w:tc>
        <w:tc>
          <w:tcPr>
            <w:tcW w:w="964" w:type="dxa"/>
            <w:tcBorders>
              <w:top w:val="single" w:sz="6" w:space="0" w:color="auto"/>
              <w:left w:val="nil"/>
              <w:bottom w:val="double" w:sz="6" w:space="0" w:color="auto"/>
              <w:right w:val="nil"/>
            </w:tcBorders>
            <w:shd w:val="clear" w:color="auto" w:fill="auto"/>
            <w:noWrap/>
            <w:vAlign w:val="center"/>
          </w:tcPr>
          <w:p w14:paraId="05C2D71D" w14:textId="77777777" w:rsidR="00374C2B" w:rsidRPr="00374C2B" w:rsidRDefault="00374C2B" w:rsidP="00374C2B">
            <w:pPr>
              <w:pStyle w:val="TableRightHeading"/>
            </w:pPr>
            <w:r>
              <w:t>7</w:t>
            </w:r>
            <w:r w:rsidRPr="00374C2B">
              <w:t xml:space="preserve"> 753.0 </w:t>
            </w:r>
          </w:p>
        </w:tc>
        <w:tc>
          <w:tcPr>
            <w:tcW w:w="964" w:type="dxa"/>
            <w:tcBorders>
              <w:top w:val="single" w:sz="6" w:space="0" w:color="auto"/>
              <w:left w:val="nil"/>
              <w:bottom w:val="double" w:sz="6" w:space="0" w:color="auto"/>
              <w:right w:val="nil"/>
            </w:tcBorders>
            <w:shd w:val="clear" w:color="auto" w:fill="auto"/>
            <w:noWrap/>
            <w:vAlign w:val="center"/>
          </w:tcPr>
          <w:p w14:paraId="1EC339D2" w14:textId="77777777" w:rsidR="00374C2B" w:rsidRPr="00374C2B" w:rsidRDefault="00374C2B" w:rsidP="00374C2B">
            <w:pPr>
              <w:pStyle w:val="TableRightHeading"/>
            </w:pPr>
            <w:r>
              <w:t>7</w:t>
            </w:r>
            <w:r w:rsidRPr="00374C2B">
              <w:t xml:space="preserve"> 729.3 </w:t>
            </w:r>
          </w:p>
        </w:tc>
        <w:tc>
          <w:tcPr>
            <w:tcW w:w="964" w:type="dxa"/>
            <w:tcBorders>
              <w:top w:val="single" w:sz="6" w:space="0" w:color="auto"/>
              <w:left w:val="nil"/>
              <w:bottom w:val="double" w:sz="6" w:space="0" w:color="auto"/>
              <w:right w:val="nil"/>
            </w:tcBorders>
            <w:shd w:val="clear" w:color="auto" w:fill="auto"/>
            <w:noWrap/>
            <w:vAlign w:val="center"/>
          </w:tcPr>
          <w:p w14:paraId="428DEF4D" w14:textId="77777777" w:rsidR="00374C2B" w:rsidRPr="00374C2B" w:rsidRDefault="00374C2B" w:rsidP="00374C2B">
            <w:pPr>
              <w:pStyle w:val="TableRightHeading"/>
            </w:pPr>
            <w:r>
              <w:t>7</w:t>
            </w:r>
            <w:r w:rsidRPr="00374C2B">
              <w:t xml:space="preserve"> 687.2 </w:t>
            </w:r>
          </w:p>
        </w:tc>
      </w:tr>
      <w:tr w:rsidR="00374C2B" w:rsidRPr="00843688" w14:paraId="119015FF" w14:textId="77777777" w:rsidTr="001B5757">
        <w:trPr>
          <w:jc w:val="center"/>
        </w:trPr>
        <w:tc>
          <w:tcPr>
            <w:tcW w:w="3828" w:type="dxa"/>
            <w:tcBorders>
              <w:top w:val="nil"/>
              <w:left w:val="nil"/>
              <w:bottom w:val="single" w:sz="4" w:space="0" w:color="auto"/>
              <w:right w:val="nil"/>
            </w:tcBorders>
            <w:shd w:val="clear" w:color="auto" w:fill="auto"/>
            <w:noWrap/>
            <w:vAlign w:val="bottom"/>
          </w:tcPr>
          <w:p w14:paraId="6DC2F98D" w14:textId="77777777" w:rsidR="00374C2B" w:rsidRPr="00843688" w:rsidRDefault="00374C2B" w:rsidP="00374C2B">
            <w:pPr>
              <w:pStyle w:val="TableLeft"/>
            </w:pPr>
          </w:p>
        </w:tc>
        <w:tc>
          <w:tcPr>
            <w:tcW w:w="964" w:type="dxa"/>
            <w:tcBorders>
              <w:top w:val="double" w:sz="6" w:space="0" w:color="auto"/>
              <w:left w:val="nil"/>
              <w:bottom w:val="single" w:sz="4" w:space="0" w:color="auto"/>
              <w:right w:val="nil"/>
            </w:tcBorders>
            <w:vAlign w:val="bottom"/>
          </w:tcPr>
          <w:p w14:paraId="6BEC86C3" w14:textId="77777777" w:rsidR="00374C2B" w:rsidRPr="00374C2B" w:rsidRDefault="00374C2B" w:rsidP="00374C2B">
            <w:pPr>
              <w:pStyle w:val="TableLeft"/>
            </w:pPr>
            <w:r w:rsidRPr="00843688">
              <w:t> </w:t>
            </w:r>
          </w:p>
        </w:tc>
        <w:tc>
          <w:tcPr>
            <w:tcW w:w="964" w:type="dxa"/>
            <w:tcBorders>
              <w:top w:val="double" w:sz="6" w:space="0" w:color="auto"/>
              <w:left w:val="nil"/>
              <w:bottom w:val="single" w:sz="4" w:space="0" w:color="auto"/>
              <w:right w:val="nil"/>
            </w:tcBorders>
          </w:tcPr>
          <w:p w14:paraId="6BFAE072" w14:textId="77777777" w:rsidR="00374C2B" w:rsidRPr="00843688" w:rsidRDefault="00374C2B" w:rsidP="00374C2B">
            <w:pPr>
              <w:pStyle w:val="TableLeft"/>
            </w:pPr>
          </w:p>
        </w:tc>
        <w:tc>
          <w:tcPr>
            <w:tcW w:w="964" w:type="dxa"/>
            <w:tcBorders>
              <w:top w:val="double" w:sz="6" w:space="0" w:color="auto"/>
              <w:left w:val="nil"/>
              <w:bottom w:val="single" w:sz="4" w:space="0" w:color="auto"/>
              <w:right w:val="nil"/>
            </w:tcBorders>
            <w:shd w:val="clear" w:color="auto" w:fill="auto"/>
            <w:noWrap/>
            <w:vAlign w:val="bottom"/>
          </w:tcPr>
          <w:p w14:paraId="12816E20" w14:textId="77777777" w:rsidR="00374C2B" w:rsidRPr="00374C2B" w:rsidRDefault="00374C2B" w:rsidP="00374C2B">
            <w:pPr>
              <w:pStyle w:val="TableLeft"/>
            </w:pPr>
            <w:r w:rsidRPr="00843688">
              <w:t> </w:t>
            </w:r>
          </w:p>
        </w:tc>
        <w:tc>
          <w:tcPr>
            <w:tcW w:w="964" w:type="dxa"/>
            <w:tcBorders>
              <w:top w:val="double" w:sz="6" w:space="0" w:color="auto"/>
              <w:left w:val="nil"/>
              <w:bottom w:val="single" w:sz="4" w:space="0" w:color="auto"/>
              <w:right w:val="nil"/>
            </w:tcBorders>
            <w:shd w:val="clear" w:color="auto" w:fill="auto"/>
            <w:noWrap/>
            <w:vAlign w:val="bottom"/>
          </w:tcPr>
          <w:p w14:paraId="0A6A8D15" w14:textId="77777777" w:rsidR="00374C2B" w:rsidRPr="00374C2B" w:rsidRDefault="00374C2B" w:rsidP="00374C2B">
            <w:pPr>
              <w:pStyle w:val="TableLeft"/>
            </w:pPr>
            <w:r w:rsidRPr="00843688">
              <w:t> </w:t>
            </w:r>
          </w:p>
        </w:tc>
        <w:tc>
          <w:tcPr>
            <w:tcW w:w="964" w:type="dxa"/>
            <w:tcBorders>
              <w:top w:val="double" w:sz="6" w:space="0" w:color="auto"/>
              <w:left w:val="nil"/>
              <w:bottom w:val="single" w:sz="4" w:space="0" w:color="auto"/>
              <w:right w:val="nil"/>
            </w:tcBorders>
            <w:shd w:val="clear" w:color="auto" w:fill="auto"/>
            <w:noWrap/>
            <w:vAlign w:val="bottom"/>
          </w:tcPr>
          <w:p w14:paraId="34B30EBC" w14:textId="77777777" w:rsidR="00374C2B" w:rsidRPr="00374C2B" w:rsidRDefault="00374C2B" w:rsidP="00374C2B">
            <w:pPr>
              <w:pStyle w:val="TableLeft"/>
            </w:pPr>
            <w:r w:rsidRPr="00843688">
              <w:t> </w:t>
            </w:r>
          </w:p>
        </w:tc>
        <w:tc>
          <w:tcPr>
            <w:tcW w:w="964" w:type="dxa"/>
            <w:tcBorders>
              <w:top w:val="double" w:sz="6" w:space="0" w:color="auto"/>
              <w:left w:val="nil"/>
              <w:bottom w:val="single" w:sz="4" w:space="0" w:color="auto"/>
              <w:right w:val="nil"/>
            </w:tcBorders>
            <w:shd w:val="clear" w:color="auto" w:fill="auto"/>
            <w:noWrap/>
            <w:vAlign w:val="bottom"/>
          </w:tcPr>
          <w:p w14:paraId="54490D4D" w14:textId="77777777" w:rsidR="00374C2B" w:rsidRPr="00374C2B" w:rsidRDefault="00374C2B" w:rsidP="00374C2B">
            <w:pPr>
              <w:pStyle w:val="TableLeft"/>
            </w:pPr>
            <w:r w:rsidRPr="00843688">
              <w:t> </w:t>
            </w:r>
          </w:p>
        </w:tc>
      </w:tr>
    </w:tbl>
    <w:p w14:paraId="5FA89500" w14:textId="77777777" w:rsidR="00374C2B" w:rsidRPr="00994257" w:rsidRDefault="00374C2B" w:rsidP="00374C2B">
      <w:pPr>
        <w:pStyle w:val="NotesHeading"/>
      </w:pPr>
    </w:p>
    <w:p w14:paraId="4D914FAE" w14:textId="77777777" w:rsidR="00DD03AB" w:rsidRDefault="00DD03AB">
      <w:r>
        <w:br w:type="page"/>
      </w:r>
    </w:p>
    <w:p w14:paraId="61691822" w14:textId="24F10674" w:rsidR="00374C2B" w:rsidRPr="00843688" w:rsidRDefault="00374C2B" w:rsidP="00374C2B">
      <w:pPr>
        <w:pStyle w:val="Body"/>
      </w:pPr>
      <w:r w:rsidRPr="00843688">
        <w:lastRenderedPageBreak/>
        <w:t xml:space="preserve">Chart 7.7 projects the General Government </w:t>
      </w:r>
      <w:r w:rsidR="003D594D">
        <w:t xml:space="preserve">Sector </w:t>
      </w:r>
      <w:r w:rsidRPr="00843688">
        <w:t xml:space="preserve">Superannuation liability (net of plan assets) over the total life of the defined benefit schemes </w:t>
      </w:r>
      <w:r w:rsidRPr="00686FBB">
        <w:t>to 30 June 208</w:t>
      </w:r>
      <w:r w:rsidRPr="004536EA">
        <w:t>4</w:t>
      </w:r>
      <w:r w:rsidRPr="00686FBB">
        <w:t>.</w:t>
      </w:r>
    </w:p>
    <w:p w14:paraId="17CFC937" w14:textId="30BA7169" w:rsidR="00374C2B" w:rsidRDefault="00374C2B" w:rsidP="00374C2B">
      <w:pPr>
        <w:pStyle w:val="Heading6"/>
      </w:pPr>
      <w:r w:rsidRPr="00843688">
        <w:t>Chart 7.7:</w:t>
      </w:r>
      <w:r w:rsidRPr="00843688">
        <w:tab/>
        <w:t xml:space="preserve">General Government </w:t>
      </w:r>
      <w:r w:rsidR="00B039E1">
        <w:t xml:space="preserve">Sector </w:t>
      </w:r>
      <w:r w:rsidRPr="00843688">
        <w:t>Superannuation Liability Projection 30 June 202</w:t>
      </w:r>
      <w:r>
        <w:t>4</w:t>
      </w:r>
      <w:r w:rsidRPr="00843688">
        <w:t xml:space="preserve"> to 30 June 208</w:t>
      </w:r>
      <w:r>
        <w:t>4</w:t>
      </w:r>
    </w:p>
    <w:p w14:paraId="2BA5AB31" w14:textId="639A5913" w:rsidR="00181BCB" w:rsidRPr="00181BCB" w:rsidRDefault="00051136" w:rsidP="00181BCB">
      <w:pPr>
        <w:pStyle w:val="Body"/>
      </w:pPr>
      <w:r>
        <w:rPr>
          <w:noProof/>
        </w:rPr>
        <w:drawing>
          <wp:inline distT="0" distB="0" distL="0" distR="0" wp14:anchorId="745D16DF" wp14:editId="6AF7EF87">
            <wp:extent cx="6084570" cy="3096895"/>
            <wp:effectExtent l="0" t="0" r="0" b="8255"/>
            <wp:docPr id="19" name="Picture 19" descr="General Government Superannuation Liability Projection 30 June 2024 to 30 June 2084&#10;The chart shows that the General Government Superannuation Liability gradually declines over the total life of the defined benefit scheme to reach zero by 30 June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eneral Government Superannuation Liability Projection 30 June 2024 to 30 June 2084&#10;The chart shows that the General Government Superannuation Liability gradually declines over the total life of the defined benefit scheme to reach zero by 30 June 20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1DF59915" w14:textId="77777777" w:rsidR="00374C2B" w:rsidRPr="00843688" w:rsidRDefault="00374C2B" w:rsidP="00374C2B">
      <w:pPr>
        <w:pStyle w:val="Body"/>
      </w:pPr>
      <w:r w:rsidRPr="00843688">
        <w:t>Chart 7.8 shows the estimated employer contribution payments, made up of both pension and lump sum benefit costs, over the period 202</w:t>
      </w:r>
      <w:r>
        <w:t>3</w:t>
      </w:r>
      <w:r w:rsidRPr="00843688">
        <w:t>-2</w:t>
      </w:r>
      <w:r>
        <w:t>4</w:t>
      </w:r>
      <w:r w:rsidRPr="00843688">
        <w:t xml:space="preserve"> to 208</w:t>
      </w:r>
      <w:r>
        <w:t>3</w:t>
      </w:r>
      <w:r w:rsidRPr="00843688">
        <w:t>-8</w:t>
      </w:r>
      <w:r>
        <w:t>4</w:t>
      </w:r>
      <w:r w:rsidRPr="00843688">
        <w:t>.</w:t>
      </w:r>
    </w:p>
    <w:p w14:paraId="71FE8A80" w14:textId="77777777" w:rsidR="00374C2B" w:rsidRPr="00843688" w:rsidRDefault="00374C2B" w:rsidP="00374C2B">
      <w:pPr>
        <w:pStyle w:val="Heading6"/>
      </w:pPr>
      <w:r w:rsidRPr="00843688">
        <w:t>Chart 7.8:</w:t>
      </w:r>
      <w:r w:rsidRPr="00843688">
        <w:tab/>
        <w:t>Defined Benefit Superannuation Costs, 202</w:t>
      </w:r>
      <w:r>
        <w:t>3</w:t>
      </w:r>
      <w:r w:rsidRPr="00843688">
        <w:t>-2</w:t>
      </w:r>
      <w:r>
        <w:t>4</w:t>
      </w:r>
      <w:r w:rsidRPr="00843688">
        <w:t xml:space="preserve"> to 208</w:t>
      </w:r>
      <w:r>
        <w:t>3</w:t>
      </w:r>
      <w:r w:rsidRPr="00843688">
        <w:noBreakHyphen/>
        <w:t>8</w:t>
      </w:r>
      <w:r>
        <w:t>4</w:t>
      </w:r>
    </w:p>
    <w:p w14:paraId="4D144277" w14:textId="04FA106E" w:rsidR="00374C2B" w:rsidRPr="00843688" w:rsidRDefault="00051136" w:rsidP="00374C2B">
      <w:pPr>
        <w:pStyle w:val="Body"/>
      </w:pPr>
      <w:r>
        <w:rPr>
          <w:noProof/>
        </w:rPr>
        <w:drawing>
          <wp:inline distT="0" distB="0" distL="0" distR="0" wp14:anchorId="428995A6" wp14:editId="7E281129">
            <wp:extent cx="6084570" cy="3096895"/>
            <wp:effectExtent l="0" t="0" r="0" b="8255"/>
            <wp:docPr id="20" name="Picture 20" descr="Defined Benefit Superannuation Costs, 2023-24 to 2083-84&#10;The chart shows that estimated employer contribution payments, made up of lump sum and pension payments, are predicted to peak in 2034-35 at $490.8 million and then gradually declines to zero by 2083-8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efined Benefit Superannuation Costs, 2023-24 to 2083-84&#10;The chart shows that estimated employer contribution payments, made up of lump sum and pension payments, are predicted to peak in 2034-35 at $490.8 million and then gradually declines to zero by 2083-84.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2877A669" w14:textId="77777777" w:rsidR="00D35118" w:rsidRDefault="00D35118">
      <w:r>
        <w:br w:type="page"/>
      </w:r>
    </w:p>
    <w:p w14:paraId="3233CBDA" w14:textId="59262C20" w:rsidR="00947F22" w:rsidRDefault="00374C2B" w:rsidP="001B5757">
      <w:pPr>
        <w:pStyle w:val="Body"/>
      </w:pPr>
      <w:r w:rsidRPr="00843688">
        <w:lastRenderedPageBreak/>
        <w:t xml:space="preserve">The current projections show the cost will </w:t>
      </w:r>
      <w:r w:rsidRPr="00E91789">
        <w:t xml:space="preserve">increase by </w:t>
      </w:r>
      <w:r>
        <w:t>39.6</w:t>
      </w:r>
      <w:r w:rsidRPr="00E91789">
        <w:t> per cent over the next</w:t>
      </w:r>
      <w:r w:rsidRPr="00843688">
        <w:t xml:space="preserve"> 12</w:t>
      </w:r>
      <w:r w:rsidR="00AF5A11">
        <w:t> </w:t>
      </w:r>
      <w:r w:rsidRPr="00843688">
        <w:t>years, peaking in 203</w:t>
      </w:r>
      <w:r>
        <w:t>4</w:t>
      </w:r>
      <w:r w:rsidRPr="00843688">
        <w:noBreakHyphen/>
        <w:t>3</w:t>
      </w:r>
      <w:r>
        <w:t>5</w:t>
      </w:r>
      <w:r w:rsidRPr="00843688">
        <w:t>. The estimated cost to the Budget is based on the most recent actuarial estimates. The current estimated peak cost of $4</w:t>
      </w:r>
      <w:r>
        <w:t>90.8</w:t>
      </w:r>
      <w:r w:rsidRPr="00843688">
        <w:t> million represents a</w:t>
      </w:r>
      <w:r>
        <w:t>n</w:t>
      </w:r>
      <w:r w:rsidRPr="00843688">
        <w:t xml:space="preserve"> </w:t>
      </w:r>
      <w:r>
        <w:t>increase</w:t>
      </w:r>
      <w:r w:rsidRPr="00843688">
        <w:t xml:space="preserve"> of $5</w:t>
      </w:r>
      <w:r>
        <w:t>2</w:t>
      </w:r>
      <w:r w:rsidRPr="00843688">
        <w:t> million from the estimated peak cost of $</w:t>
      </w:r>
      <w:r>
        <w:t>438.8</w:t>
      </w:r>
      <w:r w:rsidRPr="00843688">
        <w:t> million included in the 202</w:t>
      </w:r>
      <w:r>
        <w:t>2</w:t>
      </w:r>
      <w:r w:rsidRPr="00843688">
        <w:t>-2</w:t>
      </w:r>
      <w:r>
        <w:t>3</w:t>
      </w:r>
      <w:r w:rsidR="00AF5A11">
        <w:t> </w:t>
      </w:r>
      <w:r w:rsidRPr="00843688">
        <w:t>Budget.</w:t>
      </w:r>
    </w:p>
    <w:p w14:paraId="3C6916D9" w14:textId="2AAF8F28" w:rsidR="00374C2B" w:rsidRPr="00843688" w:rsidRDefault="00374C2B" w:rsidP="00374C2B">
      <w:pPr>
        <w:pStyle w:val="Body"/>
      </w:pPr>
      <w:r w:rsidRPr="00066EE1">
        <w:t>In 2023</w:t>
      </w:r>
      <w:r w:rsidRPr="00066EE1">
        <w:noBreakHyphen/>
        <w:t xml:space="preserve">24, defined benefit superannuation costs are estimated to be 4.0 per cent of Cash receipts from operating activities in the General Government Sector. Defined benefit superannuation costs, as a percentage of General Government </w:t>
      </w:r>
      <w:r w:rsidR="00B039E1">
        <w:t xml:space="preserve">Sector </w:t>
      </w:r>
      <w:r w:rsidRPr="00066EE1">
        <w:t xml:space="preserve">cash receipts, is estimated to peak at 4.5 per cent in </w:t>
      </w:r>
      <w:r w:rsidR="001D486A">
        <w:t>five</w:t>
      </w:r>
      <w:r w:rsidR="00AF5A11">
        <w:t> </w:t>
      </w:r>
      <w:r w:rsidRPr="00066EE1">
        <w:t>years (2027</w:t>
      </w:r>
      <w:r w:rsidRPr="00066EE1">
        <w:noBreakHyphen/>
        <w:t>28), followed by a decrease to 3.4 per cent in 15 years (2038</w:t>
      </w:r>
      <w:r w:rsidRPr="00066EE1">
        <w:noBreakHyphen/>
        <w:t>39) and 2.6 per cent in 20 years (2043</w:t>
      </w:r>
      <w:r w:rsidRPr="00066EE1">
        <w:noBreakHyphen/>
        <w:t>44).</w:t>
      </w:r>
    </w:p>
    <w:p w14:paraId="269E527C" w14:textId="0369B459" w:rsidR="00374C2B" w:rsidRPr="00843688" w:rsidRDefault="00374C2B" w:rsidP="00374C2B">
      <w:pPr>
        <w:pStyle w:val="Body"/>
      </w:pPr>
      <w:r w:rsidRPr="00843688">
        <w:t xml:space="preserve">Table 7.8 shows the estimated nominal cash flows required to meet the emerging cost of superannuation benefits payable to members. This represents the estimated total cost of benefits payable and includes the General Government </w:t>
      </w:r>
      <w:r w:rsidR="00B039E1">
        <w:t xml:space="preserve">Sector </w:t>
      </w:r>
      <w:r w:rsidRPr="00843688">
        <w:t>share, together with the share of benefits that are funded from plan assets.</w:t>
      </w:r>
    </w:p>
    <w:p w14:paraId="22CF15BF" w14:textId="77777777" w:rsidR="00374C2B" w:rsidRPr="00843688" w:rsidRDefault="00374C2B" w:rsidP="00374C2B">
      <w:pPr>
        <w:pStyle w:val="Heading6"/>
      </w:pPr>
      <w:r w:rsidRPr="00843688">
        <w:t>Table 7.8:</w:t>
      </w:r>
      <w:r w:rsidRPr="00843688">
        <w:tab/>
        <w:t>Undiscounted Defined Benefit Obligations Payable to Employees of the General Government Sector</w:t>
      </w:r>
    </w:p>
    <w:tbl>
      <w:tblPr>
        <w:tblW w:w="9581" w:type="dxa"/>
        <w:shd w:val="clear" w:color="auto" w:fill="FFFFFF"/>
        <w:tblCellMar>
          <w:left w:w="28" w:type="dxa"/>
          <w:right w:w="28" w:type="dxa"/>
        </w:tblCellMar>
        <w:tblLook w:val="0000" w:firstRow="0" w:lastRow="0" w:firstColumn="0" w:lastColumn="0" w:noHBand="0" w:noVBand="0"/>
      </w:tblPr>
      <w:tblGrid>
        <w:gridCol w:w="8265"/>
        <w:gridCol w:w="1316"/>
      </w:tblGrid>
      <w:tr w:rsidR="00374C2B" w:rsidRPr="00843688" w14:paraId="64F4C0EF" w14:textId="77777777" w:rsidTr="007241DA">
        <w:tc>
          <w:tcPr>
            <w:tcW w:w="4313" w:type="pct"/>
            <w:tcBorders>
              <w:top w:val="single" w:sz="6" w:space="0" w:color="auto"/>
            </w:tcBorders>
            <w:shd w:val="clear" w:color="auto" w:fill="FFFFFF"/>
            <w:vAlign w:val="bottom"/>
          </w:tcPr>
          <w:p w14:paraId="7D820AC9" w14:textId="77777777" w:rsidR="00374C2B" w:rsidRPr="00843688" w:rsidRDefault="00374C2B" w:rsidP="00374C2B">
            <w:pPr>
              <w:pStyle w:val="TableRightHeading"/>
            </w:pPr>
          </w:p>
        </w:tc>
        <w:tc>
          <w:tcPr>
            <w:tcW w:w="687" w:type="pct"/>
            <w:tcBorders>
              <w:top w:val="single" w:sz="6" w:space="0" w:color="auto"/>
            </w:tcBorders>
            <w:shd w:val="clear" w:color="auto" w:fill="auto"/>
            <w:vAlign w:val="bottom"/>
          </w:tcPr>
          <w:p w14:paraId="00E4CF63" w14:textId="77777777" w:rsidR="00374C2B" w:rsidRPr="00374C2B" w:rsidRDefault="00374C2B" w:rsidP="00374C2B">
            <w:pPr>
              <w:pStyle w:val="TableRightHeading"/>
            </w:pPr>
            <w:r w:rsidRPr="00843688">
              <w:t>202</w:t>
            </w:r>
            <w:r w:rsidRPr="00374C2B">
              <w:t>3 </w:t>
            </w:r>
          </w:p>
        </w:tc>
      </w:tr>
      <w:tr w:rsidR="00374C2B" w:rsidRPr="00843688" w14:paraId="66EACA2F" w14:textId="77777777" w:rsidTr="007241DA">
        <w:tc>
          <w:tcPr>
            <w:tcW w:w="4313" w:type="pct"/>
            <w:tcBorders>
              <w:bottom w:val="single" w:sz="6" w:space="0" w:color="auto"/>
            </w:tcBorders>
            <w:shd w:val="clear" w:color="auto" w:fill="FFFFFF"/>
            <w:vAlign w:val="bottom"/>
          </w:tcPr>
          <w:p w14:paraId="1C9A84F7" w14:textId="77777777" w:rsidR="00374C2B" w:rsidRPr="00843688" w:rsidRDefault="00374C2B" w:rsidP="00374C2B">
            <w:pPr>
              <w:pStyle w:val="TableRightHeading"/>
            </w:pPr>
          </w:p>
        </w:tc>
        <w:tc>
          <w:tcPr>
            <w:tcW w:w="687" w:type="pct"/>
            <w:tcBorders>
              <w:bottom w:val="single" w:sz="6" w:space="0" w:color="auto"/>
            </w:tcBorders>
            <w:shd w:val="clear" w:color="auto" w:fill="auto"/>
          </w:tcPr>
          <w:p w14:paraId="6EEBCB7F" w14:textId="77777777" w:rsidR="00374C2B" w:rsidRPr="00374C2B" w:rsidRDefault="00374C2B" w:rsidP="00374C2B">
            <w:pPr>
              <w:pStyle w:val="TableRightHeading"/>
            </w:pPr>
            <w:r w:rsidRPr="00843688">
              <w:t>Estimate </w:t>
            </w:r>
          </w:p>
        </w:tc>
      </w:tr>
      <w:tr w:rsidR="00374C2B" w:rsidRPr="00843688" w14:paraId="10CE69E6" w14:textId="77777777" w:rsidTr="007241DA">
        <w:tc>
          <w:tcPr>
            <w:tcW w:w="4313" w:type="pct"/>
            <w:shd w:val="clear" w:color="auto" w:fill="FFFFFF"/>
            <w:vAlign w:val="bottom"/>
          </w:tcPr>
          <w:p w14:paraId="585B6170" w14:textId="77777777" w:rsidR="00374C2B" w:rsidRPr="00843688" w:rsidRDefault="00374C2B" w:rsidP="00374C2B">
            <w:pPr>
              <w:pStyle w:val="TableRightHeading"/>
            </w:pPr>
          </w:p>
        </w:tc>
        <w:tc>
          <w:tcPr>
            <w:tcW w:w="687" w:type="pct"/>
            <w:shd w:val="clear" w:color="auto" w:fill="auto"/>
          </w:tcPr>
          <w:p w14:paraId="44B5E2E6" w14:textId="77777777" w:rsidR="00374C2B" w:rsidRPr="00374C2B" w:rsidRDefault="00374C2B" w:rsidP="00374C2B">
            <w:pPr>
              <w:pStyle w:val="TableRightHeading"/>
            </w:pPr>
            <w:r w:rsidRPr="00843688">
              <w:t>$m </w:t>
            </w:r>
          </w:p>
        </w:tc>
      </w:tr>
      <w:tr w:rsidR="00374C2B" w:rsidRPr="00843688" w14:paraId="6C64F884" w14:textId="77777777" w:rsidTr="007241DA">
        <w:tc>
          <w:tcPr>
            <w:tcW w:w="4313" w:type="pct"/>
            <w:shd w:val="clear" w:color="auto" w:fill="FFFFFF"/>
            <w:vAlign w:val="bottom"/>
          </w:tcPr>
          <w:p w14:paraId="59C155F3" w14:textId="77777777" w:rsidR="00374C2B" w:rsidRPr="00374C2B" w:rsidRDefault="00374C2B" w:rsidP="00374C2B">
            <w:pPr>
              <w:pStyle w:val="TableLeftHeading"/>
            </w:pPr>
            <w:r w:rsidRPr="00843688">
              <w:t xml:space="preserve">Estimated total benefit payments to be made in the </w:t>
            </w:r>
            <w:r w:rsidRPr="00374C2B">
              <w:t>period</w:t>
            </w:r>
          </w:p>
        </w:tc>
        <w:tc>
          <w:tcPr>
            <w:tcW w:w="687" w:type="pct"/>
            <w:shd w:val="clear" w:color="auto" w:fill="auto"/>
          </w:tcPr>
          <w:p w14:paraId="690B2A5C" w14:textId="77777777" w:rsidR="00374C2B" w:rsidRPr="00582E46" w:rsidRDefault="00374C2B" w:rsidP="00374C2B">
            <w:pPr>
              <w:pStyle w:val="TableRight"/>
            </w:pPr>
          </w:p>
        </w:tc>
      </w:tr>
      <w:tr w:rsidR="00374C2B" w:rsidRPr="00843688" w14:paraId="311A71F7" w14:textId="77777777" w:rsidTr="007241DA">
        <w:tc>
          <w:tcPr>
            <w:tcW w:w="4313" w:type="pct"/>
            <w:shd w:val="clear" w:color="auto" w:fill="FFFFFF"/>
            <w:vAlign w:val="bottom"/>
          </w:tcPr>
          <w:p w14:paraId="789ECBC6" w14:textId="77777777" w:rsidR="00374C2B" w:rsidRPr="00374C2B" w:rsidRDefault="00374C2B" w:rsidP="00374C2B">
            <w:pPr>
              <w:pStyle w:val="TableIndent"/>
            </w:pPr>
            <w:r w:rsidRPr="00843688">
              <w:t>No later than 1 year</w:t>
            </w:r>
          </w:p>
        </w:tc>
        <w:tc>
          <w:tcPr>
            <w:tcW w:w="687" w:type="pct"/>
            <w:shd w:val="clear" w:color="auto" w:fill="auto"/>
            <w:vAlign w:val="bottom"/>
          </w:tcPr>
          <w:p w14:paraId="7EFC5373" w14:textId="77777777" w:rsidR="00374C2B" w:rsidRPr="00374C2B" w:rsidRDefault="00374C2B" w:rsidP="00374C2B">
            <w:pPr>
              <w:pStyle w:val="TableRight"/>
            </w:pPr>
            <w:r w:rsidRPr="00843688">
              <w:t xml:space="preserve"> 4</w:t>
            </w:r>
            <w:r w:rsidRPr="00374C2B">
              <w:t>90.7 </w:t>
            </w:r>
          </w:p>
        </w:tc>
      </w:tr>
      <w:tr w:rsidR="00374C2B" w:rsidRPr="00843688" w14:paraId="43CB54F2" w14:textId="77777777" w:rsidTr="007241DA">
        <w:tc>
          <w:tcPr>
            <w:tcW w:w="4313" w:type="pct"/>
            <w:shd w:val="clear" w:color="auto" w:fill="FFFFFF"/>
            <w:vAlign w:val="bottom"/>
          </w:tcPr>
          <w:p w14:paraId="5E92EF10" w14:textId="77777777" w:rsidR="00374C2B" w:rsidRPr="00374C2B" w:rsidRDefault="00374C2B" w:rsidP="00374C2B">
            <w:pPr>
              <w:pStyle w:val="TableIndent"/>
            </w:pPr>
            <w:r w:rsidRPr="00843688">
              <w:t xml:space="preserve">Later than 1 year and no later than 2 years </w:t>
            </w:r>
          </w:p>
        </w:tc>
        <w:tc>
          <w:tcPr>
            <w:tcW w:w="687" w:type="pct"/>
            <w:shd w:val="clear" w:color="auto" w:fill="auto"/>
            <w:vAlign w:val="bottom"/>
          </w:tcPr>
          <w:p w14:paraId="45EA2CF4" w14:textId="77777777" w:rsidR="00374C2B" w:rsidRPr="00374C2B" w:rsidRDefault="00374C2B" w:rsidP="00374C2B">
            <w:pPr>
              <w:pStyle w:val="TableRight"/>
            </w:pPr>
            <w:r w:rsidRPr="00843688">
              <w:t xml:space="preserve"> 4</w:t>
            </w:r>
            <w:r w:rsidRPr="00374C2B">
              <w:t>79.0 </w:t>
            </w:r>
          </w:p>
        </w:tc>
      </w:tr>
      <w:tr w:rsidR="00374C2B" w:rsidRPr="00843688" w14:paraId="48D6048E" w14:textId="77777777" w:rsidTr="007241DA">
        <w:tc>
          <w:tcPr>
            <w:tcW w:w="4313" w:type="pct"/>
            <w:shd w:val="clear" w:color="auto" w:fill="FFFFFF"/>
            <w:vAlign w:val="bottom"/>
          </w:tcPr>
          <w:p w14:paraId="6A86AC9E" w14:textId="77777777" w:rsidR="00374C2B" w:rsidRPr="00374C2B" w:rsidRDefault="00374C2B" w:rsidP="00374C2B">
            <w:pPr>
              <w:pStyle w:val="TableIndent"/>
            </w:pPr>
            <w:r w:rsidRPr="00843688">
              <w:t>Later than 2 years and no later than 5 years</w:t>
            </w:r>
          </w:p>
        </w:tc>
        <w:tc>
          <w:tcPr>
            <w:tcW w:w="687" w:type="pct"/>
            <w:shd w:val="clear" w:color="auto" w:fill="auto"/>
            <w:vAlign w:val="bottom"/>
          </w:tcPr>
          <w:p w14:paraId="4B990808" w14:textId="77777777" w:rsidR="00374C2B" w:rsidRPr="00374C2B" w:rsidRDefault="00374C2B" w:rsidP="00374C2B">
            <w:pPr>
              <w:pStyle w:val="TableRight"/>
            </w:pPr>
            <w:r w:rsidRPr="00843688">
              <w:t>1</w:t>
            </w:r>
            <w:r w:rsidRPr="00374C2B">
              <w:t xml:space="preserve"> 560.0 </w:t>
            </w:r>
          </w:p>
        </w:tc>
      </w:tr>
      <w:tr w:rsidR="00374C2B" w:rsidRPr="00843688" w14:paraId="4EE3561D" w14:textId="77777777" w:rsidTr="007241DA">
        <w:tc>
          <w:tcPr>
            <w:tcW w:w="4313" w:type="pct"/>
            <w:shd w:val="clear" w:color="auto" w:fill="FFFFFF"/>
            <w:vAlign w:val="bottom"/>
          </w:tcPr>
          <w:p w14:paraId="557999C5" w14:textId="77777777" w:rsidR="00374C2B" w:rsidRPr="00374C2B" w:rsidRDefault="00374C2B" w:rsidP="00374C2B">
            <w:pPr>
              <w:pStyle w:val="TableIndent"/>
            </w:pPr>
            <w:r w:rsidRPr="00843688">
              <w:t>Later than 5 years and no later than 10 years</w:t>
            </w:r>
          </w:p>
        </w:tc>
        <w:tc>
          <w:tcPr>
            <w:tcW w:w="687" w:type="pct"/>
            <w:shd w:val="clear" w:color="auto" w:fill="auto"/>
            <w:vAlign w:val="bottom"/>
          </w:tcPr>
          <w:p w14:paraId="350D00C5" w14:textId="77777777" w:rsidR="00374C2B" w:rsidRPr="00374C2B" w:rsidRDefault="00374C2B" w:rsidP="00374C2B">
            <w:pPr>
              <w:pStyle w:val="TableRight"/>
            </w:pPr>
            <w:r w:rsidRPr="00843688">
              <w:t xml:space="preserve">2 </w:t>
            </w:r>
            <w:r w:rsidRPr="00374C2B">
              <w:t>940.9 </w:t>
            </w:r>
          </w:p>
        </w:tc>
      </w:tr>
      <w:tr w:rsidR="00374C2B" w:rsidRPr="00843688" w14:paraId="6CE87F7D" w14:textId="77777777" w:rsidTr="007241DA">
        <w:tc>
          <w:tcPr>
            <w:tcW w:w="4313" w:type="pct"/>
            <w:shd w:val="clear" w:color="auto" w:fill="FFFFFF"/>
            <w:vAlign w:val="bottom"/>
          </w:tcPr>
          <w:p w14:paraId="026B7A7E" w14:textId="77777777" w:rsidR="00374C2B" w:rsidRPr="00374C2B" w:rsidRDefault="00374C2B" w:rsidP="00374C2B">
            <w:pPr>
              <w:pStyle w:val="TableIndent"/>
            </w:pPr>
            <w:r w:rsidRPr="00843688">
              <w:t xml:space="preserve">Later than 10 years and no later than 15 years </w:t>
            </w:r>
          </w:p>
        </w:tc>
        <w:tc>
          <w:tcPr>
            <w:tcW w:w="687" w:type="pct"/>
            <w:shd w:val="clear" w:color="auto" w:fill="auto"/>
            <w:vAlign w:val="bottom"/>
          </w:tcPr>
          <w:p w14:paraId="7046F316" w14:textId="77777777" w:rsidR="00374C2B" w:rsidRPr="00374C2B" w:rsidRDefault="00374C2B" w:rsidP="00374C2B">
            <w:pPr>
              <w:pStyle w:val="TableRight"/>
            </w:pPr>
            <w:r>
              <w:t>3</w:t>
            </w:r>
            <w:r w:rsidRPr="00374C2B">
              <w:t xml:space="preserve"> 082.6 </w:t>
            </w:r>
          </w:p>
        </w:tc>
      </w:tr>
      <w:tr w:rsidR="00374C2B" w:rsidRPr="00843688" w14:paraId="1D410C72" w14:textId="77777777" w:rsidTr="007241DA">
        <w:tc>
          <w:tcPr>
            <w:tcW w:w="4313" w:type="pct"/>
            <w:shd w:val="clear" w:color="auto" w:fill="FFFFFF"/>
            <w:vAlign w:val="bottom"/>
          </w:tcPr>
          <w:p w14:paraId="2E6FCFEE" w14:textId="77777777" w:rsidR="00374C2B" w:rsidRPr="00374C2B" w:rsidRDefault="00374C2B" w:rsidP="00374C2B">
            <w:pPr>
              <w:pStyle w:val="TableIndent"/>
            </w:pPr>
            <w:r w:rsidRPr="00843688">
              <w:t>Later than 15 years and no later than 20 years</w:t>
            </w:r>
          </w:p>
        </w:tc>
        <w:tc>
          <w:tcPr>
            <w:tcW w:w="687" w:type="pct"/>
            <w:shd w:val="clear" w:color="auto" w:fill="auto"/>
            <w:vAlign w:val="bottom"/>
          </w:tcPr>
          <w:p w14:paraId="12889822" w14:textId="77777777" w:rsidR="00374C2B" w:rsidRPr="00374C2B" w:rsidRDefault="00374C2B" w:rsidP="00374C2B">
            <w:pPr>
              <w:pStyle w:val="TableRight"/>
            </w:pPr>
            <w:r w:rsidRPr="00843688">
              <w:t xml:space="preserve">2 </w:t>
            </w:r>
            <w:r w:rsidRPr="00374C2B">
              <w:t>878.9 </w:t>
            </w:r>
          </w:p>
        </w:tc>
      </w:tr>
      <w:tr w:rsidR="00374C2B" w:rsidRPr="00843688" w14:paraId="4673F60F" w14:textId="77777777" w:rsidTr="007241DA">
        <w:tc>
          <w:tcPr>
            <w:tcW w:w="4313" w:type="pct"/>
            <w:shd w:val="clear" w:color="auto" w:fill="FFFFFF"/>
            <w:vAlign w:val="bottom"/>
          </w:tcPr>
          <w:p w14:paraId="63873ED0" w14:textId="77777777" w:rsidR="00374C2B" w:rsidRPr="00374C2B" w:rsidRDefault="00374C2B" w:rsidP="00374C2B">
            <w:pPr>
              <w:pStyle w:val="TableIndent"/>
            </w:pPr>
            <w:r w:rsidRPr="00843688">
              <w:t xml:space="preserve">Later than 20 years and no later than 25 years </w:t>
            </w:r>
          </w:p>
        </w:tc>
        <w:tc>
          <w:tcPr>
            <w:tcW w:w="687" w:type="pct"/>
            <w:shd w:val="clear" w:color="auto" w:fill="auto"/>
            <w:vAlign w:val="bottom"/>
          </w:tcPr>
          <w:p w14:paraId="5681A3C1" w14:textId="77777777" w:rsidR="00374C2B" w:rsidRPr="00374C2B" w:rsidRDefault="00374C2B" w:rsidP="00374C2B">
            <w:pPr>
              <w:pStyle w:val="TableRight"/>
            </w:pPr>
            <w:r w:rsidRPr="00843688">
              <w:t xml:space="preserve">2 </w:t>
            </w:r>
            <w:r w:rsidRPr="00374C2B">
              <w:t>511.2 </w:t>
            </w:r>
          </w:p>
        </w:tc>
      </w:tr>
      <w:tr w:rsidR="00374C2B" w:rsidRPr="00843688" w14:paraId="11BEF9B7" w14:textId="77777777" w:rsidTr="007241DA">
        <w:tc>
          <w:tcPr>
            <w:tcW w:w="4313" w:type="pct"/>
            <w:shd w:val="clear" w:color="auto" w:fill="FFFFFF"/>
            <w:vAlign w:val="bottom"/>
          </w:tcPr>
          <w:p w14:paraId="69B37A35" w14:textId="77777777" w:rsidR="00374C2B" w:rsidRPr="00374C2B" w:rsidRDefault="00374C2B" w:rsidP="00374C2B">
            <w:pPr>
              <w:pStyle w:val="TableIndent"/>
            </w:pPr>
            <w:r w:rsidRPr="00843688">
              <w:t xml:space="preserve">Later than 25 years and no later than 30 years </w:t>
            </w:r>
          </w:p>
        </w:tc>
        <w:tc>
          <w:tcPr>
            <w:tcW w:w="687" w:type="pct"/>
            <w:shd w:val="clear" w:color="auto" w:fill="auto"/>
            <w:vAlign w:val="bottom"/>
          </w:tcPr>
          <w:p w14:paraId="25643E83" w14:textId="77777777" w:rsidR="00374C2B" w:rsidRPr="00374C2B" w:rsidRDefault="00374C2B" w:rsidP="00374C2B">
            <w:pPr>
              <w:pStyle w:val="TableRight"/>
            </w:pPr>
            <w:r>
              <w:t>2</w:t>
            </w:r>
            <w:r w:rsidRPr="00374C2B">
              <w:t xml:space="preserve"> 065.6 </w:t>
            </w:r>
          </w:p>
        </w:tc>
      </w:tr>
      <w:tr w:rsidR="00374C2B" w:rsidRPr="00843688" w14:paraId="69FBEDDD" w14:textId="77777777" w:rsidTr="007241DA">
        <w:tc>
          <w:tcPr>
            <w:tcW w:w="4313" w:type="pct"/>
            <w:shd w:val="clear" w:color="auto" w:fill="FFFFFF"/>
            <w:vAlign w:val="bottom"/>
          </w:tcPr>
          <w:p w14:paraId="667E97F4" w14:textId="77777777" w:rsidR="00374C2B" w:rsidRPr="00374C2B" w:rsidRDefault="00374C2B" w:rsidP="00374C2B">
            <w:pPr>
              <w:pStyle w:val="TableIndent"/>
            </w:pPr>
            <w:r w:rsidRPr="00843688">
              <w:t xml:space="preserve">Later than 30 years and no later than 35 years </w:t>
            </w:r>
          </w:p>
        </w:tc>
        <w:tc>
          <w:tcPr>
            <w:tcW w:w="687" w:type="pct"/>
            <w:shd w:val="clear" w:color="auto" w:fill="auto"/>
            <w:vAlign w:val="bottom"/>
          </w:tcPr>
          <w:p w14:paraId="21984781" w14:textId="77777777" w:rsidR="00374C2B" w:rsidRPr="00374C2B" w:rsidRDefault="00374C2B" w:rsidP="00374C2B">
            <w:pPr>
              <w:pStyle w:val="TableRight"/>
            </w:pPr>
            <w:r w:rsidRPr="00843688">
              <w:t xml:space="preserve">1 </w:t>
            </w:r>
            <w:r w:rsidRPr="00374C2B">
              <w:t>535.6 </w:t>
            </w:r>
          </w:p>
        </w:tc>
      </w:tr>
      <w:tr w:rsidR="00374C2B" w:rsidRPr="00843688" w14:paraId="79703C14" w14:textId="77777777" w:rsidTr="007241DA">
        <w:tc>
          <w:tcPr>
            <w:tcW w:w="4313" w:type="pct"/>
            <w:shd w:val="clear" w:color="auto" w:fill="FFFFFF"/>
            <w:vAlign w:val="bottom"/>
          </w:tcPr>
          <w:p w14:paraId="00E11480" w14:textId="77777777" w:rsidR="00374C2B" w:rsidRPr="00374C2B" w:rsidRDefault="00374C2B" w:rsidP="00374C2B">
            <w:pPr>
              <w:pStyle w:val="TableIndent"/>
            </w:pPr>
            <w:r w:rsidRPr="00843688">
              <w:t>Later than 35 years and no later than 40 years</w:t>
            </w:r>
          </w:p>
        </w:tc>
        <w:tc>
          <w:tcPr>
            <w:tcW w:w="687" w:type="pct"/>
            <w:shd w:val="clear" w:color="auto" w:fill="auto"/>
            <w:vAlign w:val="bottom"/>
          </w:tcPr>
          <w:p w14:paraId="55DC247A" w14:textId="77777777" w:rsidR="00374C2B" w:rsidRPr="00374C2B" w:rsidRDefault="00374C2B" w:rsidP="00374C2B">
            <w:pPr>
              <w:pStyle w:val="TableRight"/>
            </w:pPr>
            <w:r w:rsidRPr="00843688">
              <w:t xml:space="preserve"> </w:t>
            </w:r>
            <w:r w:rsidRPr="00374C2B">
              <w:t>989.8 </w:t>
            </w:r>
          </w:p>
        </w:tc>
      </w:tr>
      <w:tr w:rsidR="00374C2B" w:rsidRPr="00843688" w14:paraId="5C211B6E" w14:textId="77777777" w:rsidTr="007241DA">
        <w:tc>
          <w:tcPr>
            <w:tcW w:w="4313" w:type="pct"/>
            <w:shd w:val="clear" w:color="auto" w:fill="FFFFFF"/>
            <w:vAlign w:val="bottom"/>
          </w:tcPr>
          <w:p w14:paraId="61BDB5D0" w14:textId="77777777" w:rsidR="00374C2B" w:rsidRPr="00374C2B" w:rsidRDefault="00374C2B" w:rsidP="00374C2B">
            <w:pPr>
              <w:pStyle w:val="TableIndent"/>
            </w:pPr>
            <w:r w:rsidRPr="00843688">
              <w:t>Later than 40 years and no later than 45 years</w:t>
            </w:r>
          </w:p>
        </w:tc>
        <w:tc>
          <w:tcPr>
            <w:tcW w:w="687" w:type="pct"/>
            <w:shd w:val="clear" w:color="auto" w:fill="auto"/>
            <w:vAlign w:val="bottom"/>
          </w:tcPr>
          <w:p w14:paraId="45F4D1CA" w14:textId="77777777" w:rsidR="00374C2B" w:rsidRPr="00374C2B" w:rsidRDefault="00374C2B" w:rsidP="00374C2B">
            <w:pPr>
              <w:pStyle w:val="TableRight"/>
            </w:pPr>
            <w:r w:rsidRPr="00843688">
              <w:t xml:space="preserve"> </w:t>
            </w:r>
            <w:r w:rsidRPr="00374C2B">
              <w:t>528.7 </w:t>
            </w:r>
          </w:p>
        </w:tc>
      </w:tr>
      <w:tr w:rsidR="00374C2B" w:rsidRPr="00843688" w14:paraId="50DD99E0" w14:textId="77777777" w:rsidTr="007241DA">
        <w:tc>
          <w:tcPr>
            <w:tcW w:w="4313" w:type="pct"/>
            <w:shd w:val="clear" w:color="auto" w:fill="FFFFFF"/>
            <w:vAlign w:val="bottom"/>
          </w:tcPr>
          <w:p w14:paraId="7D263E1F" w14:textId="77777777" w:rsidR="00374C2B" w:rsidRPr="00374C2B" w:rsidRDefault="00374C2B" w:rsidP="00374C2B">
            <w:pPr>
              <w:pStyle w:val="TableIndent"/>
            </w:pPr>
            <w:r w:rsidRPr="00843688">
              <w:t xml:space="preserve">Later than 45 years and no later than 50 years </w:t>
            </w:r>
          </w:p>
        </w:tc>
        <w:tc>
          <w:tcPr>
            <w:tcW w:w="687" w:type="pct"/>
            <w:shd w:val="clear" w:color="auto" w:fill="auto"/>
            <w:vAlign w:val="bottom"/>
          </w:tcPr>
          <w:p w14:paraId="3F2A326F" w14:textId="456A989C" w:rsidR="00374C2B" w:rsidRPr="00374C2B" w:rsidRDefault="00374C2B" w:rsidP="00374C2B">
            <w:pPr>
              <w:pStyle w:val="TableRight"/>
            </w:pPr>
            <w:r w:rsidRPr="00843688">
              <w:t xml:space="preserve"> </w:t>
            </w:r>
            <w:r w:rsidRPr="00374C2B">
              <w:t>218.5 </w:t>
            </w:r>
          </w:p>
        </w:tc>
      </w:tr>
      <w:tr w:rsidR="00374C2B" w:rsidRPr="00843688" w14:paraId="640CE92A" w14:textId="77777777" w:rsidTr="007241DA">
        <w:tc>
          <w:tcPr>
            <w:tcW w:w="4313" w:type="pct"/>
            <w:shd w:val="clear" w:color="auto" w:fill="FFFFFF"/>
            <w:vAlign w:val="bottom"/>
          </w:tcPr>
          <w:p w14:paraId="60650023" w14:textId="77777777" w:rsidR="00374C2B" w:rsidRPr="00374C2B" w:rsidRDefault="00374C2B" w:rsidP="00374C2B">
            <w:pPr>
              <w:pStyle w:val="TableLeftHeading"/>
            </w:pPr>
            <w:r w:rsidRPr="00843688">
              <w:t>Undiscounted defined benefit obligation</w:t>
            </w:r>
          </w:p>
        </w:tc>
        <w:tc>
          <w:tcPr>
            <w:tcW w:w="687" w:type="pct"/>
            <w:tcBorders>
              <w:top w:val="single" w:sz="6" w:space="0" w:color="auto"/>
              <w:bottom w:val="double" w:sz="6" w:space="0" w:color="auto"/>
            </w:tcBorders>
            <w:shd w:val="clear" w:color="auto" w:fill="auto"/>
            <w:vAlign w:val="bottom"/>
          </w:tcPr>
          <w:p w14:paraId="1DC32FC9" w14:textId="77777777" w:rsidR="00374C2B" w:rsidRPr="00374C2B" w:rsidRDefault="00374C2B" w:rsidP="00374C2B">
            <w:pPr>
              <w:pStyle w:val="TableRightHeading"/>
            </w:pPr>
            <w:r w:rsidRPr="00843688">
              <w:t>1</w:t>
            </w:r>
            <w:r w:rsidRPr="00374C2B">
              <w:t>9 281.5 </w:t>
            </w:r>
          </w:p>
        </w:tc>
      </w:tr>
      <w:tr w:rsidR="00374C2B" w:rsidRPr="00843688" w14:paraId="5074EEFB" w14:textId="77777777" w:rsidTr="007241DA">
        <w:tc>
          <w:tcPr>
            <w:tcW w:w="4313" w:type="pct"/>
            <w:tcBorders>
              <w:bottom w:val="single" w:sz="6" w:space="0" w:color="auto"/>
            </w:tcBorders>
            <w:shd w:val="clear" w:color="auto" w:fill="FFFFFF"/>
            <w:vAlign w:val="bottom"/>
          </w:tcPr>
          <w:p w14:paraId="7E514B0D" w14:textId="77777777" w:rsidR="00374C2B" w:rsidRPr="00582E46" w:rsidRDefault="00374C2B" w:rsidP="00374C2B">
            <w:pPr>
              <w:pStyle w:val="TableLeft"/>
            </w:pPr>
          </w:p>
        </w:tc>
        <w:tc>
          <w:tcPr>
            <w:tcW w:w="687" w:type="pct"/>
            <w:tcBorders>
              <w:bottom w:val="single" w:sz="6" w:space="0" w:color="auto"/>
            </w:tcBorders>
            <w:shd w:val="clear" w:color="auto" w:fill="auto"/>
            <w:vAlign w:val="bottom"/>
          </w:tcPr>
          <w:p w14:paraId="0FB93D64" w14:textId="77777777" w:rsidR="00374C2B" w:rsidRPr="00582E46" w:rsidRDefault="00374C2B" w:rsidP="00374C2B">
            <w:pPr>
              <w:pStyle w:val="TableLeft"/>
            </w:pPr>
          </w:p>
        </w:tc>
      </w:tr>
    </w:tbl>
    <w:p w14:paraId="3101023B" w14:textId="77777777" w:rsidR="00374C2B" w:rsidRPr="00843688" w:rsidRDefault="00374C2B" w:rsidP="00374C2B">
      <w:pPr>
        <w:pStyle w:val="Heading4"/>
      </w:pPr>
      <w:r w:rsidRPr="00843688">
        <w:t>Actuarial Assumptions and Sensitivity Analysis</w:t>
      </w:r>
    </w:p>
    <w:p w14:paraId="0EBF4C41" w14:textId="4F5F441C" w:rsidR="00374C2B" w:rsidRPr="00843688" w:rsidRDefault="00374C2B" w:rsidP="00374C2B">
      <w:pPr>
        <w:pStyle w:val="Body"/>
      </w:pPr>
      <w:r w:rsidRPr="00843688">
        <w:t xml:space="preserve">Independent actuarial assessments are prepared by the Actuary to provide reporting and disclosure information, relating to the General Government </w:t>
      </w:r>
      <w:r w:rsidR="00B039E1">
        <w:t xml:space="preserve">Sector </w:t>
      </w:r>
      <w:r w:rsidRPr="00843688">
        <w:t>Superannuation liability, in respect of current and former employees who have defined benefits arising from membership of the closed defined benefit superannuation schemes.</w:t>
      </w:r>
    </w:p>
    <w:p w14:paraId="5BDD23A4" w14:textId="753BC153" w:rsidR="00374C2B" w:rsidRPr="00843688" w:rsidRDefault="00374C2B" w:rsidP="00374C2B">
      <w:pPr>
        <w:pStyle w:val="Body"/>
      </w:pPr>
      <w:r w:rsidRPr="00843688">
        <w:t>The actuarial assumptions are used for the variables that will determine the ultimate cost of providing long</w:t>
      </w:r>
      <w:r w:rsidRPr="00843688">
        <w:noBreakHyphen/>
        <w:t>term superannuation benefits. Actuarial assumptions must be unbiased (i.e. neither imprudent nor excessively conservative) and should reflect the economic relationships between factors such as inflation, rates of salary increase, the return on scheme assets and discount rates.</w:t>
      </w:r>
    </w:p>
    <w:p w14:paraId="13596191" w14:textId="77777777" w:rsidR="006C2058" w:rsidRDefault="006C2058">
      <w:r>
        <w:br w:type="page"/>
      </w:r>
    </w:p>
    <w:p w14:paraId="4DAD361A" w14:textId="3A2AB473" w:rsidR="00374C2B" w:rsidRPr="00843688" w:rsidRDefault="00374C2B" w:rsidP="00374C2B">
      <w:pPr>
        <w:pStyle w:val="Body"/>
      </w:pPr>
      <w:r w:rsidRPr="00843688">
        <w:lastRenderedPageBreak/>
        <w:t>Table 7.9 shows the key assumptions used by the Actuary in preparing 202</w:t>
      </w:r>
      <w:r>
        <w:t>2</w:t>
      </w:r>
      <w:r w:rsidRPr="00843688">
        <w:noBreakHyphen/>
        <w:t>2</w:t>
      </w:r>
      <w:r>
        <w:t>3 </w:t>
      </w:r>
      <w:r w:rsidRPr="00843688">
        <w:t>Budget, and the 202</w:t>
      </w:r>
      <w:r>
        <w:t>3</w:t>
      </w:r>
      <w:r w:rsidRPr="00843688">
        <w:noBreakHyphen/>
        <w:t>2</w:t>
      </w:r>
      <w:r>
        <w:t>4</w:t>
      </w:r>
      <w:r w:rsidRPr="00843688">
        <w:t> Budget and Forward Estimates.</w:t>
      </w:r>
    </w:p>
    <w:p w14:paraId="00F7E525" w14:textId="77777777" w:rsidR="00E3753A" w:rsidRPr="00843688" w:rsidRDefault="00E3753A" w:rsidP="00E3753A">
      <w:pPr>
        <w:pStyle w:val="Heading6"/>
      </w:pPr>
      <w:r w:rsidRPr="00843688">
        <w:t xml:space="preserve">Table 7.9: </w:t>
      </w:r>
      <w:r w:rsidRPr="00843688">
        <w:tab/>
        <w:t>Actuarial Assumptions</w:t>
      </w:r>
    </w:p>
    <w:tbl>
      <w:tblPr>
        <w:tblW w:w="9580" w:type="dxa"/>
        <w:tblLayout w:type="fixed"/>
        <w:tblLook w:val="0000" w:firstRow="0" w:lastRow="0" w:firstColumn="0" w:lastColumn="0" w:noHBand="0" w:noVBand="0"/>
      </w:tblPr>
      <w:tblGrid>
        <w:gridCol w:w="5529"/>
        <w:gridCol w:w="1350"/>
        <w:gridCol w:w="1350"/>
        <w:gridCol w:w="1351"/>
      </w:tblGrid>
      <w:tr w:rsidR="00E3753A" w:rsidRPr="00843688" w14:paraId="5078262B" w14:textId="77777777" w:rsidTr="007241DA">
        <w:tc>
          <w:tcPr>
            <w:tcW w:w="5529" w:type="dxa"/>
            <w:tcBorders>
              <w:top w:val="single" w:sz="4" w:space="0" w:color="auto"/>
              <w:bottom w:val="single" w:sz="4" w:space="0" w:color="auto"/>
            </w:tcBorders>
          </w:tcPr>
          <w:p w14:paraId="411E667B" w14:textId="77777777" w:rsidR="00E3753A" w:rsidRPr="00843688" w:rsidRDefault="00E3753A" w:rsidP="00E3753A">
            <w:pPr>
              <w:pStyle w:val="Body"/>
            </w:pPr>
          </w:p>
        </w:tc>
        <w:tc>
          <w:tcPr>
            <w:tcW w:w="1350" w:type="dxa"/>
            <w:tcBorders>
              <w:top w:val="single" w:sz="4" w:space="0" w:color="auto"/>
              <w:bottom w:val="single" w:sz="4" w:space="0" w:color="auto"/>
            </w:tcBorders>
          </w:tcPr>
          <w:p w14:paraId="464E4356" w14:textId="77777777" w:rsidR="00E3753A" w:rsidRPr="00843688" w:rsidRDefault="00E3753A" w:rsidP="00E3753A">
            <w:pPr>
              <w:pStyle w:val="TableRightHeading"/>
            </w:pPr>
          </w:p>
        </w:tc>
        <w:tc>
          <w:tcPr>
            <w:tcW w:w="1350" w:type="dxa"/>
            <w:tcBorders>
              <w:top w:val="single" w:sz="4" w:space="0" w:color="auto"/>
              <w:bottom w:val="single" w:sz="4" w:space="0" w:color="auto"/>
            </w:tcBorders>
          </w:tcPr>
          <w:p w14:paraId="437A0BFD" w14:textId="77777777" w:rsidR="00E3753A" w:rsidRPr="00E3753A" w:rsidRDefault="00E3753A" w:rsidP="00E3753A">
            <w:pPr>
              <w:pStyle w:val="TableRightHeading"/>
            </w:pPr>
            <w:r w:rsidRPr="00843688">
              <w:t>202</w:t>
            </w:r>
            <w:r w:rsidRPr="00E3753A">
              <w:t xml:space="preserve">3 </w:t>
            </w:r>
            <w:r w:rsidRPr="00E3753A">
              <w:br/>
              <w:t>Budget</w:t>
            </w:r>
          </w:p>
        </w:tc>
        <w:tc>
          <w:tcPr>
            <w:tcW w:w="1351" w:type="dxa"/>
            <w:tcBorders>
              <w:top w:val="single" w:sz="4" w:space="0" w:color="auto"/>
              <w:bottom w:val="single" w:sz="4" w:space="0" w:color="auto"/>
            </w:tcBorders>
          </w:tcPr>
          <w:p w14:paraId="3C2AC945" w14:textId="77777777" w:rsidR="00E3753A" w:rsidRPr="00E3753A" w:rsidRDefault="00E3753A" w:rsidP="00E3753A">
            <w:pPr>
              <w:pStyle w:val="TableRightHeading"/>
            </w:pPr>
            <w:r w:rsidRPr="00843688">
              <w:t>202</w:t>
            </w:r>
            <w:r w:rsidRPr="00E3753A">
              <w:t xml:space="preserve">4 </w:t>
            </w:r>
            <w:r w:rsidRPr="00E3753A">
              <w:br/>
              <w:t>Budget and Forward Estimates</w:t>
            </w:r>
          </w:p>
        </w:tc>
      </w:tr>
      <w:tr w:rsidR="00E3753A" w:rsidRPr="00843688" w14:paraId="4C095A82" w14:textId="77777777" w:rsidTr="007241DA">
        <w:tc>
          <w:tcPr>
            <w:tcW w:w="5529" w:type="dxa"/>
            <w:tcBorders>
              <w:top w:val="single" w:sz="4" w:space="0" w:color="auto"/>
            </w:tcBorders>
          </w:tcPr>
          <w:p w14:paraId="2C5D321D" w14:textId="77777777" w:rsidR="00E3753A" w:rsidRPr="00843688" w:rsidRDefault="00E3753A" w:rsidP="00E3753A">
            <w:pPr>
              <w:pStyle w:val="TableLeft"/>
            </w:pPr>
          </w:p>
        </w:tc>
        <w:tc>
          <w:tcPr>
            <w:tcW w:w="1350" w:type="dxa"/>
            <w:tcBorders>
              <w:top w:val="single" w:sz="4" w:space="0" w:color="auto"/>
            </w:tcBorders>
          </w:tcPr>
          <w:p w14:paraId="0E584AFF" w14:textId="77777777" w:rsidR="00E3753A" w:rsidRPr="00843688" w:rsidRDefault="00E3753A" w:rsidP="00E3753A">
            <w:pPr>
              <w:pStyle w:val="TableRight"/>
            </w:pPr>
          </w:p>
        </w:tc>
        <w:tc>
          <w:tcPr>
            <w:tcW w:w="1350" w:type="dxa"/>
            <w:tcBorders>
              <w:top w:val="single" w:sz="4" w:space="0" w:color="auto"/>
            </w:tcBorders>
          </w:tcPr>
          <w:p w14:paraId="6C41BE8C" w14:textId="77777777" w:rsidR="00E3753A" w:rsidRPr="00E3753A" w:rsidRDefault="00E3753A" w:rsidP="00E3753A">
            <w:pPr>
              <w:pStyle w:val="TableRight"/>
            </w:pPr>
            <w:r w:rsidRPr="00843688">
              <w:t>%</w:t>
            </w:r>
          </w:p>
        </w:tc>
        <w:tc>
          <w:tcPr>
            <w:tcW w:w="1351" w:type="dxa"/>
            <w:tcBorders>
              <w:top w:val="single" w:sz="4" w:space="0" w:color="auto"/>
            </w:tcBorders>
          </w:tcPr>
          <w:p w14:paraId="3137FD9E" w14:textId="77777777" w:rsidR="00E3753A" w:rsidRPr="00E3753A" w:rsidRDefault="00E3753A" w:rsidP="00E3753A">
            <w:pPr>
              <w:pStyle w:val="TableRight"/>
            </w:pPr>
            <w:r w:rsidRPr="00843688">
              <w:t>%</w:t>
            </w:r>
          </w:p>
        </w:tc>
      </w:tr>
      <w:tr w:rsidR="00E3753A" w:rsidRPr="00843688" w14:paraId="7323DE9B" w14:textId="77777777" w:rsidTr="007241DA">
        <w:tc>
          <w:tcPr>
            <w:tcW w:w="5529" w:type="dxa"/>
          </w:tcPr>
          <w:p w14:paraId="1DE20B57" w14:textId="77777777" w:rsidR="00E3753A" w:rsidRPr="00843688" w:rsidRDefault="00E3753A" w:rsidP="00E3753A">
            <w:pPr>
              <w:pStyle w:val="TableLeft"/>
            </w:pPr>
          </w:p>
        </w:tc>
        <w:tc>
          <w:tcPr>
            <w:tcW w:w="1350" w:type="dxa"/>
          </w:tcPr>
          <w:p w14:paraId="03D9C17B" w14:textId="77777777" w:rsidR="00E3753A" w:rsidRPr="00843688" w:rsidRDefault="00E3753A" w:rsidP="00E3753A">
            <w:pPr>
              <w:pStyle w:val="TableRight"/>
            </w:pPr>
          </w:p>
        </w:tc>
        <w:tc>
          <w:tcPr>
            <w:tcW w:w="1350" w:type="dxa"/>
          </w:tcPr>
          <w:p w14:paraId="53E039FD" w14:textId="77777777" w:rsidR="00E3753A" w:rsidRPr="00843688" w:rsidRDefault="00E3753A" w:rsidP="00E3753A">
            <w:pPr>
              <w:pStyle w:val="TableRight"/>
            </w:pPr>
          </w:p>
        </w:tc>
        <w:tc>
          <w:tcPr>
            <w:tcW w:w="1351" w:type="dxa"/>
          </w:tcPr>
          <w:p w14:paraId="5C1D827D" w14:textId="77777777" w:rsidR="00E3753A" w:rsidRPr="00843688" w:rsidRDefault="00E3753A" w:rsidP="00E3753A">
            <w:pPr>
              <w:pStyle w:val="TableRight"/>
            </w:pPr>
          </w:p>
        </w:tc>
      </w:tr>
      <w:tr w:rsidR="00E3753A" w:rsidRPr="00843688" w14:paraId="5C65B747" w14:textId="77777777" w:rsidTr="007241DA">
        <w:tc>
          <w:tcPr>
            <w:tcW w:w="5529" w:type="dxa"/>
          </w:tcPr>
          <w:p w14:paraId="421FE169" w14:textId="77777777" w:rsidR="00E3753A" w:rsidRPr="00E3753A" w:rsidRDefault="00E3753A" w:rsidP="00E3753A">
            <w:pPr>
              <w:pStyle w:val="TableLeft"/>
            </w:pPr>
            <w:r w:rsidRPr="00843688">
              <w:t>Discount rate</w:t>
            </w:r>
          </w:p>
        </w:tc>
        <w:tc>
          <w:tcPr>
            <w:tcW w:w="1350" w:type="dxa"/>
          </w:tcPr>
          <w:p w14:paraId="5C1751C9" w14:textId="77777777" w:rsidR="00E3753A" w:rsidRPr="00843688" w:rsidRDefault="00E3753A" w:rsidP="00E3753A">
            <w:pPr>
              <w:pStyle w:val="TableRight"/>
            </w:pPr>
          </w:p>
        </w:tc>
        <w:tc>
          <w:tcPr>
            <w:tcW w:w="1350" w:type="dxa"/>
          </w:tcPr>
          <w:p w14:paraId="05A9614B" w14:textId="77777777" w:rsidR="00E3753A" w:rsidRPr="00E3753A" w:rsidRDefault="00E3753A" w:rsidP="00E3753A">
            <w:pPr>
              <w:pStyle w:val="TableRight"/>
            </w:pPr>
            <w:r>
              <w:t>2.5</w:t>
            </w:r>
            <w:r w:rsidRPr="00E3753A">
              <w:t> </w:t>
            </w:r>
          </w:p>
        </w:tc>
        <w:tc>
          <w:tcPr>
            <w:tcW w:w="1351" w:type="dxa"/>
          </w:tcPr>
          <w:p w14:paraId="4E06227B" w14:textId="77777777" w:rsidR="00E3753A" w:rsidRPr="00E3753A" w:rsidRDefault="00E3753A" w:rsidP="00E3753A">
            <w:pPr>
              <w:pStyle w:val="TableRight"/>
            </w:pPr>
            <w:r>
              <w:t>4.0</w:t>
            </w:r>
            <w:r w:rsidRPr="00E3753A">
              <w:t> </w:t>
            </w:r>
          </w:p>
        </w:tc>
      </w:tr>
      <w:tr w:rsidR="00E3753A" w:rsidRPr="00843688" w14:paraId="5E883824" w14:textId="77777777" w:rsidTr="007241DA">
        <w:tc>
          <w:tcPr>
            <w:tcW w:w="5529" w:type="dxa"/>
          </w:tcPr>
          <w:p w14:paraId="4534FC87" w14:textId="77777777" w:rsidR="00E3753A" w:rsidRPr="00E3753A" w:rsidRDefault="00E3753A" w:rsidP="00E3753A">
            <w:pPr>
              <w:pStyle w:val="TableLeft"/>
            </w:pPr>
            <w:r w:rsidRPr="00843688">
              <w:t>Salary increase rate</w:t>
            </w:r>
          </w:p>
        </w:tc>
        <w:tc>
          <w:tcPr>
            <w:tcW w:w="1350" w:type="dxa"/>
          </w:tcPr>
          <w:p w14:paraId="1CC8A9CD" w14:textId="77777777" w:rsidR="00E3753A" w:rsidRPr="00843688" w:rsidRDefault="00E3753A" w:rsidP="00E3753A">
            <w:pPr>
              <w:pStyle w:val="TableRight"/>
            </w:pPr>
          </w:p>
        </w:tc>
        <w:tc>
          <w:tcPr>
            <w:tcW w:w="1350" w:type="dxa"/>
          </w:tcPr>
          <w:p w14:paraId="5926E062" w14:textId="77777777" w:rsidR="00E3753A" w:rsidRPr="00E3753A" w:rsidRDefault="00E3753A" w:rsidP="00E3753A">
            <w:pPr>
              <w:pStyle w:val="TableRight"/>
            </w:pPr>
            <w:r w:rsidRPr="00843688">
              <w:t>3.0 </w:t>
            </w:r>
          </w:p>
        </w:tc>
        <w:tc>
          <w:tcPr>
            <w:tcW w:w="1351" w:type="dxa"/>
          </w:tcPr>
          <w:p w14:paraId="437AF14F" w14:textId="77777777" w:rsidR="00E3753A" w:rsidRPr="00E3753A" w:rsidRDefault="00E3753A" w:rsidP="00E3753A">
            <w:pPr>
              <w:pStyle w:val="TableRight"/>
            </w:pPr>
            <w:r w:rsidRPr="00843688">
              <w:t>3.</w:t>
            </w:r>
            <w:r w:rsidRPr="00E3753A">
              <w:t>5 </w:t>
            </w:r>
          </w:p>
        </w:tc>
      </w:tr>
      <w:tr w:rsidR="00E3753A" w:rsidRPr="00843688" w14:paraId="6FB7747F" w14:textId="77777777" w:rsidTr="007241DA">
        <w:tc>
          <w:tcPr>
            <w:tcW w:w="5529" w:type="dxa"/>
          </w:tcPr>
          <w:p w14:paraId="2ADEB21E" w14:textId="77777777" w:rsidR="00E3753A" w:rsidRPr="00E3753A" w:rsidRDefault="00E3753A" w:rsidP="00E3753A">
            <w:pPr>
              <w:pStyle w:val="TableLeft"/>
            </w:pPr>
            <w:r w:rsidRPr="00843688">
              <w:t>Pension increase rate</w:t>
            </w:r>
          </w:p>
        </w:tc>
        <w:tc>
          <w:tcPr>
            <w:tcW w:w="1350" w:type="dxa"/>
          </w:tcPr>
          <w:p w14:paraId="3C63F819" w14:textId="77777777" w:rsidR="00E3753A" w:rsidRPr="00843688" w:rsidRDefault="00E3753A" w:rsidP="00E3753A">
            <w:pPr>
              <w:pStyle w:val="TableRight"/>
            </w:pPr>
          </w:p>
        </w:tc>
        <w:tc>
          <w:tcPr>
            <w:tcW w:w="1350" w:type="dxa"/>
          </w:tcPr>
          <w:p w14:paraId="6231B0B2" w14:textId="77777777" w:rsidR="00E3753A" w:rsidRPr="00E3753A" w:rsidRDefault="00E3753A" w:rsidP="00E3753A">
            <w:pPr>
              <w:pStyle w:val="TableRight"/>
            </w:pPr>
            <w:r>
              <w:t>2.25</w:t>
            </w:r>
            <w:r w:rsidRPr="00E3753A">
              <w:t> </w:t>
            </w:r>
          </w:p>
        </w:tc>
        <w:tc>
          <w:tcPr>
            <w:tcW w:w="1351" w:type="dxa"/>
          </w:tcPr>
          <w:p w14:paraId="27547FCC" w14:textId="3F349350" w:rsidR="00E3753A" w:rsidRPr="00E3753A" w:rsidRDefault="00E3753A" w:rsidP="00E3753A">
            <w:pPr>
              <w:pStyle w:val="TableRight"/>
            </w:pPr>
            <w:r>
              <w:t>3.5 to 2.5</w:t>
            </w:r>
            <w:r w:rsidR="00B54C11" w:rsidRPr="00B54C11">
              <w:rPr>
                <w:rStyle w:val="TableSuperscriptChar"/>
              </w:rPr>
              <w:t>1</w:t>
            </w:r>
            <w:r w:rsidRPr="00E3753A">
              <w:t> </w:t>
            </w:r>
          </w:p>
        </w:tc>
      </w:tr>
      <w:tr w:rsidR="00E3753A" w:rsidRPr="00843688" w14:paraId="10003818" w14:textId="77777777" w:rsidTr="007241DA">
        <w:tc>
          <w:tcPr>
            <w:tcW w:w="5529" w:type="dxa"/>
          </w:tcPr>
          <w:p w14:paraId="6BFD1F99" w14:textId="77777777" w:rsidR="00E3753A" w:rsidRPr="00E3753A" w:rsidRDefault="00E3753A" w:rsidP="00E3753A">
            <w:pPr>
              <w:pStyle w:val="TableLeft"/>
            </w:pPr>
            <w:r w:rsidRPr="00843688">
              <w:t>Asset earnings rate</w:t>
            </w:r>
          </w:p>
        </w:tc>
        <w:tc>
          <w:tcPr>
            <w:tcW w:w="1350" w:type="dxa"/>
          </w:tcPr>
          <w:p w14:paraId="68B22D56" w14:textId="77777777" w:rsidR="00E3753A" w:rsidRPr="00843688" w:rsidRDefault="00E3753A" w:rsidP="00E3753A">
            <w:pPr>
              <w:pStyle w:val="TableRight"/>
            </w:pPr>
          </w:p>
        </w:tc>
        <w:tc>
          <w:tcPr>
            <w:tcW w:w="1350" w:type="dxa"/>
          </w:tcPr>
          <w:p w14:paraId="168226B8" w14:textId="77777777" w:rsidR="00E3753A" w:rsidRPr="00E3753A" w:rsidRDefault="00E3753A" w:rsidP="00E3753A">
            <w:pPr>
              <w:pStyle w:val="TableRight"/>
            </w:pPr>
            <w:r>
              <w:t>2.5</w:t>
            </w:r>
            <w:r w:rsidRPr="00E3753A">
              <w:t> </w:t>
            </w:r>
          </w:p>
        </w:tc>
        <w:tc>
          <w:tcPr>
            <w:tcW w:w="1351" w:type="dxa"/>
          </w:tcPr>
          <w:p w14:paraId="1A141898" w14:textId="77777777" w:rsidR="00E3753A" w:rsidRPr="00E3753A" w:rsidRDefault="00E3753A" w:rsidP="00E3753A">
            <w:pPr>
              <w:pStyle w:val="TableRight"/>
            </w:pPr>
            <w:r>
              <w:t>4.0</w:t>
            </w:r>
            <w:r w:rsidRPr="00E3753A">
              <w:t> </w:t>
            </w:r>
          </w:p>
        </w:tc>
      </w:tr>
      <w:tr w:rsidR="00E3753A" w:rsidRPr="00843688" w14:paraId="44CAD6F3" w14:textId="77777777" w:rsidTr="007241DA">
        <w:tc>
          <w:tcPr>
            <w:tcW w:w="5529" w:type="dxa"/>
            <w:tcBorders>
              <w:bottom w:val="single" w:sz="4" w:space="0" w:color="auto"/>
            </w:tcBorders>
          </w:tcPr>
          <w:p w14:paraId="73749F06" w14:textId="77777777" w:rsidR="00E3753A" w:rsidRPr="00843688" w:rsidRDefault="00E3753A" w:rsidP="00E3753A">
            <w:pPr>
              <w:pStyle w:val="TableLeft"/>
            </w:pPr>
          </w:p>
        </w:tc>
        <w:tc>
          <w:tcPr>
            <w:tcW w:w="1350" w:type="dxa"/>
            <w:tcBorders>
              <w:bottom w:val="single" w:sz="4" w:space="0" w:color="auto"/>
            </w:tcBorders>
          </w:tcPr>
          <w:p w14:paraId="5C058CC2" w14:textId="77777777" w:rsidR="00E3753A" w:rsidRPr="00843688" w:rsidRDefault="00E3753A" w:rsidP="00E3753A">
            <w:pPr>
              <w:pStyle w:val="TableRight"/>
            </w:pPr>
          </w:p>
        </w:tc>
        <w:tc>
          <w:tcPr>
            <w:tcW w:w="1350" w:type="dxa"/>
            <w:tcBorders>
              <w:bottom w:val="single" w:sz="4" w:space="0" w:color="auto"/>
            </w:tcBorders>
          </w:tcPr>
          <w:p w14:paraId="5BF5D7C0" w14:textId="77777777" w:rsidR="00E3753A" w:rsidRPr="00843688" w:rsidRDefault="00E3753A" w:rsidP="00E3753A">
            <w:pPr>
              <w:pStyle w:val="TableRight"/>
            </w:pPr>
          </w:p>
        </w:tc>
        <w:tc>
          <w:tcPr>
            <w:tcW w:w="1351" w:type="dxa"/>
            <w:tcBorders>
              <w:bottom w:val="single" w:sz="4" w:space="0" w:color="auto"/>
            </w:tcBorders>
          </w:tcPr>
          <w:p w14:paraId="0162C276" w14:textId="77777777" w:rsidR="00E3753A" w:rsidRPr="00843688" w:rsidRDefault="00E3753A" w:rsidP="00E3753A">
            <w:pPr>
              <w:pStyle w:val="TableRight"/>
            </w:pPr>
          </w:p>
        </w:tc>
      </w:tr>
    </w:tbl>
    <w:p w14:paraId="34A4F6F4" w14:textId="77777777" w:rsidR="00E3753A" w:rsidRPr="00843688" w:rsidRDefault="00E3753A" w:rsidP="00E3753A">
      <w:pPr>
        <w:pStyle w:val="NotesHeading"/>
      </w:pPr>
      <w:r w:rsidRPr="00843688">
        <w:t>Note:</w:t>
      </w:r>
    </w:p>
    <w:p w14:paraId="37A2C94E" w14:textId="5F9B8426" w:rsidR="00E3753A" w:rsidRPr="00994257" w:rsidRDefault="00E3753A" w:rsidP="00964183">
      <w:pPr>
        <w:pStyle w:val="Notes0"/>
        <w:numPr>
          <w:ilvl w:val="0"/>
          <w:numId w:val="8"/>
        </w:numPr>
      </w:pPr>
      <w:r>
        <w:t>Pension increase rate 3.5 per cent for 2023-24 Budget and 2024-25 Forward</w:t>
      </w:r>
      <w:r w:rsidR="00232062">
        <w:t> </w:t>
      </w:r>
      <w:r>
        <w:t>Estimate; 3.0 per cent for 2025-26 Forward</w:t>
      </w:r>
      <w:r w:rsidR="00232062">
        <w:t> </w:t>
      </w:r>
      <w:r>
        <w:t>Estimate; and 2.5 per cent thereafter.</w:t>
      </w:r>
    </w:p>
    <w:p w14:paraId="70B48D71" w14:textId="77777777" w:rsidR="00947F22" w:rsidRDefault="00947F22" w:rsidP="00C9030D">
      <w:pPr>
        <w:pStyle w:val="Body"/>
        <w:spacing w:after="0"/>
      </w:pPr>
    </w:p>
    <w:p w14:paraId="6A72513E" w14:textId="1074851E" w:rsidR="00E3753A" w:rsidRPr="00843688" w:rsidRDefault="00E3753A" w:rsidP="00E3753A">
      <w:pPr>
        <w:pStyle w:val="Body"/>
      </w:pPr>
      <w:r w:rsidRPr="00843688">
        <w:t>It is important to recognise that the actuarial estimate is a snapshot of a scheme’s estimated financial position at a particular point in time, and that the actuarial results do not predict a scheme’s future financial position or its ability to pay benefits in the future. Over time, a scheme’s total cost will depend on a number of factors, including the amount of benefits the scheme pays, the number of people paid benefits (for example mortality and marital status are estimated), scheme expenses and the amount earned on any assets invested to pay the benefits. These variables will change over the life of the liability. The variables are uncertain at the valuation date and are estimated by the Actuary.</w:t>
      </w:r>
    </w:p>
    <w:p w14:paraId="3EA3B03C" w14:textId="107642E4" w:rsidR="00E3753A" w:rsidRPr="00843688" w:rsidRDefault="00E3753A" w:rsidP="00E3753A">
      <w:pPr>
        <w:pStyle w:val="Body"/>
      </w:pPr>
      <w:r w:rsidRPr="00843688">
        <w:t>The 202</w:t>
      </w:r>
      <w:r>
        <w:t>2</w:t>
      </w:r>
      <w:r w:rsidRPr="00843688">
        <w:t>-2</w:t>
      </w:r>
      <w:r>
        <w:t>3</w:t>
      </w:r>
      <w:r w:rsidRPr="00843688">
        <w:t xml:space="preserve"> Budget was based on a discount rate of </w:t>
      </w:r>
      <w:r>
        <w:t>2.5</w:t>
      </w:r>
      <w:r w:rsidRPr="00843688">
        <w:t> per cent, which was calcu</w:t>
      </w:r>
      <w:r>
        <w:t>lated using a point in time, 10 </w:t>
      </w:r>
      <w:r w:rsidRPr="00843688">
        <w:t xml:space="preserve">year Government Bond </w:t>
      </w:r>
      <w:r>
        <w:t>rate rounded to the nearest 0.5 per </w:t>
      </w:r>
      <w:r w:rsidRPr="00843688">
        <w:t xml:space="preserve">cent. Bond rates have been increasing and as a result, the discount rate applied to determine the Superannuation </w:t>
      </w:r>
      <w:r w:rsidR="000C4043">
        <w:t>l</w:t>
      </w:r>
      <w:r w:rsidRPr="00843688">
        <w:t>iability for the 202</w:t>
      </w:r>
      <w:r>
        <w:t>3</w:t>
      </w:r>
      <w:r>
        <w:noBreakHyphen/>
      </w:r>
      <w:r w:rsidRPr="00843688">
        <w:t>2</w:t>
      </w:r>
      <w:r>
        <w:t>4 </w:t>
      </w:r>
      <w:r w:rsidRPr="00843688">
        <w:t xml:space="preserve">Budget has increased to </w:t>
      </w:r>
      <w:r>
        <w:t>4.0</w:t>
      </w:r>
      <w:r w:rsidRPr="00843688">
        <w:t> per</w:t>
      </w:r>
      <w:r w:rsidR="00232062">
        <w:t> </w:t>
      </w:r>
      <w:r w:rsidRPr="00843688">
        <w:t>cent, which is based on the current 1</w:t>
      </w:r>
      <w:r>
        <w:t>5</w:t>
      </w:r>
      <w:r w:rsidRPr="00843688">
        <w:t> year Government Bond rate</w:t>
      </w:r>
      <w:r>
        <w:t xml:space="preserve"> rounded to the nearest 0.5 per cent.</w:t>
      </w:r>
    </w:p>
    <w:p w14:paraId="28ACB92D" w14:textId="2A41FAFD" w:rsidR="00E3753A" w:rsidRPr="00843688" w:rsidRDefault="00E3753A" w:rsidP="00E3753A">
      <w:pPr>
        <w:pStyle w:val="Body"/>
      </w:pPr>
      <w:r w:rsidRPr="00843688">
        <w:t>There is a strong inverse relationship between the discount rate and the valuation of the liability. Chart 7.9 shows the impact of an increase or decrease of 50</w:t>
      </w:r>
      <w:r w:rsidR="00232062">
        <w:t> </w:t>
      </w:r>
      <w:r w:rsidRPr="00843688">
        <w:t xml:space="preserve">basis points in the average discount rate used to value the General Government </w:t>
      </w:r>
      <w:r w:rsidR="00B039E1">
        <w:t xml:space="preserve">Sector </w:t>
      </w:r>
      <w:r w:rsidRPr="00843688">
        <w:t xml:space="preserve">Superannuation liability. The base rate column represents the estimated present value of the superannuation liability (gross) as at 30 June in each year valued by the Actuary using a discount rate of </w:t>
      </w:r>
      <w:r>
        <w:t>4.0</w:t>
      </w:r>
      <w:r w:rsidRPr="00843688">
        <w:t> per cent.</w:t>
      </w:r>
    </w:p>
    <w:p w14:paraId="24F51F07" w14:textId="4B56C5F7" w:rsidR="00E3753A" w:rsidRPr="00843688" w:rsidRDefault="00E3753A" w:rsidP="00E3753A">
      <w:pPr>
        <w:pStyle w:val="Heading6"/>
      </w:pPr>
      <w:r w:rsidRPr="00843688">
        <w:lastRenderedPageBreak/>
        <w:t>Chart 7.9:</w:t>
      </w:r>
      <w:r w:rsidRPr="00843688">
        <w:tab/>
        <w:t xml:space="preserve">Sensitivity Analysis of the General Government </w:t>
      </w:r>
      <w:r w:rsidR="003D594D">
        <w:t xml:space="preserve">Sector </w:t>
      </w:r>
      <w:r w:rsidRPr="00843688">
        <w:t>Superannuation Liability as at 30 June</w:t>
      </w:r>
    </w:p>
    <w:p w14:paraId="6AB402DE" w14:textId="12233A91" w:rsidR="00E3753A" w:rsidRPr="00843688" w:rsidRDefault="00051136" w:rsidP="00E3753A">
      <w:pPr>
        <w:pStyle w:val="Body"/>
      </w:pPr>
      <w:r>
        <w:rPr>
          <w:noProof/>
        </w:rPr>
        <w:drawing>
          <wp:inline distT="0" distB="0" distL="0" distR="0" wp14:anchorId="4FE17E98" wp14:editId="66E79526">
            <wp:extent cx="6084570" cy="3096895"/>
            <wp:effectExtent l="0" t="0" r="0" b="8255"/>
            <wp:docPr id="21" name="Picture 21" descr="Sensitivity Analysis of the General Government Sector Superannuation Liability as at 30 June&#10;The chart demonstrates that there is a strong inverse relationship between the discount rate and the valuation of the liability and shows the impact of an increase or decrease of 0.5 per cent in the average discount rate used to value the General Government Superannuation 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nsitivity Analysis of the General Government Sector Superannuation Liability as at 30 June&#10;The chart demonstrates that there is a strong inverse relationship between the discount rate and the valuation of the liability and shows the impact of an increase or decrease of 0.5 per cent in the average discount rate used to value the General Government Superannuation Liab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16DEE8C0" w14:textId="006009F8" w:rsidR="00E3753A" w:rsidRPr="00843688" w:rsidRDefault="00E3753A" w:rsidP="00E3753A">
      <w:pPr>
        <w:pStyle w:val="Body"/>
      </w:pPr>
      <w:r w:rsidRPr="00843688">
        <w:t>Movements in the discount rate assumption have a significant impact on the valuation of the superannuation liability at any point of time. However, these movements have no impact on the cash flows required to meet the emerging cost of benefits paid to members. The asset earnings rate is an assumption that impact</w:t>
      </w:r>
      <w:r>
        <w:t>s</w:t>
      </w:r>
      <w:r w:rsidRPr="00843688">
        <w:t xml:space="preserve"> on the cash cost of employer contributions. A change in the asset earnings rate will directly impact on the value of Plan Assets.</w:t>
      </w:r>
    </w:p>
    <w:p w14:paraId="0093C906" w14:textId="5D79DDDD" w:rsidR="00E3753A" w:rsidRPr="00843688" w:rsidRDefault="00E3753A" w:rsidP="00E3753A">
      <w:pPr>
        <w:pStyle w:val="Body"/>
      </w:pPr>
      <w:r w:rsidRPr="00843688">
        <w:t xml:space="preserve">Chart 7.10 shows the value of Plan Assets based on a number of different asset earning rate assumptions, ranging from the Budget assumption of </w:t>
      </w:r>
      <w:r w:rsidR="00787F19">
        <w:t>4</w:t>
      </w:r>
      <w:r w:rsidRPr="00843688">
        <w:t xml:space="preserve"> per cent up to </w:t>
      </w:r>
      <w:r w:rsidR="00787F19">
        <w:t>7</w:t>
      </w:r>
      <w:r w:rsidRPr="00843688">
        <w:t> per cent.</w:t>
      </w:r>
    </w:p>
    <w:p w14:paraId="4093924B" w14:textId="2107CD7B" w:rsidR="00E3753A" w:rsidRPr="00843688" w:rsidRDefault="00E3753A" w:rsidP="00E3753A">
      <w:pPr>
        <w:pStyle w:val="Heading6"/>
      </w:pPr>
      <w:r w:rsidRPr="00843688">
        <w:t>Chart 7.10:</w:t>
      </w:r>
      <w:r w:rsidRPr="00843688">
        <w:tab/>
        <w:t xml:space="preserve">General Government </w:t>
      </w:r>
      <w:r w:rsidR="003D594D">
        <w:t xml:space="preserve">Sector </w:t>
      </w:r>
      <w:r w:rsidRPr="00843688">
        <w:t>Superannuation Plan Assets based on different Asset Earning Rates</w:t>
      </w:r>
    </w:p>
    <w:p w14:paraId="1788EBA9" w14:textId="74A6F738" w:rsidR="00E27F5E" w:rsidRDefault="00051136" w:rsidP="00E27F5E">
      <w:pPr>
        <w:pStyle w:val="Body"/>
      </w:pPr>
      <w:r>
        <w:rPr>
          <w:noProof/>
        </w:rPr>
        <w:drawing>
          <wp:inline distT="0" distB="0" distL="0" distR="0" wp14:anchorId="45283F07" wp14:editId="5CF1A1E6">
            <wp:extent cx="6084570" cy="3096895"/>
            <wp:effectExtent l="0" t="0" r="0" b="8255"/>
            <wp:docPr id="22" name="Picture 22" descr="General Government Sector Superannuation Plan Assets based on different Asset Earning Rates&#10;The chart demonstrates that the higher the asset earning rate, the higher the level of General Government Superannuation Plan Assets. Under all scenarios, asset levels decrease and fall to zero by 2059. The six per cent and seven per cent scenarios show a slight increase to 2029 before decreasing to zero by 205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eneral Government Sector Superannuation Plan Assets based on different Asset Earning Rates&#10;The chart demonstrates that the higher the asset earning rate, the higher the level of General Government Superannuation Plan Assets. Under all scenarios, asset levels decrease and fall to zero by 2059. The six per cent and seven per cent scenarios show a slight increase to 2029 before decreasing to zero by 2059.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6F2BBC47" w14:textId="4882F8AD" w:rsidR="00185FDC" w:rsidRPr="00843688" w:rsidRDefault="00185FDC" w:rsidP="00185FDC">
      <w:pPr>
        <w:pStyle w:val="Body"/>
      </w:pPr>
      <w:r w:rsidRPr="00843688">
        <w:lastRenderedPageBreak/>
        <w:t>An increase in Plan Assets will have an impact on the cash</w:t>
      </w:r>
      <w:r>
        <w:noBreakHyphen/>
      </w:r>
      <w:r w:rsidRPr="00843688">
        <w:t>based cost of Employer contributions as more assets are available to be used to fund the emerging cost of the liability. The difference in Employer contributions under each scenario for asset earning rates is shown in Chart</w:t>
      </w:r>
      <w:r w:rsidR="00955508">
        <w:t xml:space="preserve"> </w:t>
      </w:r>
      <w:r w:rsidRPr="00843688">
        <w:t>7.11. The chart shows an increase in the asset earning rate can reduce the cash cost of employer contributions over the life of the scheme.</w:t>
      </w:r>
    </w:p>
    <w:p w14:paraId="7BE2E4FA" w14:textId="2CF7EFAE" w:rsidR="00185FDC" w:rsidRPr="00843688" w:rsidRDefault="00185FDC" w:rsidP="00185FDC">
      <w:pPr>
        <w:pStyle w:val="Heading6"/>
      </w:pPr>
      <w:r w:rsidRPr="00843688">
        <w:t>Chart 7.11:</w:t>
      </w:r>
      <w:r w:rsidRPr="00843688">
        <w:tab/>
        <w:t xml:space="preserve">General Government </w:t>
      </w:r>
      <w:r w:rsidR="003D594D">
        <w:t xml:space="preserve">Sector </w:t>
      </w:r>
      <w:r w:rsidRPr="00843688">
        <w:t>Employer Contributions based on different Asset Earning Rates</w:t>
      </w:r>
    </w:p>
    <w:p w14:paraId="7B544530" w14:textId="302BE3DC" w:rsidR="0072222F" w:rsidRDefault="00051136" w:rsidP="0072222F">
      <w:pPr>
        <w:pStyle w:val="Body"/>
      </w:pPr>
      <w:r>
        <w:rPr>
          <w:noProof/>
        </w:rPr>
        <w:drawing>
          <wp:inline distT="0" distB="0" distL="0" distR="0" wp14:anchorId="25CD946D" wp14:editId="35CD0D3D">
            <wp:extent cx="6084570" cy="3096895"/>
            <wp:effectExtent l="0" t="0" r="0" b="8255"/>
            <wp:docPr id="23" name="Picture 23" descr="General Government Sector Employer Contributions based on different Asset Earning Rates&#10;The chart demonstrates that the higher the asset earning rate, the higher the level of General Government Sector Employer Contributions. Under the seven per cent scenario, contributions peak in 2033-34. Under all other scenarios, contributions peak in 2034-35. Contributions fall to zero in 2084 under all scenar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eneral Government Sector Employer Contributions based on different Asset Earning Rates&#10;The chart demonstrates that the higher the asset earning rate, the higher the level of General Government Sector Employer Contributions. Under the seven per cent scenario, contributions peak in 2033-34. Under all other scenarios, contributions peak in 2034-35. Contributions fall to zero in 2084 under all scenario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5E04713C" w14:textId="77777777" w:rsidR="00185FDC" w:rsidRPr="00843688" w:rsidRDefault="00185FDC" w:rsidP="00185FDC">
      <w:pPr>
        <w:pStyle w:val="Heading4"/>
      </w:pPr>
      <w:r w:rsidRPr="00843688">
        <w:t>Total State Sector Superannuation</w:t>
      </w:r>
    </w:p>
    <w:p w14:paraId="6B78F5A4" w14:textId="41808920" w:rsidR="00185FDC" w:rsidRPr="00843688" w:rsidRDefault="00185FDC" w:rsidP="00185FDC">
      <w:pPr>
        <w:pStyle w:val="Body"/>
      </w:pPr>
      <w:r w:rsidRPr="00843688">
        <w:t xml:space="preserve">The Total State </w:t>
      </w:r>
      <w:r w:rsidR="00955508">
        <w:t xml:space="preserve">Sector </w:t>
      </w:r>
      <w:r w:rsidRPr="00843688">
        <w:t>Superannuation Liability as at 30 June 202</w:t>
      </w:r>
      <w:r>
        <w:t>4</w:t>
      </w:r>
      <w:r w:rsidRPr="00843688">
        <w:t xml:space="preserve"> is estimated to be $</w:t>
      </w:r>
      <w:r>
        <w:t>8</w:t>
      </w:r>
      <w:r w:rsidRPr="00843688">
        <w:t> </w:t>
      </w:r>
      <w:r>
        <w:t>325.8</w:t>
      </w:r>
      <w:r w:rsidRPr="00843688">
        <w:t> million, which is comprised of the estimated present value of the liability of $1</w:t>
      </w:r>
      <w:r>
        <w:t>0</w:t>
      </w:r>
      <w:r w:rsidRPr="00843688">
        <w:t> </w:t>
      </w:r>
      <w:r>
        <w:t>433.5</w:t>
      </w:r>
      <w:r w:rsidRPr="00843688">
        <w:t> million less the estimated fair value of plan assets of $2 1</w:t>
      </w:r>
      <w:r>
        <w:t>0</w:t>
      </w:r>
      <w:r w:rsidRPr="00843688">
        <w:t>7.</w:t>
      </w:r>
      <w:r>
        <w:t>7</w:t>
      </w:r>
      <w:r w:rsidRPr="00843688">
        <w:t xml:space="preserve"> million. Total State </w:t>
      </w:r>
      <w:r w:rsidR="00955508">
        <w:t xml:space="preserve">Sector </w:t>
      </w:r>
      <w:r w:rsidRPr="00843688">
        <w:t>Superannuation includes government businesses.</w:t>
      </w:r>
    </w:p>
    <w:p w14:paraId="1A749588" w14:textId="4C5E3EF7" w:rsidR="00185FDC" w:rsidRPr="00843688" w:rsidRDefault="00185FDC" w:rsidP="00185FDC">
      <w:pPr>
        <w:pStyle w:val="Heading6"/>
      </w:pPr>
      <w:r w:rsidRPr="00843688">
        <w:t>Table 7.10:</w:t>
      </w:r>
      <w:r w:rsidRPr="00843688">
        <w:tab/>
        <w:t xml:space="preserve">Total State </w:t>
      </w:r>
      <w:r w:rsidR="00955508">
        <w:t xml:space="preserve">Sector </w:t>
      </w:r>
      <w:r w:rsidRPr="00843688">
        <w:t>Superannuation Liability as at 30 June</w:t>
      </w:r>
    </w:p>
    <w:tbl>
      <w:tblPr>
        <w:tblW w:w="9637" w:type="dxa"/>
        <w:jc w:val="center"/>
        <w:tblLayout w:type="fixed"/>
        <w:tblCellMar>
          <w:left w:w="28" w:type="dxa"/>
          <w:right w:w="28" w:type="dxa"/>
        </w:tblCellMar>
        <w:tblLook w:val="0000" w:firstRow="0" w:lastRow="0" w:firstColumn="0" w:lastColumn="0" w:noHBand="0" w:noVBand="0"/>
      </w:tblPr>
      <w:tblGrid>
        <w:gridCol w:w="3685"/>
        <w:gridCol w:w="992"/>
        <w:gridCol w:w="992"/>
        <w:gridCol w:w="992"/>
        <w:gridCol w:w="992"/>
        <w:gridCol w:w="992"/>
        <w:gridCol w:w="992"/>
      </w:tblGrid>
      <w:tr w:rsidR="00185FDC" w:rsidRPr="00843688" w14:paraId="7C5B0D19" w14:textId="77777777" w:rsidTr="00D35118">
        <w:trPr>
          <w:jc w:val="center"/>
        </w:trPr>
        <w:tc>
          <w:tcPr>
            <w:tcW w:w="3685" w:type="dxa"/>
            <w:tcBorders>
              <w:top w:val="single" w:sz="4" w:space="0" w:color="auto"/>
              <w:left w:val="nil"/>
              <w:right w:val="nil"/>
            </w:tcBorders>
            <w:shd w:val="clear" w:color="auto" w:fill="auto"/>
            <w:vAlign w:val="bottom"/>
          </w:tcPr>
          <w:p w14:paraId="05994D1D" w14:textId="77777777" w:rsidR="00185FDC" w:rsidRPr="00843688" w:rsidRDefault="00185FDC" w:rsidP="001732D5">
            <w:pPr>
              <w:pStyle w:val="TableRightHeading"/>
            </w:pPr>
          </w:p>
        </w:tc>
        <w:tc>
          <w:tcPr>
            <w:tcW w:w="992" w:type="dxa"/>
            <w:tcBorders>
              <w:top w:val="single" w:sz="4" w:space="0" w:color="auto"/>
              <w:left w:val="nil"/>
              <w:right w:val="nil"/>
            </w:tcBorders>
            <w:vAlign w:val="bottom"/>
          </w:tcPr>
          <w:p w14:paraId="23F2F7E0" w14:textId="4906E757" w:rsidR="00185FDC" w:rsidRPr="00185FDC" w:rsidRDefault="00185FDC" w:rsidP="001732D5">
            <w:pPr>
              <w:pStyle w:val="TableRightHeading"/>
            </w:pPr>
            <w:r w:rsidRPr="00843688">
              <w:t>202</w:t>
            </w:r>
            <w:r w:rsidRPr="00185FDC">
              <w:t>3</w:t>
            </w:r>
          </w:p>
        </w:tc>
        <w:tc>
          <w:tcPr>
            <w:tcW w:w="992" w:type="dxa"/>
            <w:tcBorders>
              <w:top w:val="single" w:sz="4" w:space="0" w:color="auto"/>
              <w:left w:val="nil"/>
              <w:right w:val="nil"/>
            </w:tcBorders>
            <w:shd w:val="clear" w:color="auto" w:fill="auto"/>
            <w:vAlign w:val="bottom"/>
          </w:tcPr>
          <w:p w14:paraId="31A86EFB" w14:textId="6EBB927A" w:rsidR="00185FDC" w:rsidRPr="00185FDC" w:rsidRDefault="00185FDC" w:rsidP="001732D5">
            <w:pPr>
              <w:pStyle w:val="TableRightHeading"/>
            </w:pPr>
            <w:r w:rsidRPr="00843688">
              <w:t>202</w:t>
            </w:r>
            <w:r w:rsidRPr="00185FDC">
              <w:t>3 </w:t>
            </w:r>
          </w:p>
        </w:tc>
        <w:tc>
          <w:tcPr>
            <w:tcW w:w="992" w:type="dxa"/>
            <w:tcBorders>
              <w:top w:val="single" w:sz="4" w:space="0" w:color="auto"/>
              <w:left w:val="nil"/>
              <w:right w:val="nil"/>
            </w:tcBorders>
            <w:shd w:val="clear" w:color="auto" w:fill="auto"/>
            <w:vAlign w:val="bottom"/>
          </w:tcPr>
          <w:p w14:paraId="6B17F537" w14:textId="3B567E00" w:rsidR="00185FDC" w:rsidRPr="00185FDC" w:rsidRDefault="00185FDC" w:rsidP="001732D5">
            <w:pPr>
              <w:pStyle w:val="TableRightHeading"/>
            </w:pPr>
            <w:r w:rsidRPr="00843688">
              <w:t>202</w:t>
            </w:r>
            <w:r w:rsidRPr="00185FDC">
              <w:t>4 </w:t>
            </w:r>
          </w:p>
        </w:tc>
        <w:tc>
          <w:tcPr>
            <w:tcW w:w="992" w:type="dxa"/>
            <w:tcBorders>
              <w:top w:val="single" w:sz="4" w:space="0" w:color="auto"/>
              <w:left w:val="nil"/>
              <w:right w:val="nil"/>
            </w:tcBorders>
            <w:vAlign w:val="bottom"/>
          </w:tcPr>
          <w:p w14:paraId="27D2954A" w14:textId="5F1C7C9F" w:rsidR="00185FDC" w:rsidRPr="00185FDC" w:rsidRDefault="00185FDC" w:rsidP="001732D5">
            <w:pPr>
              <w:pStyle w:val="TableRightHeading"/>
            </w:pPr>
            <w:r w:rsidRPr="00843688">
              <w:t>202</w:t>
            </w:r>
            <w:r w:rsidRPr="00185FDC">
              <w:t>5</w:t>
            </w:r>
          </w:p>
        </w:tc>
        <w:tc>
          <w:tcPr>
            <w:tcW w:w="992" w:type="dxa"/>
            <w:tcBorders>
              <w:top w:val="single" w:sz="4" w:space="0" w:color="auto"/>
              <w:left w:val="nil"/>
              <w:right w:val="nil"/>
            </w:tcBorders>
            <w:shd w:val="clear" w:color="auto" w:fill="auto"/>
            <w:vAlign w:val="bottom"/>
          </w:tcPr>
          <w:p w14:paraId="67D597BF" w14:textId="4CEDECB5" w:rsidR="00185FDC" w:rsidRPr="00185FDC" w:rsidRDefault="00185FDC" w:rsidP="001732D5">
            <w:pPr>
              <w:pStyle w:val="TableRightHeading"/>
            </w:pPr>
            <w:r w:rsidRPr="00843688">
              <w:t>202</w:t>
            </w:r>
            <w:r w:rsidRPr="00185FDC">
              <w:t>6</w:t>
            </w:r>
          </w:p>
        </w:tc>
        <w:tc>
          <w:tcPr>
            <w:tcW w:w="992" w:type="dxa"/>
            <w:tcBorders>
              <w:top w:val="single" w:sz="4" w:space="0" w:color="auto"/>
              <w:left w:val="nil"/>
              <w:right w:val="nil"/>
            </w:tcBorders>
            <w:shd w:val="clear" w:color="auto" w:fill="auto"/>
            <w:vAlign w:val="bottom"/>
          </w:tcPr>
          <w:p w14:paraId="065B6C6C" w14:textId="3759B65B" w:rsidR="00185FDC" w:rsidRPr="00185FDC" w:rsidRDefault="00185FDC" w:rsidP="001732D5">
            <w:pPr>
              <w:pStyle w:val="TableRightHeading"/>
            </w:pPr>
            <w:r w:rsidRPr="00843688">
              <w:t>202</w:t>
            </w:r>
            <w:r w:rsidRPr="00185FDC">
              <w:t>7</w:t>
            </w:r>
          </w:p>
        </w:tc>
      </w:tr>
      <w:tr w:rsidR="00232062" w:rsidRPr="00843688" w14:paraId="43DACBF5" w14:textId="77777777" w:rsidTr="00D35118">
        <w:trPr>
          <w:jc w:val="center"/>
        </w:trPr>
        <w:tc>
          <w:tcPr>
            <w:tcW w:w="3685" w:type="dxa"/>
            <w:tcBorders>
              <w:left w:val="nil"/>
              <w:right w:val="nil"/>
            </w:tcBorders>
            <w:shd w:val="clear" w:color="auto" w:fill="auto"/>
            <w:vAlign w:val="bottom"/>
          </w:tcPr>
          <w:p w14:paraId="5DCEBFBE" w14:textId="77777777" w:rsidR="00232062" w:rsidRPr="00843688" w:rsidRDefault="00232062" w:rsidP="001732D5">
            <w:pPr>
              <w:pStyle w:val="TableRightHeading"/>
            </w:pPr>
          </w:p>
        </w:tc>
        <w:tc>
          <w:tcPr>
            <w:tcW w:w="992" w:type="dxa"/>
            <w:tcBorders>
              <w:left w:val="nil"/>
              <w:right w:val="nil"/>
            </w:tcBorders>
            <w:vAlign w:val="bottom"/>
          </w:tcPr>
          <w:p w14:paraId="5F9EC419" w14:textId="77777777" w:rsidR="00232062" w:rsidRPr="00843688" w:rsidRDefault="00232062" w:rsidP="001732D5">
            <w:pPr>
              <w:pStyle w:val="TableRightHeading"/>
            </w:pPr>
          </w:p>
        </w:tc>
        <w:tc>
          <w:tcPr>
            <w:tcW w:w="992" w:type="dxa"/>
            <w:tcBorders>
              <w:left w:val="nil"/>
              <w:right w:val="nil"/>
            </w:tcBorders>
            <w:shd w:val="clear" w:color="auto" w:fill="auto"/>
            <w:vAlign w:val="bottom"/>
          </w:tcPr>
          <w:p w14:paraId="68D5D862" w14:textId="2F32F81F" w:rsidR="00232062" w:rsidRPr="00843688" w:rsidRDefault="00232062" w:rsidP="001732D5">
            <w:pPr>
              <w:pStyle w:val="TableRightHeading"/>
            </w:pPr>
            <w:r w:rsidRPr="00843688">
              <w:t>Estimated</w:t>
            </w:r>
          </w:p>
        </w:tc>
        <w:tc>
          <w:tcPr>
            <w:tcW w:w="992" w:type="dxa"/>
            <w:tcBorders>
              <w:left w:val="nil"/>
              <w:right w:val="nil"/>
            </w:tcBorders>
            <w:shd w:val="clear" w:color="auto" w:fill="auto"/>
            <w:vAlign w:val="bottom"/>
          </w:tcPr>
          <w:p w14:paraId="6EDB179E" w14:textId="77777777" w:rsidR="00232062" w:rsidRPr="00843688" w:rsidRDefault="00232062" w:rsidP="001732D5">
            <w:pPr>
              <w:pStyle w:val="TableRightHeading"/>
            </w:pPr>
          </w:p>
        </w:tc>
        <w:tc>
          <w:tcPr>
            <w:tcW w:w="992" w:type="dxa"/>
            <w:tcBorders>
              <w:left w:val="nil"/>
              <w:right w:val="nil"/>
            </w:tcBorders>
            <w:vAlign w:val="bottom"/>
          </w:tcPr>
          <w:p w14:paraId="6625F771" w14:textId="347CDDDA" w:rsidR="00232062" w:rsidRPr="00843688" w:rsidRDefault="00232062" w:rsidP="001732D5">
            <w:pPr>
              <w:pStyle w:val="TableRightHeading"/>
            </w:pPr>
            <w:r w:rsidRPr="00843688">
              <w:t>Forward </w:t>
            </w:r>
          </w:p>
        </w:tc>
        <w:tc>
          <w:tcPr>
            <w:tcW w:w="992" w:type="dxa"/>
            <w:tcBorders>
              <w:left w:val="nil"/>
              <w:right w:val="nil"/>
            </w:tcBorders>
            <w:shd w:val="clear" w:color="auto" w:fill="auto"/>
            <w:vAlign w:val="bottom"/>
          </w:tcPr>
          <w:p w14:paraId="59928B62" w14:textId="0324C5A4" w:rsidR="00232062" w:rsidRPr="00843688" w:rsidRDefault="00232062" w:rsidP="001732D5">
            <w:pPr>
              <w:pStyle w:val="TableRightHeading"/>
            </w:pPr>
            <w:r w:rsidRPr="00843688">
              <w:t>Forward </w:t>
            </w:r>
          </w:p>
        </w:tc>
        <w:tc>
          <w:tcPr>
            <w:tcW w:w="992" w:type="dxa"/>
            <w:tcBorders>
              <w:left w:val="nil"/>
              <w:right w:val="nil"/>
            </w:tcBorders>
            <w:shd w:val="clear" w:color="auto" w:fill="auto"/>
            <w:vAlign w:val="bottom"/>
          </w:tcPr>
          <w:p w14:paraId="65FA0691" w14:textId="0403E0D0" w:rsidR="00232062" w:rsidRPr="00843688" w:rsidRDefault="00232062" w:rsidP="001732D5">
            <w:pPr>
              <w:pStyle w:val="TableRightHeading"/>
            </w:pPr>
            <w:r w:rsidRPr="00843688">
              <w:t>Forward </w:t>
            </w:r>
          </w:p>
        </w:tc>
      </w:tr>
      <w:tr w:rsidR="00232062" w:rsidRPr="00843688" w14:paraId="4BA6C803" w14:textId="77777777" w:rsidTr="00D35118">
        <w:trPr>
          <w:jc w:val="center"/>
        </w:trPr>
        <w:tc>
          <w:tcPr>
            <w:tcW w:w="3685" w:type="dxa"/>
            <w:tcBorders>
              <w:left w:val="nil"/>
              <w:bottom w:val="single" w:sz="4" w:space="0" w:color="auto"/>
              <w:right w:val="nil"/>
            </w:tcBorders>
            <w:shd w:val="clear" w:color="auto" w:fill="auto"/>
            <w:vAlign w:val="bottom"/>
          </w:tcPr>
          <w:p w14:paraId="669D29F7" w14:textId="77777777" w:rsidR="00232062" w:rsidRPr="00843688" w:rsidRDefault="00232062" w:rsidP="001732D5">
            <w:pPr>
              <w:pStyle w:val="TableRightHeading"/>
            </w:pPr>
          </w:p>
        </w:tc>
        <w:tc>
          <w:tcPr>
            <w:tcW w:w="992" w:type="dxa"/>
            <w:tcBorders>
              <w:left w:val="nil"/>
              <w:bottom w:val="single" w:sz="4" w:space="0" w:color="auto"/>
              <w:right w:val="nil"/>
            </w:tcBorders>
            <w:vAlign w:val="bottom"/>
          </w:tcPr>
          <w:p w14:paraId="365FD1DB" w14:textId="1362B833" w:rsidR="00232062" w:rsidRPr="00843688" w:rsidRDefault="00232062" w:rsidP="001732D5">
            <w:pPr>
              <w:pStyle w:val="TableRightHeading"/>
            </w:pPr>
            <w:r w:rsidRPr="00843688">
              <w:t>Budget </w:t>
            </w:r>
          </w:p>
        </w:tc>
        <w:tc>
          <w:tcPr>
            <w:tcW w:w="992" w:type="dxa"/>
            <w:tcBorders>
              <w:left w:val="nil"/>
              <w:bottom w:val="single" w:sz="4" w:space="0" w:color="auto"/>
              <w:right w:val="nil"/>
            </w:tcBorders>
            <w:shd w:val="clear" w:color="auto" w:fill="auto"/>
            <w:vAlign w:val="bottom"/>
          </w:tcPr>
          <w:p w14:paraId="15029255" w14:textId="159EA2D9" w:rsidR="00232062" w:rsidRPr="001732D5" w:rsidRDefault="00232062" w:rsidP="001732D5">
            <w:pPr>
              <w:pStyle w:val="TableRightHeading"/>
              <w:rPr>
                <w:bCs/>
              </w:rPr>
            </w:pPr>
            <w:r w:rsidRPr="00843688">
              <w:t>Outcome </w:t>
            </w:r>
          </w:p>
        </w:tc>
        <w:tc>
          <w:tcPr>
            <w:tcW w:w="992" w:type="dxa"/>
            <w:tcBorders>
              <w:left w:val="nil"/>
              <w:bottom w:val="single" w:sz="4" w:space="0" w:color="auto"/>
              <w:right w:val="nil"/>
            </w:tcBorders>
            <w:shd w:val="clear" w:color="auto" w:fill="auto"/>
            <w:vAlign w:val="bottom"/>
          </w:tcPr>
          <w:p w14:paraId="1EB47D34" w14:textId="2FCE9F64" w:rsidR="00232062" w:rsidRPr="00843688" w:rsidRDefault="00232062" w:rsidP="001732D5">
            <w:pPr>
              <w:pStyle w:val="TableRightHeading"/>
            </w:pPr>
            <w:r w:rsidRPr="00843688">
              <w:t>Budget </w:t>
            </w:r>
          </w:p>
        </w:tc>
        <w:tc>
          <w:tcPr>
            <w:tcW w:w="992" w:type="dxa"/>
            <w:tcBorders>
              <w:left w:val="nil"/>
              <w:bottom w:val="single" w:sz="4" w:space="0" w:color="auto"/>
              <w:right w:val="nil"/>
            </w:tcBorders>
            <w:vAlign w:val="bottom"/>
          </w:tcPr>
          <w:p w14:paraId="0D3401D2" w14:textId="5825C037" w:rsidR="00232062" w:rsidRPr="00843688" w:rsidRDefault="00232062" w:rsidP="001732D5">
            <w:pPr>
              <w:pStyle w:val="TableRightHeading"/>
            </w:pPr>
            <w:r w:rsidRPr="00843688">
              <w:t>Estimate </w:t>
            </w:r>
          </w:p>
        </w:tc>
        <w:tc>
          <w:tcPr>
            <w:tcW w:w="992" w:type="dxa"/>
            <w:tcBorders>
              <w:left w:val="nil"/>
              <w:bottom w:val="single" w:sz="4" w:space="0" w:color="auto"/>
              <w:right w:val="nil"/>
            </w:tcBorders>
            <w:shd w:val="clear" w:color="auto" w:fill="auto"/>
            <w:vAlign w:val="bottom"/>
          </w:tcPr>
          <w:p w14:paraId="1F36852C" w14:textId="5EA5D519" w:rsidR="00232062" w:rsidRPr="00843688" w:rsidRDefault="00232062" w:rsidP="001732D5">
            <w:pPr>
              <w:pStyle w:val="TableRightHeading"/>
            </w:pPr>
            <w:r w:rsidRPr="00843688">
              <w:t>Estimate </w:t>
            </w:r>
          </w:p>
        </w:tc>
        <w:tc>
          <w:tcPr>
            <w:tcW w:w="992" w:type="dxa"/>
            <w:tcBorders>
              <w:left w:val="nil"/>
              <w:bottom w:val="single" w:sz="4" w:space="0" w:color="auto"/>
              <w:right w:val="nil"/>
            </w:tcBorders>
            <w:shd w:val="clear" w:color="auto" w:fill="auto"/>
            <w:vAlign w:val="bottom"/>
          </w:tcPr>
          <w:p w14:paraId="099F9F16" w14:textId="4E91072A" w:rsidR="00232062" w:rsidRPr="00843688" w:rsidRDefault="00232062" w:rsidP="001732D5">
            <w:pPr>
              <w:pStyle w:val="TableRightHeading"/>
            </w:pPr>
            <w:r w:rsidRPr="00185FDC">
              <w:t>Estimate </w:t>
            </w:r>
          </w:p>
        </w:tc>
      </w:tr>
      <w:tr w:rsidR="00185FDC" w:rsidRPr="00843688" w14:paraId="67982149" w14:textId="77777777" w:rsidTr="00D35118">
        <w:trPr>
          <w:jc w:val="center"/>
        </w:trPr>
        <w:tc>
          <w:tcPr>
            <w:tcW w:w="3685" w:type="dxa"/>
            <w:tcBorders>
              <w:top w:val="single" w:sz="4" w:space="0" w:color="auto"/>
              <w:left w:val="nil"/>
              <w:bottom w:val="nil"/>
              <w:right w:val="nil"/>
            </w:tcBorders>
            <w:shd w:val="clear" w:color="auto" w:fill="auto"/>
            <w:noWrap/>
            <w:vAlign w:val="bottom"/>
          </w:tcPr>
          <w:p w14:paraId="4C127C2E" w14:textId="77777777" w:rsidR="00185FDC" w:rsidRPr="00843688" w:rsidRDefault="00185FDC" w:rsidP="00185FDC">
            <w:pPr>
              <w:pStyle w:val="TableRightHeading"/>
            </w:pPr>
          </w:p>
        </w:tc>
        <w:tc>
          <w:tcPr>
            <w:tcW w:w="992" w:type="dxa"/>
            <w:tcBorders>
              <w:top w:val="single" w:sz="4" w:space="0" w:color="auto"/>
              <w:left w:val="nil"/>
              <w:bottom w:val="nil"/>
              <w:right w:val="nil"/>
            </w:tcBorders>
            <w:vAlign w:val="bottom"/>
          </w:tcPr>
          <w:p w14:paraId="7C32D38A" w14:textId="77777777" w:rsidR="00185FDC" w:rsidRPr="00185FDC" w:rsidRDefault="00185FDC" w:rsidP="00185FDC">
            <w:pPr>
              <w:pStyle w:val="TableRightHeading"/>
            </w:pPr>
            <w:r w:rsidRPr="00843688">
              <w:t>$m </w:t>
            </w:r>
          </w:p>
        </w:tc>
        <w:tc>
          <w:tcPr>
            <w:tcW w:w="992" w:type="dxa"/>
            <w:tcBorders>
              <w:top w:val="single" w:sz="4" w:space="0" w:color="auto"/>
              <w:left w:val="nil"/>
              <w:bottom w:val="nil"/>
              <w:right w:val="nil"/>
            </w:tcBorders>
            <w:shd w:val="clear" w:color="auto" w:fill="auto"/>
            <w:noWrap/>
            <w:vAlign w:val="bottom"/>
          </w:tcPr>
          <w:p w14:paraId="44EA4560" w14:textId="77777777" w:rsidR="00185FDC" w:rsidRPr="00185FDC" w:rsidRDefault="00185FDC" w:rsidP="00185FDC">
            <w:pPr>
              <w:pStyle w:val="TableRightHeading"/>
            </w:pPr>
            <w:r w:rsidRPr="00843688">
              <w:t>$m </w:t>
            </w:r>
          </w:p>
        </w:tc>
        <w:tc>
          <w:tcPr>
            <w:tcW w:w="992" w:type="dxa"/>
            <w:tcBorders>
              <w:top w:val="single" w:sz="4" w:space="0" w:color="auto"/>
              <w:left w:val="nil"/>
              <w:bottom w:val="nil"/>
              <w:right w:val="nil"/>
            </w:tcBorders>
            <w:shd w:val="clear" w:color="auto" w:fill="auto"/>
            <w:noWrap/>
            <w:vAlign w:val="bottom"/>
          </w:tcPr>
          <w:p w14:paraId="6A74519C" w14:textId="77777777" w:rsidR="00185FDC" w:rsidRPr="00185FDC" w:rsidRDefault="00185FDC" w:rsidP="00185FDC">
            <w:pPr>
              <w:pStyle w:val="TableRightHeading"/>
            </w:pPr>
            <w:r w:rsidRPr="00843688">
              <w:t>$m </w:t>
            </w:r>
          </w:p>
        </w:tc>
        <w:tc>
          <w:tcPr>
            <w:tcW w:w="992" w:type="dxa"/>
            <w:tcBorders>
              <w:top w:val="single" w:sz="4" w:space="0" w:color="auto"/>
              <w:left w:val="nil"/>
              <w:bottom w:val="nil"/>
              <w:right w:val="nil"/>
            </w:tcBorders>
            <w:vAlign w:val="bottom"/>
          </w:tcPr>
          <w:p w14:paraId="0B6BB06E" w14:textId="77777777" w:rsidR="00185FDC" w:rsidRPr="00185FDC" w:rsidRDefault="00185FDC" w:rsidP="00185FDC">
            <w:pPr>
              <w:pStyle w:val="TableRightHeading"/>
            </w:pPr>
            <w:r w:rsidRPr="00843688">
              <w:t>$m </w:t>
            </w:r>
          </w:p>
        </w:tc>
        <w:tc>
          <w:tcPr>
            <w:tcW w:w="992" w:type="dxa"/>
            <w:tcBorders>
              <w:top w:val="single" w:sz="4" w:space="0" w:color="auto"/>
              <w:left w:val="nil"/>
              <w:bottom w:val="nil"/>
              <w:right w:val="nil"/>
            </w:tcBorders>
            <w:shd w:val="clear" w:color="auto" w:fill="auto"/>
            <w:noWrap/>
            <w:vAlign w:val="bottom"/>
          </w:tcPr>
          <w:p w14:paraId="3D5C2EDF" w14:textId="77777777" w:rsidR="00185FDC" w:rsidRPr="00185FDC" w:rsidRDefault="00185FDC" w:rsidP="00185FDC">
            <w:pPr>
              <w:pStyle w:val="TableRightHeading"/>
            </w:pPr>
            <w:r w:rsidRPr="00843688">
              <w:t>$m </w:t>
            </w:r>
          </w:p>
        </w:tc>
        <w:tc>
          <w:tcPr>
            <w:tcW w:w="992" w:type="dxa"/>
            <w:tcBorders>
              <w:top w:val="single" w:sz="4" w:space="0" w:color="auto"/>
              <w:left w:val="nil"/>
              <w:bottom w:val="nil"/>
              <w:right w:val="nil"/>
            </w:tcBorders>
            <w:shd w:val="clear" w:color="auto" w:fill="auto"/>
            <w:noWrap/>
            <w:vAlign w:val="bottom"/>
          </w:tcPr>
          <w:p w14:paraId="147F02B9" w14:textId="77777777" w:rsidR="00185FDC" w:rsidRPr="00185FDC" w:rsidRDefault="00185FDC" w:rsidP="00185FDC">
            <w:pPr>
              <w:pStyle w:val="TableRightHeading"/>
            </w:pPr>
            <w:r w:rsidRPr="00843688">
              <w:t>$m </w:t>
            </w:r>
          </w:p>
        </w:tc>
      </w:tr>
      <w:tr w:rsidR="00185FDC" w:rsidRPr="00843688" w14:paraId="3F151F0A" w14:textId="77777777" w:rsidTr="00D35118">
        <w:trPr>
          <w:jc w:val="center"/>
        </w:trPr>
        <w:tc>
          <w:tcPr>
            <w:tcW w:w="3685" w:type="dxa"/>
            <w:tcBorders>
              <w:top w:val="nil"/>
              <w:left w:val="nil"/>
              <w:bottom w:val="nil"/>
              <w:right w:val="nil"/>
            </w:tcBorders>
            <w:shd w:val="clear" w:color="auto" w:fill="auto"/>
            <w:noWrap/>
            <w:vAlign w:val="bottom"/>
          </w:tcPr>
          <w:p w14:paraId="5241E28F" w14:textId="77777777" w:rsidR="00185FDC" w:rsidRPr="00843688" w:rsidRDefault="00185FDC" w:rsidP="00185FDC">
            <w:pPr>
              <w:pStyle w:val="TableRight"/>
            </w:pPr>
          </w:p>
        </w:tc>
        <w:tc>
          <w:tcPr>
            <w:tcW w:w="992" w:type="dxa"/>
            <w:tcBorders>
              <w:top w:val="nil"/>
              <w:left w:val="nil"/>
              <w:bottom w:val="nil"/>
              <w:right w:val="nil"/>
            </w:tcBorders>
            <w:vAlign w:val="bottom"/>
          </w:tcPr>
          <w:p w14:paraId="449D5726" w14:textId="77777777" w:rsidR="00185FDC" w:rsidRPr="00843688" w:rsidRDefault="00185FDC" w:rsidP="00185FDC">
            <w:pPr>
              <w:pStyle w:val="TableRight"/>
            </w:pPr>
          </w:p>
        </w:tc>
        <w:tc>
          <w:tcPr>
            <w:tcW w:w="992" w:type="dxa"/>
            <w:tcBorders>
              <w:top w:val="nil"/>
              <w:left w:val="nil"/>
              <w:bottom w:val="nil"/>
              <w:right w:val="nil"/>
            </w:tcBorders>
            <w:shd w:val="clear" w:color="auto" w:fill="auto"/>
            <w:noWrap/>
            <w:vAlign w:val="bottom"/>
          </w:tcPr>
          <w:p w14:paraId="6325266B" w14:textId="77777777" w:rsidR="00185FDC" w:rsidRPr="00843688" w:rsidRDefault="00185FDC" w:rsidP="00185FDC">
            <w:pPr>
              <w:pStyle w:val="TableRight"/>
            </w:pPr>
          </w:p>
        </w:tc>
        <w:tc>
          <w:tcPr>
            <w:tcW w:w="992" w:type="dxa"/>
            <w:tcBorders>
              <w:top w:val="nil"/>
              <w:left w:val="nil"/>
              <w:bottom w:val="nil"/>
              <w:right w:val="nil"/>
            </w:tcBorders>
            <w:shd w:val="clear" w:color="auto" w:fill="auto"/>
            <w:noWrap/>
            <w:vAlign w:val="bottom"/>
          </w:tcPr>
          <w:p w14:paraId="233FBA01" w14:textId="77777777" w:rsidR="00185FDC" w:rsidRPr="00843688" w:rsidRDefault="00185FDC" w:rsidP="00185FDC">
            <w:pPr>
              <w:pStyle w:val="TableRight"/>
            </w:pPr>
          </w:p>
        </w:tc>
        <w:tc>
          <w:tcPr>
            <w:tcW w:w="992" w:type="dxa"/>
            <w:tcBorders>
              <w:top w:val="nil"/>
              <w:left w:val="nil"/>
              <w:bottom w:val="nil"/>
              <w:right w:val="nil"/>
            </w:tcBorders>
            <w:vAlign w:val="bottom"/>
          </w:tcPr>
          <w:p w14:paraId="5ECF77C0" w14:textId="77777777" w:rsidR="00185FDC" w:rsidRPr="00843688" w:rsidRDefault="00185FDC" w:rsidP="00185FDC">
            <w:pPr>
              <w:pStyle w:val="TableRight"/>
            </w:pPr>
          </w:p>
        </w:tc>
        <w:tc>
          <w:tcPr>
            <w:tcW w:w="992" w:type="dxa"/>
            <w:tcBorders>
              <w:top w:val="nil"/>
              <w:left w:val="nil"/>
              <w:bottom w:val="nil"/>
              <w:right w:val="nil"/>
            </w:tcBorders>
            <w:shd w:val="clear" w:color="auto" w:fill="auto"/>
            <w:noWrap/>
            <w:vAlign w:val="bottom"/>
          </w:tcPr>
          <w:p w14:paraId="5831F437" w14:textId="77777777" w:rsidR="00185FDC" w:rsidRPr="00843688" w:rsidRDefault="00185FDC" w:rsidP="00185FDC">
            <w:pPr>
              <w:pStyle w:val="TableRight"/>
            </w:pPr>
          </w:p>
        </w:tc>
        <w:tc>
          <w:tcPr>
            <w:tcW w:w="992" w:type="dxa"/>
            <w:tcBorders>
              <w:top w:val="nil"/>
              <w:left w:val="nil"/>
              <w:bottom w:val="nil"/>
              <w:right w:val="nil"/>
            </w:tcBorders>
            <w:shd w:val="clear" w:color="auto" w:fill="auto"/>
            <w:noWrap/>
            <w:vAlign w:val="bottom"/>
          </w:tcPr>
          <w:p w14:paraId="0F72B84D" w14:textId="77777777" w:rsidR="00185FDC" w:rsidRPr="00843688" w:rsidRDefault="00185FDC" w:rsidP="00185FDC">
            <w:pPr>
              <w:pStyle w:val="TableRight"/>
            </w:pPr>
          </w:p>
        </w:tc>
      </w:tr>
      <w:tr w:rsidR="00185FDC" w:rsidRPr="00843688" w14:paraId="74D42FDE" w14:textId="77777777" w:rsidTr="00D35118">
        <w:trPr>
          <w:jc w:val="center"/>
        </w:trPr>
        <w:tc>
          <w:tcPr>
            <w:tcW w:w="3685" w:type="dxa"/>
            <w:tcBorders>
              <w:top w:val="nil"/>
              <w:left w:val="nil"/>
              <w:right w:val="nil"/>
            </w:tcBorders>
            <w:shd w:val="clear" w:color="auto" w:fill="auto"/>
            <w:vAlign w:val="bottom"/>
          </w:tcPr>
          <w:p w14:paraId="28549DE6" w14:textId="77777777" w:rsidR="00185FDC" w:rsidRPr="00185FDC" w:rsidRDefault="00185FDC" w:rsidP="00185FDC">
            <w:pPr>
              <w:pStyle w:val="TableLeft"/>
            </w:pPr>
            <w:r w:rsidRPr="00843688">
              <w:t xml:space="preserve">Present value of superannuation liability </w:t>
            </w:r>
          </w:p>
        </w:tc>
        <w:tc>
          <w:tcPr>
            <w:tcW w:w="992" w:type="dxa"/>
            <w:tcBorders>
              <w:top w:val="nil"/>
              <w:left w:val="nil"/>
              <w:right w:val="nil"/>
            </w:tcBorders>
            <w:shd w:val="clear" w:color="auto" w:fill="auto"/>
            <w:vAlign w:val="center"/>
          </w:tcPr>
          <w:p w14:paraId="513A3D2C" w14:textId="77777777" w:rsidR="00185FDC" w:rsidRPr="00185FDC" w:rsidRDefault="00185FDC" w:rsidP="00185FDC">
            <w:pPr>
              <w:pStyle w:val="TableRight"/>
            </w:pPr>
            <w:r w:rsidRPr="00843688">
              <w:t>1</w:t>
            </w:r>
            <w:r w:rsidRPr="00185FDC">
              <w:t>1 191.0 </w:t>
            </w:r>
          </w:p>
        </w:tc>
        <w:tc>
          <w:tcPr>
            <w:tcW w:w="992" w:type="dxa"/>
            <w:tcBorders>
              <w:top w:val="nil"/>
              <w:left w:val="nil"/>
              <w:right w:val="nil"/>
            </w:tcBorders>
            <w:shd w:val="clear" w:color="auto" w:fill="auto"/>
            <w:noWrap/>
            <w:vAlign w:val="center"/>
          </w:tcPr>
          <w:p w14:paraId="424998CD" w14:textId="77777777" w:rsidR="00185FDC" w:rsidRPr="00185FDC" w:rsidRDefault="00185FDC" w:rsidP="00185FDC">
            <w:pPr>
              <w:pStyle w:val="TableRight"/>
            </w:pPr>
            <w:r w:rsidRPr="00843688">
              <w:t>1</w:t>
            </w:r>
            <w:r w:rsidRPr="00185FDC">
              <w:t>0 438.7 </w:t>
            </w:r>
          </w:p>
        </w:tc>
        <w:tc>
          <w:tcPr>
            <w:tcW w:w="992" w:type="dxa"/>
            <w:tcBorders>
              <w:top w:val="nil"/>
              <w:left w:val="nil"/>
              <w:right w:val="nil"/>
            </w:tcBorders>
            <w:shd w:val="clear" w:color="auto" w:fill="auto"/>
            <w:noWrap/>
            <w:vAlign w:val="center"/>
          </w:tcPr>
          <w:p w14:paraId="1C77C5D2" w14:textId="77777777" w:rsidR="00185FDC" w:rsidRPr="00185FDC" w:rsidRDefault="00185FDC" w:rsidP="00185FDC">
            <w:pPr>
              <w:pStyle w:val="TableRight"/>
            </w:pPr>
            <w:r w:rsidRPr="00843688">
              <w:t>1</w:t>
            </w:r>
            <w:r w:rsidRPr="00185FDC">
              <w:t>0 433.5 </w:t>
            </w:r>
          </w:p>
        </w:tc>
        <w:tc>
          <w:tcPr>
            <w:tcW w:w="992" w:type="dxa"/>
            <w:tcBorders>
              <w:top w:val="nil"/>
              <w:left w:val="nil"/>
              <w:right w:val="nil"/>
            </w:tcBorders>
            <w:vAlign w:val="center"/>
          </w:tcPr>
          <w:p w14:paraId="39ECB87F" w14:textId="77777777" w:rsidR="00185FDC" w:rsidRPr="00185FDC" w:rsidRDefault="00185FDC" w:rsidP="00185FDC">
            <w:pPr>
              <w:pStyle w:val="TableRight"/>
            </w:pPr>
            <w:r w:rsidRPr="00843688">
              <w:t>1</w:t>
            </w:r>
            <w:r w:rsidRPr="00185FDC">
              <w:t>0 393.6 </w:t>
            </w:r>
          </w:p>
        </w:tc>
        <w:tc>
          <w:tcPr>
            <w:tcW w:w="992" w:type="dxa"/>
            <w:tcBorders>
              <w:top w:val="nil"/>
              <w:left w:val="nil"/>
              <w:right w:val="nil"/>
            </w:tcBorders>
            <w:shd w:val="clear" w:color="auto" w:fill="auto"/>
            <w:noWrap/>
            <w:vAlign w:val="center"/>
          </w:tcPr>
          <w:p w14:paraId="496EA43F" w14:textId="77777777" w:rsidR="00185FDC" w:rsidRPr="00185FDC" w:rsidRDefault="00185FDC" w:rsidP="00185FDC">
            <w:pPr>
              <w:pStyle w:val="TableRight"/>
            </w:pPr>
            <w:r w:rsidRPr="00843688">
              <w:t xml:space="preserve">10 </w:t>
            </w:r>
            <w:r w:rsidRPr="00185FDC">
              <w:t>326.6 </w:t>
            </w:r>
          </w:p>
        </w:tc>
        <w:tc>
          <w:tcPr>
            <w:tcW w:w="992" w:type="dxa"/>
            <w:tcBorders>
              <w:top w:val="nil"/>
              <w:left w:val="nil"/>
              <w:right w:val="nil"/>
            </w:tcBorders>
            <w:shd w:val="clear" w:color="auto" w:fill="auto"/>
            <w:noWrap/>
            <w:vAlign w:val="center"/>
          </w:tcPr>
          <w:p w14:paraId="349FE2FF" w14:textId="25CF1CB2" w:rsidR="00185FDC" w:rsidRPr="00185FDC" w:rsidRDefault="00185FDC" w:rsidP="00185FDC">
            <w:pPr>
              <w:pStyle w:val="TableRight"/>
            </w:pPr>
            <w:r w:rsidRPr="00843688">
              <w:t>10</w:t>
            </w:r>
            <w:r w:rsidR="00787F19">
              <w:t xml:space="preserve"> </w:t>
            </w:r>
            <w:r w:rsidRPr="00185FDC">
              <w:t>231.3 </w:t>
            </w:r>
          </w:p>
        </w:tc>
      </w:tr>
      <w:tr w:rsidR="00185FDC" w:rsidRPr="00843688" w14:paraId="46048D0E" w14:textId="77777777" w:rsidTr="00D35118">
        <w:trPr>
          <w:jc w:val="center"/>
        </w:trPr>
        <w:tc>
          <w:tcPr>
            <w:tcW w:w="3685" w:type="dxa"/>
            <w:tcBorders>
              <w:top w:val="nil"/>
              <w:left w:val="nil"/>
              <w:right w:val="nil"/>
            </w:tcBorders>
            <w:shd w:val="clear" w:color="auto" w:fill="auto"/>
            <w:vAlign w:val="bottom"/>
          </w:tcPr>
          <w:p w14:paraId="0B3D52AF" w14:textId="77777777" w:rsidR="00185FDC" w:rsidRPr="00185FDC" w:rsidRDefault="00185FDC" w:rsidP="00185FDC">
            <w:pPr>
              <w:pStyle w:val="TableLeft"/>
            </w:pPr>
            <w:r w:rsidRPr="00843688">
              <w:t>Fair value of plan assets</w:t>
            </w:r>
          </w:p>
        </w:tc>
        <w:tc>
          <w:tcPr>
            <w:tcW w:w="992" w:type="dxa"/>
            <w:tcBorders>
              <w:top w:val="nil"/>
              <w:left w:val="nil"/>
              <w:right w:val="nil"/>
            </w:tcBorders>
            <w:shd w:val="clear" w:color="auto" w:fill="auto"/>
            <w:vAlign w:val="center"/>
          </w:tcPr>
          <w:p w14:paraId="4A99C0F1" w14:textId="77777777" w:rsidR="00185FDC" w:rsidRPr="00185FDC" w:rsidRDefault="00185FDC" w:rsidP="00185FDC">
            <w:pPr>
              <w:pStyle w:val="TableRight"/>
            </w:pPr>
            <w:r w:rsidRPr="00843688">
              <w:t xml:space="preserve">(2 </w:t>
            </w:r>
            <w:r w:rsidRPr="00185FDC">
              <w:t>187.8)</w:t>
            </w:r>
          </w:p>
        </w:tc>
        <w:tc>
          <w:tcPr>
            <w:tcW w:w="992" w:type="dxa"/>
            <w:tcBorders>
              <w:top w:val="nil"/>
              <w:left w:val="nil"/>
              <w:right w:val="nil"/>
            </w:tcBorders>
            <w:shd w:val="clear" w:color="auto" w:fill="auto"/>
            <w:noWrap/>
            <w:vAlign w:val="center"/>
          </w:tcPr>
          <w:p w14:paraId="078BAE54" w14:textId="77777777" w:rsidR="00185FDC" w:rsidRPr="00185FDC" w:rsidRDefault="00185FDC" w:rsidP="00185FDC">
            <w:pPr>
              <w:pStyle w:val="TableRight"/>
            </w:pPr>
            <w:r w:rsidRPr="00843688">
              <w:t xml:space="preserve">(2 </w:t>
            </w:r>
            <w:r w:rsidRPr="00185FDC">
              <w:t>128.6)</w:t>
            </w:r>
          </w:p>
        </w:tc>
        <w:tc>
          <w:tcPr>
            <w:tcW w:w="992" w:type="dxa"/>
            <w:tcBorders>
              <w:top w:val="nil"/>
              <w:left w:val="nil"/>
              <w:right w:val="nil"/>
            </w:tcBorders>
            <w:shd w:val="clear" w:color="auto" w:fill="auto"/>
            <w:noWrap/>
            <w:vAlign w:val="center"/>
          </w:tcPr>
          <w:p w14:paraId="14AB78A7" w14:textId="77777777" w:rsidR="00185FDC" w:rsidRPr="00185FDC" w:rsidRDefault="00185FDC" w:rsidP="00185FDC">
            <w:pPr>
              <w:pStyle w:val="TableRight"/>
            </w:pPr>
            <w:r w:rsidRPr="00843688">
              <w:t>(2 1</w:t>
            </w:r>
            <w:r w:rsidRPr="00185FDC">
              <w:t>07.7)</w:t>
            </w:r>
          </w:p>
        </w:tc>
        <w:tc>
          <w:tcPr>
            <w:tcW w:w="992" w:type="dxa"/>
            <w:tcBorders>
              <w:top w:val="nil"/>
              <w:left w:val="nil"/>
              <w:right w:val="nil"/>
            </w:tcBorders>
            <w:vAlign w:val="center"/>
          </w:tcPr>
          <w:p w14:paraId="1140519F" w14:textId="77777777" w:rsidR="00185FDC" w:rsidRPr="00185FDC" w:rsidRDefault="00185FDC" w:rsidP="00185FDC">
            <w:pPr>
              <w:pStyle w:val="TableRight"/>
            </w:pPr>
            <w:r w:rsidRPr="00843688">
              <w:t xml:space="preserve">(2 </w:t>
            </w:r>
            <w:r w:rsidRPr="00185FDC">
              <w:t>074.8)</w:t>
            </w:r>
          </w:p>
        </w:tc>
        <w:tc>
          <w:tcPr>
            <w:tcW w:w="992" w:type="dxa"/>
            <w:tcBorders>
              <w:top w:val="nil"/>
              <w:left w:val="nil"/>
              <w:right w:val="nil"/>
            </w:tcBorders>
            <w:shd w:val="clear" w:color="auto" w:fill="auto"/>
            <w:noWrap/>
            <w:vAlign w:val="center"/>
          </w:tcPr>
          <w:p w14:paraId="6B880804" w14:textId="77777777" w:rsidR="00185FDC" w:rsidRPr="00185FDC" w:rsidRDefault="00185FDC" w:rsidP="00185FDC">
            <w:pPr>
              <w:pStyle w:val="TableRight"/>
            </w:pPr>
            <w:r w:rsidRPr="00843688">
              <w:t>(2 0</w:t>
            </w:r>
            <w:r w:rsidRPr="00185FDC">
              <w:t>33.6)</w:t>
            </w:r>
          </w:p>
        </w:tc>
        <w:tc>
          <w:tcPr>
            <w:tcW w:w="992" w:type="dxa"/>
            <w:tcBorders>
              <w:top w:val="nil"/>
              <w:left w:val="nil"/>
              <w:right w:val="nil"/>
            </w:tcBorders>
            <w:shd w:val="clear" w:color="auto" w:fill="auto"/>
            <w:noWrap/>
            <w:vAlign w:val="center"/>
          </w:tcPr>
          <w:p w14:paraId="5CA877B0" w14:textId="77777777" w:rsidR="00185FDC" w:rsidRPr="00185FDC" w:rsidRDefault="00185FDC" w:rsidP="00185FDC">
            <w:pPr>
              <w:pStyle w:val="TableRight"/>
            </w:pPr>
            <w:r w:rsidRPr="00843688">
              <w:t>(1 9</w:t>
            </w:r>
            <w:r w:rsidRPr="00185FDC">
              <w:t>83.8)</w:t>
            </w:r>
          </w:p>
        </w:tc>
      </w:tr>
      <w:tr w:rsidR="00185FDC" w:rsidRPr="00843688" w14:paraId="44740404" w14:textId="77777777" w:rsidTr="00D35118">
        <w:trPr>
          <w:jc w:val="center"/>
        </w:trPr>
        <w:tc>
          <w:tcPr>
            <w:tcW w:w="3685" w:type="dxa"/>
            <w:tcBorders>
              <w:left w:val="nil"/>
              <w:bottom w:val="nil"/>
              <w:right w:val="nil"/>
            </w:tcBorders>
            <w:shd w:val="clear" w:color="auto" w:fill="auto"/>
            <w:vAlign w:val="bottom"/>
          </w:tcPr>
          <w:p w14:paraId="37A41E10" w14:textId="77777777" w:rsidR="00185FDC" w:rsidRPr="00843688" w:rsidRDefault="00185FDC" w:rsidP="00185FDC">
            <w:pPr>
              <w:pStyle w:val="TableLeft"/>
            </w:pPr>
          </w:p>
        </w:tc>
        <w:tc>
          <w:tcPr>
            <w:tcW w:w="992" w:type="dxa"/>
            <w:tcBorders>
              <w:left w:val="nil"/>
              <w:bottom w:val="single" w:sz="6" w:space="0" w:color="auto"/>
              <w:right w:val="nil"/>
            </w:tcBorders>
            <w:shd w:val="clear" w:color="auto" w:fill="auto"/>
            <w:vAlign w:val="center"/>
          </w:tcPr>
          <w:p w14:paraId="2E222CB2" w14:textId="77777777" w:rsidR="00185FDC" w:rsidRPr="00185FDC" w:rsidRDefault="00185FDC" w:rsidP="00185FDC">
            <w:pPr>
              <w:pStyle w:val="TableRight"/>
            </w:pPr>
            <w:r w:rsidRPr="00843688">
              <w:t> </w:t>
            </w:r>
          </w:p>
        </w:tc>
        <w:tc>
          <w:tcPr>
            <w:tcW w:w="992" w:type="dxa"/>
            <w:tcBorders>
              <w:left w:val="nil"/>
              <w:bottom w:val="single" w:sz="6" w:space="0" w:color="auto"/>
              <w:right w:val="nil"/>
            </w:tcBorders>
            <w:shd w:val="clear" w:color="auto" w:fill="auto"/>
            <w:noWrap/>
            <w:vAlign w:val="center"/>
          </w:tcPr>
          <w:p w14:paraId="70197D2E" w14:textId="77777777" w:rsidR="00185FDC" w:rsidRPr="00185FDC" w:rsidRDefault="00185FDC" w:rsidP="00185FDC">
            <w:pPr>
              <w:pStyle w:val="TableRight"/>
            </w:pPr>
            <w:r w:rsidRPr="00843688">
              <w:t> </w:t>
            </w:r>
          </w:p>
        </w:tc>
        <w:tc>
          <w:tcPr>
            <w:tcW w:w="992" w:type="dxa"/>
            <w:tcBorders>
              <w:left w:val="nil"/>
              <w:bottom w:val="single" w:sz="6" w:space="0" w:color="auto"/>
              <w:right w:val="nil"/>
            </w:tcBorders>
            <w:shd w:val="clear" w:color="auto" w:fill="auto"/>
            <w:noWrap/>
            <w:vAlign w:val="center"/>
          </w:tcPr>
          <w:p w14:paraId="1CE449B8" w14:textId="77777777" w:rsidR="00185FDC" w:rsidRPr="00185FDC" w:rsidRDefault="00185FDC" w:rsidP="00185FDC">
            <w:pPr>
              <w:pStyle w:val="TableRight"/>
            </w:pPr>
            <w:r w:rsidRPr="00843688">
              <w:t> </w:t>
            </w:r>
          </w:p>
        </w:tc>
        <w:tc>
          <w:tcPr>
            <w:tcW w:w="992" w:type="dxa"/>
            <w:tcBorders>
              <w:left w:val="nil"/>
              <w:bottom w:val="single" w:sz="6" w:space="0" w:color="auto"/>
              <w:right w:val="nil"/>
            </w:tcBorders>
            <w:vAlign w:val="center"/>
          </w:tcPr>
          <w:p w14:paraId="7CECE2FE" w14:textId="77777777" w:rsidR="00185FDC" w:rsidRPr="00185FDC" w:rsidRDefault="00185FDC" w:rsidP="00185FDC">
            <w:pPr>
              <w:pStyle w:val="TableRight"/>
            </w:pPr>
            <w:r w:rsidRPr="00843688">
              <w:t> </w:t>
            </w:r>
          </w:p>
        </w:tc>
        <w:tc>
          <w:tcPr>
            <w:tcW w:w="992" w:type="dxa"/>
            <w:tcBorders>
              <w:left w:val="nil"/>
              <w:bottom w:val="single" w:sz="6" w:space="0" w:color="auto"/>
              <w:right w:val="nil"/>
            </w:tcBorders>
            <w:shd w:val="clear" w:color="auto" w:fill="auto"/>
            <w:noWrap/>
            <w:vAlign w:val="center"/>
          </w:tcPr>
          <w:p w14:paraId="26CD3199" w14:textId="77777777" w:rsidR="00185FDC" w:rsidRPr="00185FDC" w:rsidRDefault="00185FDC" w:rsidP="00185FDC">
            <w:pPr>
              <w:pStyle w:val="TableRight"/>
            </w:pPr>
            <w:r w:rsidRPr="00843688">
              <w:t> </w:t>
            </w:r>
          </w:p>
        </w:tc>
        <w:tc>
          <w:tcPr>
            <w:tcW w:w="992" w:type="dxa"/>
            <w:tcBorders>
              <w:left w:val="nil"/>
              <w:bottom w:val="single" w:sz="6" w:space="0" w:color="auto"/>
              <w:right w:val="nil"/>
            </w:tcBorders>
            <w:shd w:val="clear" w:color="auto" w:fill="auto"/>
            <w:noWrap/>
            <w:vAlign w:val="center"/>
          </w:tcPr>
          <w:p w14:paraId="28F46FDC" w14:textId="77777777" w:rsidR="00185FDC" w:rsidRPr="00185FDC" w:rsidRDefault="00185FDC" w:rsidP="00185FDC">
            <w:pPr>
              <w:pStyle w:val="TableRight"/>
            </w:pPr>
            <w:r w:rsidRPr="00843688">
              <w:t> </w:t>
            </w:r>
          </w:p>
        </w:tc>
      </w:tr>
      <w:tr w:rsidR="00185FDC" w:rsidRPr="00843688" w14:paraId="48512569" w14:textId="77777777" w:rsidTr="00D35118">
        <w:trPr>
          <w:jc w:val="center"/>
        </w:trPr>
        <w:tc>
          <w:tcPr>
            <w:tcW w:w="3685" w:type="dxa"/>
            <w:tcBorders>
              <w:top w:val="nil"/>
              <w:left w:val="nil"/>
              <w:bottom w:val="nil"/>
              <w:right w:val="nil"/>
            </w:tcBorders>
            <w:shd w:val="clear" w:color="auto" w:fill="auto"/>
            <w:noWrap/>
            <w:vAlign w:val="bottom"/>
          </w:tcPr>
          <w:p w14:paraId="31CAF707" w14:textId="77777777" w:rsidR="00185FDC" w:rsidRPr="00185FDC" w:rsidRDefault="00185FDC" w:rsidP="00185FDC">
            <w:pPr>
              <w:pStyle w:val="TableLeftHeading"/>
            </w:pPr>
            <w:r w:rsidRPr="00843688">
              <w:t>Total</w:t>
            </w:r>
          </w:p>
        </w:tc>
        <w:tc>
          <w:tcPr>
            <w:tcW w:w="992" w:type="dxa"/>
            <w:tcBorders>
              <w:top w:val="single" w:sz="6" w:space="0" w:color="auto"/>
              <w:left w:val="nil"/>
              <w:bottom w:val="double" w:sz="6" w:space="0" w:color="auto"/>
              <w:right w:val="nil"/>
            </w:tcBorders>
            <w:shd w:val="clear" w:color="auto" w:fill="auto"/>
            <w:vAlign w:val="center"/>
          </w:tcPr>
          <w:p w14:paraId="52739EC2" w14:textId="77777777" w:rsidR="00185FDC" w:rsidRPr="00185FDC" w:rsidRDefault="00185FDC" w:rsidP="00185FDC">
            <w:pPr>
              <w:pStyle w:val="TableRightHeading"/>
            </w:pPr>
            <w:r>
              <w:t>9</w:t>
            </w:r>
            <w:r w:rsidRPr="00185FDC">
              <w:t xml:space="preserve"> 003.3 </w:t>
            </w:r>
          </w:p>
        </w:tc>
        <w:tc>
          <w:tcPr>
            <w:tcW w:w="992" w:type="dxa"/>
            <w:tcBorders>
              <w:top w:val="single" w:sz="6" w:space="0" w:color="auto"/>
              <w:left w:val="nil"/>
              <w:bottom w:val="double" w:sz="6" w:space="0" w:color="auto"/>
              <w:right w:val="nil"/>
            </w:tcBorders>
            <w:shd w:val="clear" w:color="auto" w:fill="auto"/>
            <w:noWrap/>
            <w:vAlign w:val="center"/>
          </w:tcPr>
          <w:p w14:paraId="389E62CD" w14:textId="77777777" w:rsidR="00185FDC" w:rsidRPr="00185FDC" w:rsidRDefault="00185FDC" w:rsidP="00185FDC">
            <w:pPr>
              <w:pStyle w:val="TableRightHeading"/>
            </w:pPr>
            <w:r>
              <w:t>8</w:t>
            </w:r>
            <w:r w:rsidRPr="00185FDC">
              <w:t xml:space="preserve"> 310.1 </w:t>
            </w:r>
          </w:p>
        </w:tc>
        <w:tc>
          <w:tcPr>
            <w:tcW w:w="992" w:type="dxa"/>
            <w:tcBorders>
              <w:top w:val="single" w:sz="6" w:space="0" w:color="auto"/>
              <w:left w:val="nil"/>
              <w:bottom w:val="double" w:sz="6" w:space="0" w:color="auto"/>
              <w:right w:val="nil"/>
            </w:tcBorders>
            <w:shd w:val="clear" w:color="auto" w:fill="auto"/>
            <w:noWrap/>
            <w:vAlign w:val="center"/>
          </w:tcPr>
          <w:p w14:paraId="2F4122A6" w14:textId="77777777" w:rsidR="00185FDC" w:rsidRPr="00185FDC" w:rsidRDefault="00185FDC" w:rsidP="00185FDC">
            <w:pPr>
              <w:pStyle w:val="TableRightHeading"/>
            </w:pPr>
            <w:r>
              <w:t>8</w:t>
            </w:r>
            <w:r w:rsidRPr="00185FDC">
              <w:t xml:space="preserve"> 325.8 </w:t>
            </w:r>
          </w:p>
        </w:tc>
        <w:tc>
          <w:tcPr>
            <w:tcW w:w="992" w:type="dxa"/>
            <w:tcBorders>
              <w:top w:val="single" w:sz="6" w:space="0" w:color="auto"/>
              <w:left w:val="nil"/>
              <w:bottom w:val="double" w:sz="6" w:space="0" w:color="auto"/>
              <w:right w:val="nil"/>
            </w:tcBorders>
            <w:vAlign w:val="center"/>
          </w:tcPr>
          <w:p w14:paraId="70DAFB6A" w14:textId="77777777" w:rsidR="00185FDC" w:rsidRPr="00185FDC" w:rsidRDefault="00185FDC" w:rsidP="00185FDC">
            <w:pPr>
              <w:pStyle w:val="TableRightHeading"/>
            </w:pPr>
            <w:r w:rsidRPr="00843688">
              <w:t xml:space="preserve">8 </w:t>
            </w:r>
            <w:r w:rsidRPr="00185FDC">
              <w:t>318.7 </w:t>
            </w:r>
          </w:p>
        </w:tc>
        <w:tc>
          <w:tcPr>
            <w:tcW w:w="992" w:type="dxa"/>
            <w:tcBorders>
              <w:top w:val="single" w:sz="6" w:space="0" w:color="auto"/>
              <w:left w:val="nil"/>
              <w:bottom w:val="double" w:sz="6" w:space="0" w:color="auto"/>
              <w:right w:val="nil"/>
            </w:tcBorders>
            <w:shd w:val="clear" w:color="auto" w:fill="auto"/>
            <w:noWrap/>
            <w:vAlign w:val="center"/>
          </w:tcPr>
          <w:p w14:paraId="1BEC0BCB" w14:textId="77777777" w:rsidR="00185FDC" w:rsidRPr="00185FDC" w:rsidRDefault="00185FDC" w:rsidP="00185FDC">
            <w:pPr>
              <w:pStyle w:val="TableRightHeading"/>
            </w:pPr>
            <w:r w:rsidRPr="00843688">
              <w:t xml:space="preserve">8 </w:t>
            </w:r>
            <w:r w:rsidRPr="00185FDC">
              <w:t>293.1 </w:t>
            </w:r>
          </w:p>
        </w:tc>
        <w:tc>
          <w:tcPr>
            <w:tcW w:w="992" w:type="dxa"/>
            <w:tcBorders>
              <w:top w:val="single" w:sz="6" w:space="0" w:color="auto"/>
              <w:left w:val="nil"/>
              <w:bottom w:val="double" w:sz="6" w:space="0" w:color="auto"/>
              <w:right w:val="nil"/>
            </w:tcBorders>
            <w:shd w:val="clear" w:color="auto" w:fill="auto"/>
            <w:noWrap/>
            <w:vAlign w:val="center"/>
          </w:tcPr>
          <w:p w14:paraId="498D2F01" w14:textId="77777777" w:rsidR="00185FDC" w:rsidRPr="00185FDC" w:rsidRDefault="00185FDC" w:rsidP="00185FDC">
            <w:pPr>
              <w:pStyle w:val="TableRightHeading"/>
            </w:pPr>
            <w:r w:rsidRPr="00843688">
              <w:t xml:space="preserve">8 </w:t>
            </w:r>
            <w:r w:rsidRPr="00185FDC">
              <w:t>247.6 </w:t>
            </w:r>
          </w:p>
        </w:tc>
      </w:tr>
      <w:tr w:rsidR="00185FDC" w:rsidRPr="00843688" w14:paraId="62B16A76" w14:textId="77777777" w:rsidTr="00D35118">
        <w:trPr>
          <w:jc w:val="center"/>
        </w:trPr>
        <w:tc>
          <w:tcPr>
            <w:tcW w:w="3685" w:type="dxa"/>
            <w:tcBorders>
              <w:top w:val="nil"/>
              <w:left w:val="nil"/>
              <w:bottom w:val="single" w:sz="4" w:space="0" w:color="auto"/>
              <w:right w:val="nil"/>
            </w:tcBorders>
            <w:shd w:val="clear" w:color="auto" w:fill="auto"/>
            <w:noWrap/>
            <w:vAlign w:val="bottom"/>
          </w:tcPr>
          <w:p w14:paraId="6C150422" w14:textId="77777777" w:rsidR="00185FDC" w:rsidRPr="00843688" w:rsidRDefault="00185FDC" w:rsidP="00185FDC">
            <w:pPr>
              <w:pStyle w:val="TableLeft"/>
            </w:pPr>
          </w:p>
        </w:tc>
        <w:tc>
          <w:tcPr>
            <w:tcW w:w="992" w:type="dxa"/>
            <w:tcBorders>
              <w:top w:val="double" w:sz="6" w:space="0" w:color="auto"/>
              <w:left w:val="nil"/>
              <w:bottom w:val="single" w:sz="4" w:space="0" w:color="auto"/>
              <w:right w:val="nil"/>
            </w:tcBorders>
            <w:vAlign w:val="bottom"/>
          </w:tcPr>
          <w:p w14:paraId="7D4C8821" w14:textId="77777777" w:rsidR="00185FDC" w:rsidRPr="00843688" w:rsidRDefault="00185FDC" w:rsidP="00185FDC">
            <w:pPr>
              <w:pStyle w:val="TableLeft"/>
            </w:pPr>
          </w:p>
        </w:tc>
        <w:tc>
          <w:tcPr>
            <w:tcW w:w="992" w:type="dxa"/>
            <w:tcBorders>
              <w:top w:val="double" w:sz="6" w:space="0" w:color="auto"/>
              <w:left w:val="nil"/>
              <w:bottom w:val="single" w:sz="4" w:space="0" w:color="auto"/>
              <w:right w:val="nil"/>
            </w:tcBorders>
            <w:shd w:val="clear" w:color="auto" w:fill="auto"/>
            <w:noWrap/>
            <w:vAlign w:val="bottom"/>
          </w:tcPr>
          <w:p w14:paraId="7C0F5CE2" w14:textId="77777777" w:rsidR="00185FDC" w:rsidRPr="00843688" w:rsidRDefault="00185FDC" w:rsidP="00185FDC">
            <w:pPr>
              <w:pStyle w:val="TableLeft"/>
            </w:pPr>
          </w:p>
        </w:tc>
        <w:tc>
          <w:tcPr>
            <w:tcW w:w="992" w:type="dxa"/>
            <w:tcBorders>
              <w:top w:val="double" w:sz="6" w:space="0" w:color="auto"/>
              <w:left w:val="nil"/>
              <w:bottom w:val="single" w:sz="4" w:space="0" w:color="auto"/>
              <w:right w:val="nil"/>
            </w:tcBorders>
            <w:shd w:val="clear" w:color="auto" w:fill="auto"/>
            <w:noWrap/>
            <w:vAlign w:val="bottom"/>
          </w:tcPr>
          <w:p w14:paraId="746B56E4" w14:textId="77777777" w:rsidR="00185FDC" w:rsidRPr="00843688" w:rsidRDefault="00185FDC" w:rsidP="00185FDC">
            <w:pPr>
              <w:pStyle w:val="TableLeft"/>
            </w:pPr>
          </w:p>
        </w:tc>
        <w:tc>
          <w:tcPr>
            <w:tcW w:w="992" w:type="dxa"/>
            <w:tcBorders>
              <w:top w:val="double" w:sz="6" w:space="0" w:color="auto"/>
              <w:left w:val="nil"/>
              <w:bottom w:val="single" w:sz="4" w:space="0" w:color="auto"/>
              <w:right w:val="nil"/>
            </w:tcBorders>
          </w:tcPr>
          <w:p w14:paraId="54F14E5B" w14:textId="77777777" w:rsidR="00185FDC" w:rsidRPr="00843688" w:rsidRDefault="00185FDC" w:rsidP="00185FDC">
            <w:pPr>
              <w:pStyle w:val="TableLeft"/>
            </w:pPr>
          </w:p>
        </w:tc>
        <w:tc>
          <w:tcPr>
            <w:tcW w:w="992" w:type="dxa"/>
            <w:tcBorders>
              <w:top w:val="double" w:sz="6" w:space="0" w:color="auto"/>
              <w:left w:val="nil"/>
              <w:bottom w:val="single" w:sz="4" w:space="0" w:color="auto"/>
              <w:right w:val="nil"/>
            </w:tcBorders>
            <w:shd w:val="clear" w:color="auto" w:fill="auto"/>
            <w:noWrap/>
            <w:vAlign w:val="bottom"/>
          </w:tcPr>
          <w:p w14:paraId="4857D7B1" w14:textId="77777777" w:rsidR="00185FDC" w:rsidRPr="00843688" w:rsidRDefault="00185FDC" w:rsidP="00185FDC">
            <w:pPr>
              <w:pStyle w:val="TableLeft"/>
            </w:pPr>
          </w:p>
        </w:tc>
        <w:tc>
          <w:tcPr>
            <w:tcW w:w="992" w:type="dxa"/>
            <w:tcBorders>
              <w:top w:val="double" w:sz="6" w:space="0" w:color="auto"/>
              <w:left w:val="nil"/>
              <w:bottom w:val="single" w:sz="4" w:space="0" w:color="auto"/>
              <w:right w:val="nil"/>
            </w:tcBorders>
            <w:shd w:val="clear" w:color="auto" w:fill="auto"/>
            <w:noWrap/>
            <w:vAlign w:val="bottom"/>
          </w:tcPr>
          <w:p w14:paraId="6CFA8AF2" w14:textId="77777777" w:rsidR="00185FDC" w:rsidRPr="00843688" w:rsidRDefault="00185FDC" w:rsidP="00185FDC">
            <w:pPr>
              <w:pStyle w:val="TableLeft"/>
            </w:pPr>
          </w:p>
        </w:tc>
      </w:tr>
    </w:tbl>
    <w:p w14:paraId="2D889474" w14:textId="6BB3DF3C" w:rsidR="00E3753A" w:rsidRPr="00D35118" w:rsidRDefault="00E3753A" w:rsidP="00D35118">
      <w:pPr>
        <w:pStyle w:val="Notes0"/>
        <w:numPr>
          <w:ilvl w:val="0"/>
          <w:numId w:val="0"/>
        </w:numPr>
        <w:ind w:left="284"/>
        <w:rPr>
          <w:sz w:val="2"/>
          <w:szCs w:val="4"/>
        </w:rPr>
      </w:pPr>
    </w:p>
    <w:p w14:paraId="6E87EA5E" w14:textId="3A64CDBB" w:rsidR="008C26DA" w:rsidRDefault="008C26DA" w:rsidP="00D35118">
      <w:pPr>
        <w:pStyle w:val="Notes0"/>
        <w:numPr>
          <w:ilvl w:val="0"/>
          <w:numId w:val="0"/>
        </w:numPr>
        <w:ind w:left="284"/>
      </w:pPr>
      <w:r>
        <w:br w:type="page"/>
      </w:r>
    </w:p>
    <w:p w14:paraId="4CB7EAE2" w14:textId="216041C9" w:rsidR="008C26DA" w:rsidRPr="00AC69A3" w:rsidRDefault="008C26DA" w:rsidP="0072222F">
      <w:pPr>
        <w:pStyle w:val="Body"/>
      </w:pPr>
      <w:r w:rsidRPr="00843688">
        <w:lastRenderedPageBreak/>
        <w:t>Chart 7.12 shows the impact of an increase or decrease of 50</w:t>
      </w:r>
      <w:r w:rsidR="001732D5">
        <w:t> </w:t>
      </w:r>
      <w:r w:rsidRPr="00843688">
        <w:t xml:space="preserve">basis points in the discount rate used to value the Total State </w:t>
      </w:r>
      <w:r w:rsidR="00955508">
        <w:t xml:space="preserve">Sector </w:t>
      </w:r>
      <w:r w:rsidRPr="00843688">
        <w:t xml:space="preserve">Superannuation Liability. The base rate column represents the estimated present value of the superannuation liability (gross) as at 30 June in each year valued by the Actuary using a discount rate of </w:t>
      </w:r>
      <w:r>
        <w:t>4.0</w:t>
      </w:r>
      <w:r w:rsidRPr="00843688">
        <w:t> per cent.</w:t>
      </w:r>
    </w:p>
    <w:p w14:paraId="46BACEB2" w14:textId="6FB6E57A" w:rsidR="008C26DA" w:rsidRPr="00843688" w:rsidRDefault="008C26DA" w:rsidP="008C26DA">
      <w:pPr>
        <w:pStyle w:val="Heading6"/>
      </w:pPr>
      <w:r w:rsidRPr="00843688">
        <w:t>Chart 7.12:</w:t>
      </w:r>
      <w:r w:rsidRPr="00843688">
        <w:tab/>
        <w:t xml:space="preserve">Sensitivity Analysis of the Total State </w:t>
      </w:r>
      <w:r w:rsidR="00955508">
        <w:t xml:space="preserve">Sector </w:t>
      </w:r>
      <w:r w:rsidRPr="00843688">
        <w:t>Superannuation Liability as at 30 June</w:t>
      </w:r>
    </w:p>
    <w:p w14:paraId="21AFAA6E" w14:textId="2602CA1F" w:rsidR="00E3753A" w:rsidRDefault="00051136" w:rsidP="00E27F5E">
      <w:pPr>
        <w:pStyle w:val="Body"/>
      </w:pPr>
      <w:r>
        <w:rPr>
          <w:noProof/>
        </w:rPr>
        <w:drawing>
          <wp:inline distT="0" distB="0" distL="0" distR="0" wp14:anchorId="33F79048" wp14:editId="6C6E32D3">
            <wp:extent cx="6084570" cy="3096895"/>
            <wp:effectExtent l="0" t="0" r="0" b="8255"/>
            <wp:docPr id="24" name="Picture 24" descr="Sensitivity Analysis of the Total State Superannuation Liability as at 30 June&#10;The chart demonstrates that there is a strong inverse relationship between the discount rate and the valuation of the liability. It shows the impact of an increase or decrease of 0.5 per cent in the average discount rate used to value the Total State Superannuation 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ensitivity Analysis of the Total State Superannuation Liability as at 30 June&#10;The chart demonstrates that there is a strong inverse relationship between the discount rate and the valuation of the liability. It shows the impact of an increase or decrease of 0.5 per cent in the average discount rate used to value the Total State Superannuation Liabil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4570" cy="3096895"/>
                    </a:xfrm>
                    <a:prstGeom prst="rect">
                      <a:avLst/>
                    </a:prstGeom>
                    <a:noFill/>
                  </pic:spPr>
                </pic:pic>
              </a:graphicData>
            </a:graphic>
          </wp:inline>
        </w:drawing>
      </w:r>
    </w:p>
    <w:p w14:paraId="42F01967" w14:textId="77777777" w:rsidR="0072222F" w:rsidRDefault="0072222F">
      <w:r>
        <w:br w:type="page"/>
      </w:r>
    </w:p>
    <w:p w14:paraId="37D940A3" w14:textId="01179CB8" w:rsidR="008C26DA" w:rsidRDefault="008C26DA" w:rsidP="00D35118">
      <w:pPr>
        <w:pStyle w:val="Body"/>
        <w:rPr>
          <w:rFonts w:eastAsiaTheme="majorEastAsia" w:cstheme="majorBidi"/>
          <w:sz w:val="30"/>
        </w:rPr>
      </w:pPr>
      <w:r w:rsidRPr="00843688">
        <w:lastRenderedPageBreak/>
        <w:t>Table 7.11 shows the estimated nominal cash flows required to meet the emerging cost of superannuation benefits payable to members. This represents the estimated total cost of benefits payable and includes the Total State share, together with the share of benefits that are funded from plan assets.</w:t>
      </w:r>
    </w:p>
    <w:p w14:paraId="392D420B" w14:textId="34764246" w:rsidR="008C26DA" w:rsidRPr="00843688" w:rsidRDefault="008C26DA" w:rsidP="008C26DA">
      <w:pPr>
        <w:pStyle w:val="Heading6"/>
      </w:pPr>
      <w:r w:rsidRPr="00843688">
        <w:t>Table 7.11:</w:t>
      </w:r>
      <w:r w:rsidRPr="00843688">
        <w:tab/>
        <w:t>Undiscounted Defined Benefit Obligations Payable to Employees of the Total State Sector</w:t>
      </w:r>
    </w:p>
    <w:tbl>
      <w:tblPr>
        <w:tblW w:w="9581" w:type="dxa"/>
        <w:shd w:val="clear" w:color="auto" w:fill="FFFFFF"/>
        <w:tblCellMar>
          <w:left w:w="28" w:type="dxa"/>
          <w:right w:w="28" w:type="dxa"/>
        </w:tblCellMar>
        <w:tblLook w:val="0000" w:firstRow="0" w:lastRow="0" w:firstColumn="0" w:lastColumn="0" w:noHBand="0" w:noVBand="0"/>
      </w:tblPr>
      <w:tblGrid>
        <w:gridCol w:w="8265"/>
        <w:gridCol w:w="1316"/>
      </w:tblGrid>
      <w:tr w:rsidR="008C26DA" w:rsidRPr="00843688" w14:paraId="137F41E5" w14:textId="77777777" w:rsidTr="007241DA">
        <w:tc>
          <w:tcPr>
            <w:tcW w:w="4313" w:type="pct"/>
            <w:tcBorders>
              <w:top w:val="single" w:sz="6" w:space="0" w:color="auto"/>
            </w:tcBorders>
            <w:shd w:val="clear" w:color="auto" w:fill="FFFFFF"/>
            <w:vAlign w:val="bottom"/>
          </w:tcPr>
          <w:p w14:paraId="184B703F" w14:textId="77777777" w:rsidR="008C26DA" w:rsidRPr="00843688" w:rsidRDefault="008C26DA" w:rsidP="008C26DA">
            <w:pPr>
              <w:pStyle w:val="TableLeft"/>
            </w:pPr>
          </w:p>
        </w:tc>
        <w:tc>
          <w:tcPr>
            <w:tcW w:w="687" w:type="pct"/>
            <w:tcBorders>
              <w:top w:val="single" w:sz="6" w:space="0" w:color="auto"/>
            </w:tcBorders>
            <w:shd w:val="clear" w:color="auto" w:fill="auto"/>
            <w:vAlign w:val="bottom"/>
          </w:tcPr>
          <w:p w14:paraId="211DE8F8" w14:textId="77777777" w:rsidR="008C26DA" w:rsidRPr="008C26DA" w:rsidRDefault="008C26DA" w:rsidP="008C26DA">
            <w:pPr>
              <w:pStyle w:val="TableRightHeading"/>
            </w:pPr>
            <w:r w:rsidRPr="00843688">
              <w:t>202</w:t>
            </w:r>
            <w:r w:rsidRPr="008C26DA">
              <w:t>3 </w:t>
            </w:r>
          </w:p>
        </w:tc>
      </w:tr>
      <w:tr w:rsidR="008C26DA" w:rsidRPr="00843688" w14:paraId="3B077419" w14:textId="77777777" w:rsidTr="007241DA">
        <w:tc>
          <w:tcPr>
            <w:tcW w:w="4313" w:type="pct"/>
            <w:tcBorders>
              <w:bottom w:val="single" w:sz="6" w:space="0" w:color="auto"/>
            </w:tcBorders>
            <w:shd w:val="clear" w:color="auto" w:fill="FFFFFF"/>
            <w:vAlign w:val="bottom"/>
          </w:tcPr>
          <w:p w14:paraId="140FB2D4" w14:textId="77777777" w:rsidR="008C26DA" w:rsidRPr="00843688" w:rsidRDefault="008C26DA" w:rsidP="008C26DA">
            <w:pPr>
              <w:pStyle w:val="TableRightHeading"/>
            </w:pPr>
          </w:p>
        </w:tc>
        <w:tc>
          <w:tcPr>
            <w:tcW w:w="687" w:type="pct"/>
            <w:tcBorders>
              <w:bottom w:val="single" w:sz="6" w:space="0" w:color="auto"/>
            </w:tcBorders>
            <w:shd w:val="clear" w:color="auto" w:fill="auto"/>
          </w:tcPr>
          <w:p w14:paraId="394C312E" w14:textId="77777777" w:rsidR="008C26DA" w:rsidRPr="008C26DA" w:rsidRDefault="008C26DA" w:rsidP="008C26DA">
            <w:pPr>
              <w:pStyle w:val="TableRightHeading"/>
            </w:pPr>
            <w:r w:rsidRPr="00843688">
              <w:t>Estimate </w:t>
            </w:r>
          </w:p>
        </w:tc>
      </w:tr>
      <w:tr w:rsidR="008C26DA" w:rsidRPr="00843688" w14:paraId="7B420DE3" w14:textId="77777777" w:rsidTr="007241DA">
        <w:tc>
          <w:tcPr>
            <w:tcW w:w="4313" w:type="pct"/>
            <w:shd w:val="clear" w:color="auto" w:fill="FFFFFF"/>
            <w:vAlign w:val="bottom"/>
          </w:tcPr>
          <w:p w14:paraId="27FDBA60" w14:textId="77777777" w:rsidR="008C26DA" w:rsidRPr="00843688" w:rsidRDefault="008C26DA" w:rsidP="008C26DA">
            <w:pPr>
              <w:pStyle w:val="TableLeft"/>
            </w:pPr>
          </w:p>
        </w:tc>
        <w:tc>
          <w:tcPr>
            <w:tcW w:w="687" w:type="pct"/>
            <w:shd w:val="clear" w:color="auto" w:fill="auto"/>
          </w:tcPr>
          <w:p w14:paraId="4BE3BFCE" w14:textId="77777777" w:rsidR="008C26DA" w:rsidRPr="008C26DA" w:rsidRDefault="008C26DA" w:rsidP="008C26DA">
            <w:pPr>
              <w:pStyle w:val="TableRightHeading"/>
            </w:pPr>
            <w:r w:rsidRPr="00843688">
              <w:t>$m </w:t>
            </w:r>
          </w:p>
        </w:tc>
      </w:tr>
      <w:tr w:rsidR="008C26DA" w:rsidRPr="00843688" w14:paraId="70DA0869" w14:textId="77777777" w:rsidTr="007241DA">
        <w:tc>
          <w:tcPr>
            <w:tcW w:w="4313" w:type="pct"/>
            <w:shd w:val="clear" w:color="auto" w:fill="FFFFFF"/>
            <w:vAlign w:val="bottom"/>
          </w:tcPr>
          <w:p w14:paraId="301BA551" w14:textId="77777777" w:rsidR="008C26DA" w:rsidRPr="008C26DA" w:rsidRDefault="008C26DA" w:rsidP="008C26DA">
            <w:pPr>
              <w:pStyle w:val="TableLeftHeading"/>
            </w:pPr>
            <w:r w:rsidRPr="00843688">
              <w:t>Estimated total benefit payments to be made in the period</w:t>
            </w:r>
          </w:p>
        </w:tc>
        <w:tc>
          <w:tcPr>
            <w:tcW w:w="687" w:type="pct"/>
            <w:shd w:val="clear" w:color="auto" w:fill="auto"/>
          </w:tcPr>
          <w:p w14:paraId="2FA1E4FA" w14:textId="77777777" w:rsidR="008C26DA" w:rsidRPr="00AC69A3" w:rsidRDefault="008C26DA" w:rsidP="008C26DA">
            <w:pPr>
              <w:pStyle w:val="TableRight"/>
            </w:pPr>
          </w:p>
        </w:tc>
      </w:tr>
      <w:tr w:rsidR="008C26DA" w:rsidRPr="00843688" w14:paraId="3EFFBE67" w14:textId="77777777" w:rsidTr="007241DA">
        <w:tc>
          <w:tcPr>
            <w:tcW w:w="4313" w:type="pct"/>
            <w:shd w:val="clear" w:color="auto" w:fill="FFFFFF"/>
            <w:vAlign w:val="bottom"/>
          </w:tcPr>
          <w:p w14:paraId="778189D2" w14:textId="77777777" w:rsidR="008C26DA" w:rsidRPr="008C26DA" w:rsidRDefault="008C26DA" w:rsidP="008C26DA">
            <w:pPr>
              <w:pStyle w:val="TableIndent"/>
            </w:pPr>
            <w:r w:rsidRPr="00843688">
              <w:t>No later than 1 year</w:t>
            </w:r>
          </w:p>
        </w:tc>
        <w:tc>
          <w:tcPr>
            <w:tcW w:w="687" w:type="pct"/>
            <w:shd w:val="clear" w:color="auto" w:fill="auto"/>
            <w:vAlign w:val="bottom"/>
          </w:tcPr>
          <w:p w14:paraId="3F9129DC" w14:textId="77777777" w:rsidR="008C26DA" w:rsidRPr="008C26DA" w:rsidRDefault="008C26DA" w:rsidP="008C26DA">
            <w:pPr>
              <w:pStyle w:val="TableRight"/>
            </w:pPr>
            <w:r w:rsidRPr="00843688">
              <w:t xml:space="preserve"> 5</w:t>
            </w:r>
            <w:r w:rsidRPr="008C26DA">
              <w:t>25.7 </w:t>
            </w:r>
          </w:p>
        </w:tc>
      </w:tr>
      <w:tr w:rsidR="008C26DA" w:rsidRPr="00843688" w14:paraId="6F151A2A" w14:textId="77777777" w:rsidTr="007241DA">
        <w:tc>
          <w:tcPr>
            <w:tcW w:w="4313" w:type="pct"/>
            <w:shd w:val="clear" w:color="auto" w:fill="FFFFFF"/>
            <w:vAlign w:val="bottom"/>
          </w:tcPr>
          <w:p w14:paraId="74385B51" w14:textId="77777777" w:rsidR="008C26DA" w:rsidRPr="008C26DA" w:rsidRDefault="008C26DA" w:rsidP="008C26DA">
            <w:pPr>
              <w:pStyle w:val="TableIndent"/>
            </w:pPr>
            <w:r w:rsidRPr="00843688">
              <w:t xml:space="preserve">Later than 1 year and no later than 2 years </w:t>
            </w:r>
          </w:p>
        </w:tc>
        <w:tc>
          <w:tcPr>
            <w:tcW w:w="687" w:type="pct"/>
            <w:shd w:val="clear" w:color="auto" w:fill="auto"/>
            <w:vAlign w:val="bottom"/>
          </w:tcPr>
          <w:p w14:paraId="311433D4" w14:textId="77777777" w:rsidR="008C26DA" w:rsidRPr="008C26DA" w:rsidRDefault="008C26DA" w:rsidP="008C26DA">
            <w:pPr>
              <w:pStyle w:val="TableRight"/>
            </w:pPr>
            <w:r w:rsidRPr="00843688">
              <w:t xml:space="preserve"> </w:t>
            </w:r>
            <w:r w:rsidRPr="008C26DA">
              <w:t>513.5 </w:t>
            </w:r>
          </w:p>
        </w:tc>
      </w:tr>
      <w:tr w:rsidR="008C26DA" w:rsidRPr="00843688" w14:paraId="7C2FF0FC" w14:textId="77777777" w:rsidTr="007241DA">
        <w:tc>
          <w:tcPr>
            <w:tcW w:w="4313" w:type="pct"/>
            <w:shd w:val="clear" w:color="auto" w:fill="FFFFFF"/>
            <w:vAlign w:val="bottom"/>
          </w:tcPr>
          <w:p w14:paraId="1799A868" w14:textId="77777777" w:rsidR="008C26DA" w:rsidRPr="008C26DA" w:rsidRDefault="008C26DA" w:rsidP="008C26DA">
            <w:pPr>
              <w:pStyle w:val="TableIndent"/>
            </w:pPr>
            <w:r w:rsidRPr="00843688">
              <w:t>Later than 2 years and no later than 5 years</w:t>
            </w:r>
          </w:p>
        </w:tc>
        <w:tc>
          <w:tcPr>
            <w:tcW w:w="687" w:type="pct"/>
            <w:shd w:val="clear" w:color="auto" w:fill="auto"/>
            <w:vAlign w:val="bottom"/>
          </w:tcPr>
          <w:p w14:paraId="7CDE6E07" w14:textId="77777777" w:rsidR="008C26DA" w:rsidRPr="008C26DA" w:rsidRDefault="008C26DA" w:rsidP="008C26DA">
            <w:pPr>
              <w:pStyle w:val="TableRight"/>
            </w:pPr>
            <w:r w:rsidRPr="00843688">
              <w:t xml:space="preserve">1 </w:t>
            </w:r>
            <w:r w:rsidRPr="008C26DA">
              <w:t>671.8 </w:t>
            </w:r>
          </w:p>
        </w:tc>
      </w:tr>
      <w:tr w:rsidR="008C26DA" w:rsidRPr="00843688" w14:paraId="4B98F4ED" w14:textId="77777777" w:rsidTr="007241DA">
        <w:tc>
          <w:tcPr>
            <w:tcW w:w="4313" w:type="pct"/>
            <w:shd w:val="clear" w:color="auto" w:fill="FFFFFF"/>
            <w:vAlign w:val="bottom"/>
          </w:tcPr>
          <w:p w14:paraId="563CE9DC" w14:textId="77777777" w:rsidR="008C26DA" w:rsidRPr="008C26DA" w:rsidRDefault="008C26DA" w:rsidP="008C26DA">
            <w:pPr>
              <w:pStyle w:val="TableIndent"/>
            </w:pPr>
            <w:r w:rsidRPr="00843688">
              <w:t xml:space="preserve">Later than 5 years and no </w:t>
            </w:r>
            <w:r w:rsidRPr="008C26DA">
              <w:t>later than 10 years</w:t>
            </w:r>
          </w:p>
        </w:tc>
        <w:tc>
          <w:tcPr>
            <w:tcW w:w="687" w:type="pct"/>
            <w:shd w:val="clear" w:color="auto" w:fill="auto"/>
            <w:vAlign w:val="bottom"/>
          </w:tcPr>
          <w:p w14:paraId="79E46F91" w14:textId="77777777" w:rsidR="008C26DA" w:rsidRPr="008C26DA" w:rsidRDefault="008C26DA" w:rsidP="008C26DA">
            <w:pPr>
              <w:pStyle w:val="TableRight"/>
            </w:pPr>
            <w:r>
              <w:t>3</w:t>
            </w:r>
            <w:r w:rsidRPr="008C26DA">
              <w:t xml:space="preserve"> 152.2 </w:t>
            </w:r>
          </w:p>
        </w:tc>
      </w:tr>
      <w:tr w:rsidR="008C26DA" w:rsidRPr="00843688" w14:paraId="71BDC941" w14:textId="77777777" w:rsidTr="007241DA">
        <w:tc>
          <w:tcPr>
            <w:tcW w:w="4313" w:type="pct"/>
            <w:shd w:val="clear" w:color="auto" w:fill="FFFFFF"/>
            <w:vAlign w:val="bottom"/>
          </w:tcPr>
          <w:p w14:paraId="45F90DA0" w14:textId="77777777" w:rsidR="008C26DA" w:rsidRPr="008C26DA" w:rsidRDefault="008C26DA" w:rsidP="008C26DA">
            <w:pPr>
              <w:pStyle w:val="TableIndent"/>
            </w:pPr>
            <w:r w:rsidRPr="00843688">
              <w:t xml:space="preserve">Later than 10 years and no later than 15 years </w:t>
            </w:r>
          </w:p>
        </w:tc>
        <w:tc>
          <w:tcPr>
            <w:tcW w:w="687" w:type="pct"/>
            <w:shd w:val="clear" w:color="auto" w:fill="auto"/>
            <w:vAlign w:val="bottom"/>
          </w:tcPr>
          <w:p w14:paraId="7E8C91AE" w14:textId="77777777" w:rsidR="008C26DA" w:rsidRPr="008C26DA" w:rsidRDefault="008C26DA" w:rsidP="008C26DA">
            <w:pPr>
              <w:pStyle w:val="TableRight"/>
            </w:pPr>
            <w:r>
              <w:t>3</w:t>
            </w:r>
            <w:r w:rsidRPr="008C26DA">
              <w:t xml:space="preserve"> 304.7 </w:t>
            </w:r>
          </w:p>
        </w:tc>
      </w:tr>
      <w:tr w:rsidR="008C26DA" w:rsidRPr="00843688" w14:paraId="50090F5C" w14:textId="77777777" w:rsidTr="007241DA">
        <w:tc>
          <w:tcPr>
            <w:tcW w:w="4313" w:type="pct"/>
            <w:shd w:val="clear" w:color="auto" w:fill="FFFFFF"/>
            <w:vAlign w:val="bottom"/>
          </w:tcPr>
          <w:p w14:paraId="18DEA4FF" w14:textId="77777777" w:rsidR="008C26DA" w:rsidRPr="008C26DA" w:rsidRDefault="008C26DA" w:rsidP="008C26DA">
            <w:pPr>
              <w:pStyle w:val="TableIndent"/>
            </w:pPr>
            <w:r w:rsidRPr="00843688">
              <w:t>Later than 15 years and no later than 20 years</w:t>
            </w:r>
          </w:p>
        </w:tc>
        <w:tc>
          <w:tcPr>
            <w:tcW w:w="687" w:type="pct"/>
            <w:shd w:val="clear" w:color="auto" w:fill="auto"/>
            <w:vAlign w:val="bottom"/>
          </w:tcPr>
          <w:p w14:paraId="306C9125" w14:textId="77777777" w:rsidR="008C26DA" w:rsidRPr="008C26DA" w:rsidRDefault="008C26DA" w:rsidP="008C26DA">
            <w:pPr>
              <w:pStyle w:val="TableRight"/>
            </w:pPr>
            <w:r>
              <w:t>3</w:t>
            </w:r>
            <w:r w:rsidRPr="008C26DA">
              <w:t xml:space="preserve"> 086.3 </w:t>
            </w:r>
          </w:p>
        </w:tc>
      </w:tr>
      <w:tr w:rsidR="008C26DA" w:rsidRPr="00843688" w14:paraId="6D5A9F19" w14:textId="77777777" w:rsidTr="007241DA">
        <w:tc>
          <w:tcPr>
            <w:tcW w:w="4313" w:type="pct"/>
            <w:shd w:val="clear" w:color="auto" w:fill="FFFFFF"/>
            <w:vAlign w:val="bottom"/>
          </w:tcPr>
          <w:p w14:paraId="069F0AE0" w14:textId="77777777" w:rsidR="008C26DA" w:rsidRPr="008C26DA" w:rsidRDefault="008C26DA" w:rsidP="008C26DA">
            <w:pPr>
              <w:pStyle w:val="TableIndent"/>
            </w:pPr>
            <w:r w:rsidRPr="00843688">
              <w:t xml:space="preserve">Later than 20 years and no later than 25 years </w:t>
            </w:r>
          </w:p>
        </w:tc>
        <w:tc>
          <w:tcPr>
            <w:tcW w:w="687" w:type="pct"/>
            <w:shd w:val="clear" w:color="auto" w:fill="auto"/>
            <w:vAlign w:val="bottom"/>
          </w:tcPr>
          <w:p w14:paraId="1E70EDAC" w14:textId="77777777" w:rsidR="008C26DA" w:rsidRPr="008C26DA" w:rsidRDefault="008C26DA" w:rsidP="008C26DA">
            <w:pPr>
              <w:pStyle w:val="TableRight"/>
            </w:pPr>
            <w:r w:rsidRPr="00843688">
              <w:t xml:space="preserve">2 </w:t>
            </w:r>
            <w:r w:rsidRPr="008C26DA">
              <w:t>692.8 </w:t>
            </w:r>
          </w:p>
        </w:tc>
      </w:tr>
      <w:tr w:rsidR="008C26DA" w:rsidRPr="00843688" w14:paraId="7ACF0B40" w14:textId="77777777" w:rsidTr="007241DA">
        <w:tc>
          <w:tcPr>
            <w:tcW w:w="4313" w:type="pct"/>
            <w:shd w:val="clear" w:color="auto" w:fill="FFFFFF"/>
            <w:vAlign w:val="bottom"/>
          </w:tcPr>
          <w:p w14:paraId="48966417" w14:textId="77777777" w:rsidR="008C26DA" w:rsidRPr="008C26DA" w:rsidRDefault="008C26DA" w:rsidP="008C26DA">
            <w:pPr>
              <w:pStyle w:val="TableIndent"/>
            </w:pPr>
            <w:r w:rsidRPr="00843688">
              <w:t xml:space="preserve">Later than 25 years and no later than 30 years </w:t>
            </w:r>
          </w:p>
        </w:tc>
        <w:tc>
          <w:tcPr>
            <w:tcW w:w="687" w:type="pct"/>
            <w:shd w:val="clear" w:color="auto" w:fill="auto"/>
            <w:vAlign w:val="bottom"/>
          </w:tcPr>
          <w:p w14:paraId="4C8A904F" w14:textId="77777777" w:rsidR="008C26DA" w:rsidRPr="008C26DA" w:rsidRDefault="008C26DA" w:rsidP="008C26DA">
            <w:pPr>
              <w:pStyle w:val="TableRight"/>
            </w:pPr>
            <w:r>
              <w:t>2</w:t>
            </w:r>
            <w:r w:rsidRPr="008C26DA">
              <w:t xml:space="preserve"> 215.3 </w:t>
            </w:r>
          </w:p>
        </w:tc>
      </w:tr>
      <w:tr w:rsidR="008C26DA" w:rsidRPr="00843688" w14:paraId="3605BB3D" w14:textId="77777777" w:rsidTr="007241DA">
        <w:tc>
          <w:tcPr>
            <w:tcW w:w="4313" w:type="pct"/>
            <w:shd w:val="clear" w:color="auto" w:fill="FFFFFF"/>
            <w:vAlign w:val="bottom"/>
          </w:tcPr>
          <w:p w14:paraId="73EF8D4F" w14:textId="77777777" w:rsidR="008C26DA" w:rsidRPr="008C26DA" w:rsidRDefault="008C26DA" w:rsidP="008C26DA">
            <w:pPr>
              <w:pStyle w:val="TableIndent"/>
            </w:pPr>
            <w:r w:rsidRPr="00843688">
              <w:t xml:space="preserve">Later than 30 years and no later than 35 years </w:t>
            </w:r>
          </w:p>
        </w:tc>
        <w:tc>
          <w:tcPr>
            <w:tcW w:w="687" w:type="pct"/>
            <w:shd w:val="clear" w:color="auto" w:fill="auto"/>
            <w:vAlign w:val="bottom"/>
          </w:tcPr>
          <w:p w14:paraId="480D01AA" w14:textId="77777777" w:rsidR="008C26DA" w:rsidRPr="008C26DA" w:rsidRDefault="008C26DA" w:rsidP="008C26DA">
            <w:pPr>
              <w:pStyle w:val="TableRight"/>
            </w:pPr>
            <w:r w:rsidRPr="00843688">
              <w:t xml:space="preserve">1 </w:t>
            </w:r>
            <w:r w:rsidRPr="008C26DA">
              <w:t>646.9 </w:t>
            </w:r>
          </w:p>
        </w:tc>
      </w:tr>
      <w:tr w:rsidR="008C26DA" w:rsidRPr="00843688" w14:paraId="64B0B361" w14:textId="77777777" w:rsidTr="007241DA">
        <w:tc>
          <w:tcPr>
            <w:tcW w:w="4313" w:type="pct"/>
            <w:shd w:val="clear" w:color="auto" w:fill="FFFFFF"/>
            <w:vAlign w:val="bottom"/>
          </w:tcPr>
          <w:p w14:paraId="14ECDCE4" w14:textId="77777777" w:rsidR="008C26DA" w:rsidRPr="008C26DA" w:rsidRDefault="008C26DA" w:rsidP="008C26DA">
            <w:pPr>
              <w:pStyle w:val="TableIndent"/>
            </w:pPr>
            <w:r w:rsidRPr="00843688">
              <w:t>Later than 35 years and no later than 40 years</w:t>
            </w:r>
          </w:p>
        </w:tc>
        <w:tc>
          <w:tcPr>
            <w:tcW w:w="687" w:type="pct"/>
            <w:shd w:val="clear" w:color="auto" w:fill="auto"/>
            <w:vAlign w:val="bottom"/>
          </w:tcPr>
          <w:p w14:paraId="5DE2E67A" w14:textId="77777777" w:rsidR="008C26DA" w:rsidRPr="008C26DA" w:rsidRDefault="008C26DA" w:rsidP="008C26DA">
            <w:pPr>
              <w:pStyle w:val="TableRight"/>
            </w:pPr>
            <w:r w:rsidRPr="00843688">
              <w:t xml:space="preserve"> </w:t>
            </w:r>
            <w:r w:rsidRPr="008C26DA">
              <w:t>1 061.4 </w:t>
            </w:r>
          </w:p>
        </w:tc>
      </w:tr>
      <w:tr w:rsidR="008C26DA" w:rsidRPr="00843688" w14:paraId="02DD2D20" w14:textId="77777777" w:rsidTr="007241DA">
        <w:tc>
          <w:tcPr>
            <w:tcW w:w="4313" w:type="pct"/>
            <w:shd w:val="clear" w:color="auto" w:fill="FFFFFF"/>
            <w:vAlign w:val="bottom"/>
          </w:tcPr>
          <w:p w14:paraId="69DE8101" w14:textId="77777777" w:rsidR="008C26DA" w:rsidRPr="008C26DA" w:rsidRDefault="008C26DA" w:rsidP="008C26DA">
            <w:pPr>
              <w:pStyle w:val="TableIndent"/>
            </w:pPr>
            <w:r w:rsidRPr="00843688">
              <w:t>Later than 40 years and no later than 45 years</w:t>
            </w:r>
          </w:p>
        </w:tc>
        <w:tc>
          <w:tcPr>
            <w:tcW w:w="687" w:type="pct"/>
            <w:shd w:val="clear" w:color="auto" w:fill="auto"/>
            <w:vAlign w:val="bottom"/>
          </w:tcPr>
          <w:p w14:paraId="1807EB5E" w14:textId="77777777" w:rsidR="008C26DA" w:rsidRPr="008C26DA" w:rsidRDefault="008C26DA" w:rsidP="008C26DA">
            <w:pPr>
              <w:pStyle w:val="TableRight"/>
            </w:pPr>
            <w:r w:rsidRPr="00843688">
              <w:t xml:space="preserve"> 5</w:t>
            </w:r>
            <w:r w:rsidRPr="008C26DA">
              <w:t>66.9 </w:t>
            </w:r>
          </w:p>
        </w:tc>
      </w:tr>
      <w:tr w:rsidR="008C26DA" w:rsidRPr="00843688" w14:paraId="6DFEE9E4" w14:textId="77777777" w:rsidTr="007241DA">
        <w:tc>
          <w:tcPr>
            <w:tcW w:w="4313" w:type="pct"/>
            <w:shd w:val="clear" w:color="auto" w:fill="FFFFFF"/>
            <w:vAlign w:val="bottom"/>
          </w:tcPr>
          <w:p w14:paraId="7A18CC09" w14:textId="77777777" w:rsidR="008C26DA" w:rsidRPr="008C26DA" w:rsidRDefault="008C26DA" w:rsidP="008C26DA">
            <w:pPr>
              <w:pStyle w:val="TableIndent"/>
            </w:pPr>
            <w:r w:rsidRPr="00843688">
              <w:t xml:space="preserve">Later than 45 years and no later than 50 years </w:t>
            </w:r>
          </w:p>
        </w:tc>
        <w:tc>
          <w:tcPr>
            <w:tcW w:w="687" w:type="pct"/>
            <w:shd w:val="clear" w:color="auto" w:fill="auto"/>
            <w:vAlign w:val="bottom"/>
          </w:tcPr>
          <w:p w14:paraId="245863F1" w14:textId="77777777" w:rsidR="008C26DA" w:rsidRPr="008C26DA" w:rsidRDefault="008C26DA" w:rsidP="008C26DA">
            <w:pPr>
              <w:pStyle w:val="TableRight"/>
            </w:pPr>
            <w:r w:rsidRPr="00843688">
              <w:t xml:space="preserve"> 2</w:t>
            </w:r>
            <w:r w:rsidRPr="008C26DA">
              <w:t>34.3 </w:t>
            </w:r>
          </w:p>
        </w:tc>
      </w:tr>
      <w:tr w:rsidR="008C26DA" w:rsidRPr="00843688" w14:paraId="0CF4F722" w14:textId="77777777" w:rsidTr="007241DA">
        <w:tc>
          <w:tcPr>
            <w:tcW w:w="4313" w:type="pct"/>
            <w:shd w:val="clear" w:color="auto" w:fill="FFFFFF"/>
            <w:vAlign w:val="bottom"/>
          </w:tcPr>
          <w:p w14:paraId="675FCBC2" w14:textId="77777777" w:rsidR="008C26DA" w:rsidRPr="008C26DA" w:rsidRDefault="008C26DA" w:rsidP="008C26DA">
            <w:pPr>
              <w:pStyle w:val="TableLeftHeading"/>
            </w:pPr>
            <w:r w:rsidRPr="00843688">
              <w:t>Undiscounted defined benefit obligation</w:t>
            </w:r>
          </w:p>
        </w:tc>
        <w:tc>
          <w:tcPr>
            <w:tcW w:w="687" w:type="pct"/>
            <w:tcBorders>
              <w:top w:val="single" w:sz="6" w:space="0" w:color="auto"/>
              <w:bottom w:val="double" w:sz="6" w:space="0" w:color="auto"/>
            </w:tcBorders>
            <w:shd w:val="clear" w:color="auto" w:fill="auto"/>
            <w:vAlign w:val="bottom"/>
          </w:tcPr>
          <w:p w14:paraId="6118BC19" w14:textId="77777777" w:rsidR="008C26DA" w:rsidRPr="008C26DA" w:rsidRDefault="008C26DA" w:rsidP="008C26DA">
            <w:pPr>
              <w:pStyle w:val="TableRightHeading"/>
            </w:pPr>
            <w:r>
              <w:t>20</w:t>
            </w:r>
            <w:r w:rsidRPr="008C26DA">
              <w:t xml:space="preserve"> 671.8 </w:t>
            </w:r>
          </w:p>
        </w:tc>
      </w:tr>
      <w:tr w:rsidR="008C26DA" w:rsidRPr="00843688" w14:paraId="06655397" w14:textId="77777777" w:rsidTr="007241DA">
        <w:tc>
          <w:tcPr>
            <w:tcW w:w="4313" w:type="pct"/>
            <w:tcBorders>
              <w:bottom w:val="single" w:sz="6" w:space="0" w:color="auto"/>
            </w:tcBorders>
            <w:shd w:val="clear" w:color="auto" w:fill="FFFFFF"/>
            <w:vAlign w:val="bottom"/>
          </w:tcPr>
          <w:p w14:paraId="7E8CED13" w14:textId="77777777" w:rsidR="008C26DA" w:rsidRPr="00AC69A3" w:rsidRDefault="008C26DA" w:rsidP="008C26DA">
            <w:pPr>
              <w:pStyle w:val="TableLeft"/>
            </w:pPr>
          </w:p>
        </w:tc>
        <w:tc>
          <w:tcPr>
            <w:tcW w:w="687" w:type="pct"/>
            <w:tcBorders>
              <w:bottom w:val="single" w:sz="6" w:space="0" w:color="auto"/>
            </w:tcBorders>
            <w:shd w:val="clear" w:color="auto" w:fill="auto"/>
            <w:vAlign w:val="bottom"/>
          </w:tcPr>
          <w:p w14:paraId="7F6FFDB7" w14:textId="77777777" w:rsidR="008C26DA" w:rsidRPr="00AC69A3" w:rsidRDefault="008C26DA" w:rsidP="008C26DA">
            <w:pPr>
              <w:pStyle w:val="TableRight"/>
            </w:pPr>
          </w:p>
        </w:tc>
      </w:tr>
    </w:tbl>
    <w:p w14:paraId="78446FF0" w14:textId="77777777" w:rsidR="008C26DA" w:rsidRDefault="008C26DA" w:rsidP="008C26DA">
      <w:pPr>
        <w:pStyle w:val="Body"/>
      </w:pPr>
    </w:p>
    <w:p w14:paraId="2B0F1032" w14:textId="77777777" w:rsidR="008C26DA" w:rsidRDefault="008C26DA">
      <w:pPr>
        <w:rPr>
          <w:rFonts w:eastAsiaTheme="majorEastAsia" w:cstheme="majorBidi"/>
          <w:sz w:val="36"/>
          <w:szCs w:val="24"/>
        </w:rPr>
      </w:pPr>
      <w:r>
        <w:br w:type="page"/>
      </w:r>
    </w:p>
    <w:p w14:paraId="1ED49042" w14:textId="7CB0F0B3" w:rsidR="008C26DA" w:rsidRPr="00843688" w:rsidRDefault="008C26DA" w:rsidP="008C26DA">
      <w:pPr>
        <w:pStyle w:val="Heading3"/>
      </w:pPr>
      <w:r w:rsidRPr="00843688">
        <w:lastRenderedPageBreak/>
        <w:t>Tasmanian Risk Management Fund</w:t>
      </w:r>
    </w:p>
    <w:p w14:paraId="5BAEEB0C" w14:textId="77777777" w:rsidR="008C26DA" w:rsidRPr="00843688" w:rsidRDefault="008C26DA" w:rsidP="008C26DA">
      <w:pPr>
        <w:pStyle w:val="Heading4"/>
      </w:pPr>
      <w:r w:rsidRPr="00843688">
        <w:t>Purpose of the Fund</w:t>
      </w:r>
    </w:p>
    <w:p w14:paraId="607C189A" w14:textId="10023866" w:rsidR="008C26DA" w:rsidRPr="00E320A0" w:rsidRDefault="008C26DA" w:rsidP="008C26DA">
      <w:pPr>
        <w:pStyle w:val="Body"/>
      </w:pPr>
      <w:r w:rsidRPr="00E320A0">
        <w:t>The Tasmanian Risk Management Fund</w:t>
      </w:r>
      <w:r w:rsidRPr="00984999">
        <w:t>’s</w:t>
      </w:r>
      <w:r w:rsidRPr="00E320A0">
        <w:t xml:space="preserve"> claims liability is recognised within Other liabilities on the General</w:t>
      </w:r>
      <w:r w:rsidR="0072222F">
        <w:t> </w:t>
      </w:r>
      <w:r w:rsidRPr="00E320A0">
        <w:t>Government Sector Balance Sheet. The Fund was established on 1 January 1999 to provide a whole</w:t>
      </w:r>
      <w:r w:rsidRPr="00E320A0">
        <w:noBreakHyphen/>
        <w:t>of</w:t>
      </w:r>
      <w:r w:rsidRPr="00E320A0">
        <w:noBreakHyphen/>
        <w:t>government approach to managing the funding of insurable liabilities of inner</w:t>
      </w:r>
      <w:r w:rsidRPr="00E320A0">
        <w:noBreakHyphen/>
        <w:t>Budget agencies.</w:t>
      </w:r>
    </w:p>
    <w:p w14:paraId="13C8C5B5" w14:textId="77777777" w:rsidR="008C26DA" w:rsidRPr="00E320A0" w:rsidRDefault="008C26DA" w:rsidP="008C26DA">
      <w:pPr>
        <w:pStyle w:val="Body"/>
      </w:pPr>
      <w:r w:rsidRPr="00E320A0">
        <w:t xml:space="preserve">Agencies are covered for the majority of insurable risks to which they are exposed or for which they choose to accept responsibility and the Fund agrees to cover, including: </w:t>
      </w:r>
    </w:p>
    <w:p w14:paraId="18556A9A" w14:textId="77777777" w:rsidR="008C26DA" w:rsidRPr="00E320A0" w:rsidRDefault="008C26DA" w:rsidP="008C26DA">
      <w:pPr>
        <w:pStyle w:val="Dotpoint"/>
      </w:pPr>
      <w:r w:rsidRPr="00E320A0">
        <w:t>personal injury (including workers’ compensation and personal accident);</w:t>
      </w:r>
    </w:p>
    <w:p w14:paraId="1FE7521D" w14:textId="77777777" w:rsidR="008C26DA" w:rsidRPr="00E320A0" w:rsidRDefault="008C26DA" w:rsidP="008C26DA">
      <w:pPr>
        <w:pStyle w:val="Dotpoint"/>
      </w:pPr>
      <w:r w:rsidRPr="00E320A0">
        <w:t>property (including buildings and contents, business interruption, motor vehicles, machinery, marine hull, transit and fraud);</w:t>
      </w:r>
    </w:p>
    <w:p w14:paraId="0845F6E8" w14:textId="77777777" w:rsidR="008C26DA" w:rsidRPr="00E320A0" w:rsidRDefault="008C26DA" w:rsidP="008C26DA">
      <w:pPr>
        <w:pStyle w:val="Dotpoint"/>
      </w:pPr>
      <w:r w:rsidRPr="00E320A0">
        <w:t xml:space="preserve">liability (including public and products, professional, and directors and officers liability); </w:t>
      </w:r>
    </w:p>
    <w:p w14:paraId="7F1DE9FC" w14:textId="77777777" w:rsidR="008C26DA" w:rsidRPr="00E320A0" w:rsidRDefault="008C26DA" w:rsidP="008C26DA">
      <w:pPr>
        <w:pStyle w:val="Dotpoint"/>
      </w:pPr>
      <w:r w:rsidRPr="00E320A0">
        <w:t>medical liability; and</w:t>
      </w:r>
    </w:p>
    <w:p w14:paraId="39A6623B" w14:textId="77777777" w:rsidR="008C26DA" w:rsidRPr="00E320A0" w:rsidRDefault="008C26DA" w:rsidP="008C26DA">
      <w:pPr>
        <w:pStyle w:val="Dotpoint"/>
      </w:pPr>
      <w:r w:rsidRPr="00E320A0">
        <w:t xml:space="preserve">travel. </w:t>
      </w:r>
    </w:p>
    <w:p w14:paraId="3F134AAC" w14:textId="306DF8EA" w:rsidR="008C26DA" w:rsidRPr="00E320A0" w:rsidRDefault="008C26DA" w:rsidP="008C26DA">
      <w:pPr>
        <w:pStyle w:val="Body"/>
      </w:pPr>
      <w:r w:rsidRPr="00E320A0">
        <w:t>All classes are self</w:t>
      </w:r>
      <w:r w:rsidRPr="00E320A0">
        <w:noBreakHyphen/>
        <w:t>insured by the Fund apart from marine hull and travel. These classes remain insured through the purchase of a commercial insurance policy, as this is more cost-effective than self</w:t>
      </w:r>
      <w:r w:rsidRPr="00E320A0">
        <w:noBreakHyphen/>
        <w:t xml:space="preserve">insurance for these two categories of risk. </w:t>
      </w:r>
      <w:r w:rsidR="00521F83">
        <w:t>Since</w:t>
      </w:r>
      <w:r w:rsidRPr="00E320A0">
        <w:t xml:space="preserve"> 1 July 2015, an Industrial Special Risks insurance policy has also been purchased to cover catastrophe risk for property assets (currently for claims above $6.25 million).</w:t>
      </w:r>
    </w:p>
    <w:p w14:paraId="62248F22" w14:textId="77777777" w:rsidR="008C26DA" w:rsidRPr="00843688" w:rsidRDefault="008C26DA" w:rsidP="008C26DA">
      <w:pPr>
        <w:pStyle w:val="Heading4"/>
      </w:pPr>
      <w:r w:rsidRPr="00843688">
        <w:t>Performance of the Fund</w:t>
      </w:r>
    </w:p>
    <w:p w14:paraId="2F9405B6" w14:textId="77777777" w:rsidR="008C26DA" w:rsidRPr="00E320A0" w:rsidRDefault="008C26DA" w:rsidP="008C26DA">
      <w:pPr>
        <w:pStyle w:val="Body"/>
      </w:pPr>
      <w:r w:rsidRPr="00E320A0">
        <w:t>The Fund operates on a cost recovery basis with agencies making contributions each year in order to build up reserves to meet current and emerging costs. Contributions are based on advice from an independent actuary and are adjusted over time according to the claims experience of agencies.</w:t>
      </w:r>
    </w:p>
    <w:p w14:paraId="5CABE258" w14:textId="4B832005" w:rsidR="008C26DA" w:rsidRPr="00E320A0" w:rsidRDefault="008C26DA" w:rsidP="008C26DA">
      <w:pPr>
        <w:pStyle w:val="Body"/>
      </w:pPr>
      <w:r w:rsidRPr="00E320A0">
        <w:t>The overall increase in contributions for 2023</w:t>
      </w:r>
      <w:r w:rsidRPr="00E320A0">
        <w:noBreakHyphen/>
        <w:t xml:space="preserve">24 is principally due to </w:t>
      </w:r>
      <w:r w:rsidR="002155B8">
        <w:t>an</w:t>
      </w:r>
      <w:r w:rsidRPr="00E320A0">
        <w:t xml:space="preserve"> increase in workers’</w:t>
      </w:r>
      <w:r w:rsidR="001732D5">
        <w:t> </w:t>
      </w:r>
      <w:r w:rsidRPr="00E320A0">
        <w:t xml:space="preserve">compensation contributions and </w:t>
      </w:r>
      <w:r w:rsidR="002155B8">
        <w:t>an</w:t>
      </w:r>
      <w:r w:rsidRPr="00E320A0">
        <w:t xml:space="preserve"> increase in general property contributions. The workers’</w:t>
      </w:r>
      <w:r w:rsidR="001732D5">
        <w:t> </w:t>
      </w:r>
      <w:r w:rsidRPr="00E320A0">
        <w:t>compensation contribution increase</w:t>
      </w:r>
      <w:r>
        <w:t xml:space="preserve"> </w:t>
      </w:r>
      <w:r w:rsidRPr="00E320A0">
        <w:t>is primarily as a result of higher claim costs in recent years, higher staffing costs</w:t>
      </w:r>
      <w:r>
        <w:t>, an increase in the incidence and cost of psychological claims</w:t>
      </w:r>
      <w:r w:rsidRPr="00E320A0">
        <w:t xml:space="preserve"> and </w:t>
      </w:r>
      <w:r>
        <w:t xml:space="preserve">other </w:t>
      </w:r>
      <w:r w:rsidRPr="00E320A0">
        <w:t xml:space="preserve">inflationary factors. Contributions for general property also increased reflecting </w:t>
      </w:r>
      <w:r w:rsidR="002B2098">
        <w:t>a higher retention that is expected to apply under the</w:t>
      </w:r>
      <w:r w:rsidR="00610DEE">
        <w:t xml:space="preserve"> Fund’s</w:t>
      </w:r>
      <w:r w:rsidR="002B2098">
        <w:t xml:space="preserve"> Industr</w:t>
      </w:r>
      <w:r w:rsidR="00E644A8">
        <w:t>i</w:t>
      </w:r>
      <w:r w:rsidR="002B2098">
        <w:t>al Special Risk</w:t>
      </w:r>
      <w:r w:rsidR="00610DEE">
        <w:t>s</w:t>
      </w:r>
      <w:r w:rsidR="002B2098">
        <w:t xml:space="preserve"> policy in 2023-34 and an allowance for </w:t>
      </w:r>
      <w:r w:rsidR="00610DEE">
        <w:t xml:space="preserve">higher inflationary </w:t>
      </w:r>
      <w:r w:rsidR="00F25302">
        <w:t>impacts on</w:t>
      </w:r>
      <w:r w:rsidR="00610DEE">
        <w:t xml:space="preserve"> claims costs</w:t>
      </w:r>
      <w:r w:rsidRPr="00E320A0">
        <w:t>. Contributions for medical liability decreased moderately, which was mainly due to the continued favourable funding position of this risk category. While contributions increased for all other categories of risk, the increases were not significant in terms of quantum. Overall, total agency contributions increased from $</w:t>
      </w:r>
      <w:r w:rsidR="00762D40" w:rsidRPr="00E320A0">
        <w:t>13</w:t>
      </w:r>
      <w:r w:rsidR="00762D40">
        <w:t>2</w:t>
      </w:r>
      <w:r w:rsidRPr="00E320A0">
        <w:t>.</w:t>
      </w:r>
      <w:r w:rsidR="00762D40">
        <w:t>2</w:t>
      </w:r>
      <w:r w:rsidRPr="00E320A0">
        <w:t> million in 2022</w:t>
      </w:r>
      <w:r w:rsidRPr="00E320A0">
        <w:noBreakHyphen/>
        <w:t>23 to an estimated $149.2 million in 202</w:t>
      </w:r>
      <w:r>
        <w:t>3</w:t>
      </w:r>
      <w:r w:rsidRPr="00E320A0">
        <w:noBreakHyphen/>
        <w:t>2</w:t>
      </w:r>
      <w:r>
        <w:t>4</w:t>
      </w:r>
      <w:r w:rsidRPr="00E320A0">
        <w:t>.</w:t>
      </w:r>
    </w:p>
    <w:p w14:paraId="491731E5" w14:textId="165AE5A3" w:rsidR="008C26DA" w:rsidRPr="00E320A0" w:rsidRDefault="00441D2A" w:rsidP="008C26DA">
      <w:pPr>
        <w:pStyle w:val="Body"/>
      </w:pPr>
      <w:r>
        <w:t>As at 30 June 2024, the Fund is estimated to have Net Assets of $48.4 million. Th</w:t>
      </w:r>
      <w:r w:rsidR="00BE43E9">
        <w:t xml:space="preserve">is </w:t>
      </w:r>
      <w:r>
        <w:t>balance</w:t>
      </w:r>
      <w:r w:rsidR="008C26DA" w:rsidRPr="00E320A0">
        <w:t xml:space="preserve"> reflects surpluses in the funding position for medical liability</w:t>
      </w:r>
      <w:r w:rsidR="008C26DA">
        <w:t xml:space="preserve">, </w:t>
      </w:r>
      <w:r w:rsidR="008C26DA" w:rsidRPr="00E320A0">
        <w:t>general liability and workers’ compensation risk categories. The funding level for workers’ compensation has improved substantially as a result of additional funding of $</w:t>
      </w:r>
      <w:r w:rsidR="00086EB1" w:rsidRPr="00E320A0">
        <w:t>105</w:t>
      </w:r>
      <w:r w:rsidR="00086EB1">
        <w:t> </w:t>
      </w:r>
      <w:r w:rsidR="008C26DA" w:rsidRPr="00E320A0">
        <w:t>million from the Public</w:t>
      </w:r>
      <w:r w:rsidR="001E3033">
        <w:t> </w:t>
      </w:r>
      <w:r w:rsidR="008C26DA" w:rsidRPr="00E320A0">
        <w:t xml:space="preserve">Account in 2021-22 (through the </w:t>
      </w:r>
      <w:r w:rsidR="008C26DA" w:rsidRPr="009B5D68">
        <w:rPr>
          <w:rStyle w:val="AnyText-Italics"/>
        </w:rPr>
        <w:t>Appropriation (Supplementary Appropriation for 2021-22) Act 2022</w:t>
      </w:r>
      <w:r w:rsidR="008C26DA" w:rsidRPr="00DE2517">
        <w:t>)</w:t>
      </w:r>
      <w:r w:rsidR="008C26DA" w:rsidRPr="00E320A0">
        <w:t xml:space="preserve">. Maintaining provisions in these risk categories is considered prudent, particularly for </w:t>
      </w:r>
      <w:r w:rsidR="002155B8" w:rsidRPr="00E320A0">
        <w:t>latent claims</w:t>
      </w:r>
      <w:r w:rsidR="008C26DA" w:rsidRPr="00E320A0">
        <w:t xml:space="preserve"> that can take many years to be reported and many more years to reach a settlement. These </w:t>
      </w:r>
      <w:r w:rsidR="008C26DA" w:rsidRPr="00E320A0">
        <w:lastRenderedPageBreak/>
        <w:t xml:space="preserve">reporting and settlement delays mean that the outstanding claims liability in these risk categories is subject to considerable uncertainty. </w:t>
      </w:r>
    </w:p>
    <w:p w14:paraId="19E1F58F" w14:textId="3E7A36B7" w:rsidR="008C26DA" w:rsidRPr="002021A5" w:rsidRDefault="008C26DA" w:rsidP="002021A5">
      <w:pPr>
        <w:pStyle w:val="Heading6"/>
      </w:pPr>
      <w:r w:rsidRPr="002021A5">
        <w:rPr>
          <w:rStyle w:val="Heading6Superscipt"/>
          <w:position w:val="0"/>
        </w:rPr>
        <w:t>Table 7.12:</w:t>
      </w:r>
      <w:r w:rsidRPr="002021A5">
        <w:rPr>
          <w:rStyle w:val="Heading6Superscipt"/>
          <w:position w:val="0"/>
        </w:rPr>
        <w:tab/>
        <w:t>Financial Position of the Tasmanian Risk Management Fund</w:t>
      </w:r>
      <w:r w:rsidR="009C37EA" w:rsidRPr="009B5D68">
        <w:rPr>
          <w:rStyle w:val="Heading6Superscipt"/>
          <w:position w:val="0"/>
        </w:rPr>
        <w:t xml:space="preserve"> </w:t>
      </w:r>
      <w:r w:rsidRPr="002021A5">
        <w:rPr>
          <w:rStyle w:val="Heading6Superscipt"/>
          <w:position w:val="0"/>
        </w:rPr>
        <w:t>as</w:t>
      </w:r>
      <w:r w:rsidR="009C37EA" w:rsidRPr="009B5D68">
        <w:rPr>
          <w:rStyle w:val="Heading6Superscipt"/>
          <w:position w:val="0"/>
        </w:rPr>
        <w:t> </w:t>
      </w:r>
      <w:r w:rsidRPr="002021A5">
        <w:t>at 30 June</w:t>
      </w:r>
    </w:p>
    <w:tbl>
      <w:tblPr>
        <w:tblW w:w="4998" w:type="pct"/>
        <w:tblLayout w:type="fixed"/>
        <w:tblLook w:val="04A0" w:firstRow="1" w:lastRow="0" w:firstColumn="1" w:lastColumn="0" w:noHBand="0" w:noVBand="1"/>
      </w:tblPr>
      <w:tblGrid>
        <w:gridCol w:w="3402"/>
        <w:gridCol w:w="1019"/>
        <w:gridCol w:w="1078"/>
        <w:gridCol w:w="1021"/>
        <w:gridCol w:w="1021"/>
        <w:gridCol w:w="1019"/>
        <w:gridCol w:w="1017"/>
      </w:tblGrid>
      <w:tr w:rsidR="008C26DA" w:rsidRPr="00EE411C" w14:paraId="73DDB97E" w14:textId="77777777" w:rsidTr="005072B5">
        <w:trPr>
          <w:trHeight w:val="315"/>
        </w:trPr>
        <w:tc>
          <w:tcPr>
            <w:tcW w:w="1776" w:type="pct"/>
            <w:tcBorders>
              <w:top w:val="single" w:sz="8" w:space="0" w:color="auto"/>
              <w:left w:val="nil"/>
              <w:bottom w:val="nil"/>
              <w:right w:val="nil"/>
            </w:tcBorders>
            <w:shd w:val="clear" w:color="auto" w:fill="auto"/>
            <w:hideMark/>
          </w:tcPr>
          <w:p w14:paraId="0C9640D9" w14:textId="77777777" w:rsidR="008C26DA" w:rsidRPr="008C26DA" w:rsidRDefault="008C26DA" w:rsidP="008C26DA">
            <w:pPr>
              <w:pStyle w:val="TableRightHeading"/>
            </w:pPr>
            <w:bookmarkStart w:id="11" w:name="_Hlk132728138"/>
            <w:r w:rsidRPr="00843688">
              <w:t> </w:t>
            </w:r>
          </w:p>
        </w:tc>
        <w:tc>
          <w:tcPr>
            <w:tcW w:w="532" w:type="pct"/>
            <w:tcBorders>
              <w:top w:val="single" w:sz="8" w:space="0" w:color="auto"/>
              <w:left w:val="nil"/>
              <w:bottom w:val="nil"/>
              <w:right w:val="nil"/>
            </w:tcBorders>
            <w:shd w:val="clear" w:color="auto" w:fill="auto"/>
            <w:hideMark/>
          </w:tcPr>
          <w:p w14:paraId="7B428CC3" w14:textId="7191E2BE" w:rsidR="008C26DA" w:rsidRPr="008C26DA" w:rsidRDefault="008C26DA" w:rsidP="008C26DA">
            <w:pPr>
              <w:pStyle w:val="TableRightHeading"/>
            </w:pPr>
            <w:r w:rsidRPr="00EE411C">
              <w:t>2023</w:t>
            </w:r>
          </w:p>
        </w:tc>
        <w:tc>
          <w:tcPr>
            <w:tcW w:w="563" w:type="pct"/>
            <w:tcBorders>
              <w:top w:val="single" w:sz="8" w:space="0" w:color="auto"/>
              <w:left w:val="nil"/>
              <w:bottom w:val="nil"/>
              <w:right w:val="nil"/>
            </w:tcBorders>
            <w:shd w:val="clear" w:color="auto" w:fill="auto"/>
          </w:tcPr>
          <w:p w14:paraId="431EFD11" w14:textId="77777777" w:rsidR="008C26DA" w:rsidRPr="008C26DA" w:rsidRDefault="008C26DA" w:rsidP="008C26DA">
            <w:pPr>
              <w:pStyle w:val="TableRightHeading"/>
            </w:pPr>
            <w:r w:rsidRPr="00EE411C">
              <w:t>2023</w:t>
            </w:r>
          </w:p>
        </w:tc>
        <w:tc>
          <w:tcPr>
            <w:tcW w:w="533" w:type="pct"/>
            <w:tcBorders>
              <w:top w:val="single" w:sz="8" w:space="0" w:color="auto"/>
              <w:left w:val="nil"/>
              <w:bottom w:val="nil"/>
              <w:right w:val="nil"/>
            </w:tcBorders>
            <w:shd w:val="clear" w:color="auto" w:fill="auto"/>
            <w:hideMark/>
          </w:tcPr>
          <w:p w14:paraId="16DF4221" w14:textId="77777777" w:rsidR="008C26DA" w:rsidRPr="008C26DA" w:rsidRDefault="008C26DA" w:rsidP="008C26DA">
            <w:pPr>
              <w:pStyle w:val="TableRightHeading"/>
            </w:pPr>
            <w:r w:rsidRPr="00EE411C">
              <w:t>2024</w:t>
            </w:r>
          </w:p>
        </w:tc>
        <w:tc>
          <w:tcPr>
            <w:tcW w:w="533" w:type="pct"/>
            <w:tcBorders>
              <w:top w:val="single" w:sz="8" w:space="0" w:color="auto"/>
              <w:left w:val="nil"/>
              <w:bottom w:val="nil"/>
              <w:right w:val="nil"/>
            </w:tcBorders>
            <w:shd w:val="clear" w:color="auto" w:fill="auto"/>
            <w:hideMark/>
          </w:tcPr>
          <w:p w14:paraId="0DF8B45F" w14:textId="77777777" w:rsidR="008C26DA" w:rsidRPr="008C26DA" w:rsidRDefault="008C26DA" w:rsidP="008C26DA">
            <w:pPr>
              <w:pStyle w:val="TableRightHeading"/>
            </w:pPr>
            <w:r w:rsidRPr="00EE411C">
              <w:t>2025</w:t>
            </w:r>
          </w:p>
        </w:tc>
        <w:tc>
          <w:tcPr>
            <w:tcW w:w="532" w:type="pct"/>
            <w:tcBorders>
              <w:top w:val="single" w:sz="8" w:space="0" w:color="auto"/>
              <w:left w:val="nil"/>
              <w:bottom w:val="nil"/>
              <w:right w:val="nil"/>
            </w:tcBorders>
            <w:shd w:val="clear" w:color="auto" w:fill="auto"/>
            <w:hideMark/>
          </w:tcPr>
          <w:p w14:paraId="192C65D3" w14:textId="77777777" w:rsidR="008C26DA" w:rsidRPr="008C26DA" w:rsidRDefault="008C26DA" w:rsidP="008C26DA">
            <w:pPr>
              <w:pStyle w:val="TableRightHeading"/>
            </w:pPr>
            <w:r w:rsidRPr="00EE411C">
              <w:t>2026</w:t>
            </w:r>
          </w:p>
        </w:tc>
        <w:tc>
          <w:tcPr>
            <w:tcW w:w="531" w:type="pct"/>
            <w:tcBorders>
              <w:top w:val="single" w:sz="8" w:space="0" w:color="auto"/>
              <w:left w:val="nil"/>
              <w:bottom w:val="nil"/>
              <w:right w:val="nil"/>
            </w:tcBorders>
            <w:shd w:val="clear" w:color="auto" w:fill="auto"/>
          </w:tcPr>
          <w:p w14:paraId="574B03CD" w14:textId="77777777" w:rsidR="008C26DA" w:rsidRPr="008C26DA" w:rsidRDefault="008C26DA" w:rsidP="008C26DA">
            <w:pPr>
              <w:pStyle w:val="TableRightHeading"/>
            </w:pPr>
            <w:r w:rsidRPr="00EE411C">
              <w:t>2027</w:t>
            </w:r>
          </w:p>
        </w:tc>
      </w:tr>
      <w:tr w:rsidR="008C26DA" w:rsidRPr="00EE411C" w14:paraId="64AC043F" w14:textId="77777777" w:rsidTr="005072B5">
        <w:trPr>
          <w:trHeight w:val="315"/>
        </w:trPr>
        <w:tc>
          <w:tcPr>
            <w:tcW w:w="1776" w:type="pct"/>
            <w:tcBorders>
              <w:top w:val="nil"/>
              <w:left w:val="nil"/>
              <w:bottom w:val="nil"/>
              <w:right w:val="nil"/>
            </w:tcBorders>
            <w:shd w:val="clear" w:color="auto" w:fill="auto"/>
            <w:vAlign w:val="center"/>
          </w:tcPr>
          <w:p w14:paraId="1C2217CD" w14:textId="77777777" w:rsidR="008C26DA" w:rsidRPr="00843688" w:rsidRDefault="008C26DA" w:rsidP="008C26DA">
            <w:pPr>
              <w:pStyle w:val="TableRightHeading"/>
            </w:pPr>
          </w:p>
        </w:tc>
        <w:tc>
          <w:tcPr>
            <w:tcW w:w="532" w:type="pct"/>
            <w:tcBorders>
              <w:top w:val="nil"/>
              <w:left w:val="nil"/>
              <w:bottom w:val="nil"/>
              <w:right w:val="nil"/>
            </w:tcBorders>
            <w:shd w:val="clear" w:color="auto" w:fill="auto"/>
            <w:vAlign w:val="center"/>
          </w:tcPr>
          <w:p w14:paraId="62F7E538" w14:textId="77777777" w:rsidR="008C26DA" w:rsidRPr="00EE411C" w:rsidRDefault="008C26DA" w:rsidP="008C26DA">
            <w:pPr>
              <w:pStyle w:val="TableRightHeading"/>
            </w:pPr>
          </w:p>
        </w:tc>
        <w:tc>
          <w:tcPr>
            <w:tcW w:w="563" w:type="pct"/>
            <w:tcBorders>
              <w:top w:val="nil"/>
              <w:left w:val="nil"/>
              <w:bottom w:val="nil"/>
              <w:right w:val="nil"/>
            </w:tcBorders>
            <w:shd w:val="clear" w:color="auto" w:fill="auto"/>
            <w:vAlign w:val="center"/>
          </w:tcPr>
          <w:p w14:paraId="5B2175B3" w14:textId="77777777" w:rsidR="008C26DA" w:rsidRPr="008C26DA" w:rsidRDefault="008C26DA" w:rsidP="008C26DA">
            <w:pPr>
              <w:pStyle w:val="TableRightHeading"/>
            </w:pPr>
            <w:r w:rsidRPr="00EE411C">
              <w:t>Estimated</w:t>
            </w:r>
          </w:p>
        </w:tc>
        <w:tc>
          <w:tcPr>
            <w:tcW w:w="533" w:type="pct"/>
            <w:tcBorders>
              <w:top w:val="nil"/>
              <w:left w:val="nil"/>
              <w:bottom w:val="nil"/>
              <w:right w:val="nil"/>
            </w:tcBorders>
            <w:shd w:val="clear" w:color="auto" w:fill="auto"/>
            <w:vAlign w:val="center"/>
          </w:tcPr>
          <w:p w14:paraId="2DAD447F" w14:textId="77777777" w:rsidR="008C26DA" w:rsidRPr="00EE411C" w:rsidRDefault="008C26DA" w:rsidP="008C26DA">
            <w:pPr>
              <w:pStyle w:val="TableRightHeading"/>
            </w:pPr>
          </w:p>
        </w:tc>
        <w:tc>
          <w:tcPr>
            <w:tcW w:w="533" w:type="pct"/>
            <w:tcBorders>
              <w:top w:val="nil"/>
              <w:left w:val="nil"/>
              <w:bottom w:val="nil"/>
              <w:right w:val="nil"/>
            </w:tcBorders>
            <w:shd w:val="clear" w:color="auto" w:fill="auto"/>
            <w:vAlign w:val="center"/>
          </w:tcPr>
          <w:p w14:paraId="6B298843" w14:textId="04B4922E" w:rsidR="008C26DA" w:rsidRPr="008C26DA" w:rsidRDefault="008C26DA" w:rsidP="008C26DA">
            <w:pPr>
              <w:pStyle w:val="TableRightHeading"/>
            </w:pPr>
            <w:r w:rsidRPr="00EE411C">
              <w:t>Forward</w:t>
            </w:r>
          </w:p>
        </w:tc>
        <w:tc>
          <w:tcPr>
            <w:tcW w:w="532" w:type="pct"/>
            <w:tcBorders>
              <w:top w:val="nil"/>
              <w:left w:val="nil"/>
              <w:bottom w:val="nil"/>
              <w:right w:val="nil"/>
            </w:tcBorders>
            <w:shd w:val="clear" w:color="auto" w:fill="auto"/>
            <w:vAlign w:val="center"/>
          </w:tcPr>
          <w:p w14:paraId="335D6129" w14:textId="1E58ABA1" w:rsidR="008C26DA" w:rsidRPr="008C26DA" w:rsidRDefault="008C26DA" w:rsidP="008C26DA">
            <w:pPr>
              <w:pStyle w:val="TableRightHeading"/>
            </w:pPr>
            <w:r w:rsidRPr="00EE411C">
              <w:t>Forward</w:t>
            </w:r>
          </w:p>
        </w:tc>
        <w:tc>
          <w:tcPr>
            <w:tcW w:w="531" w:type="pct"/>
            <w:tcBorders>
              <w:top w:val="nil"/>
              <w:left w:val="nil"/>
              <w:bottom w:val="nil"/>
              <w:right w:val="nil"/>
            </w:tcBorders>
            <w:shd w:val="clear" w:color="auto" w:fill="auto"/>
            <w:vAlign w:val="center"/>
          </w:tcPr>
          <w:p w14:paraId="20652E40" w14:textId="77777777" w:rsidR="008C26DA" w:rsidRPr="008C26DA" w:rsidRDefault="008C26DA" w:rsidP="008C26DA">
            <w:pPr>
              <w:pStyle w:val="TableRightHeading"/>
            </w:pPr>
            <w:r w:rsidRPr="00EE411C">
              <w:t>Forward</w:t>
            </w:r>
          </w:p>
        </w:tc>
      </w:tr>
      <w:tr w:rsidR="008C26DA" w:rsidRPr="00EE411C" w14:paraId="1E8C59FA" w14:textId="77777777" w:rsidTr="005072B5">
        <w:trPr>
          <w:trHeight w:val="264"/>
        </w:trPr>
        <w:tc>
          <w:tcPr>
            <w:tcW w:w="1776" w:type="pct"/>
            <w:tcBorders>
              <w:top w:val="nil"/>
              <w:left w:val="nil"/>
              <w:bottom w:val="single" w:sz="8" w:space="0" w:color="auto"/>
              <w:right w:val="nil"/>
            </w:tcBorders>
            <w:shd w:val="clear" w:color="auto" w:fill="auto"/>
            <w:vAlign w:val="center"/>
            <w:hideMark/>
          </w:tcPr>
          <w:p w14:paraId="362BCB2A" w14:textId="77777777" w:rsidR="008C26DA" w:rsidRPr="008C26DA" w:rsidRDefault="008C26DA" w:rsidP="008C26DA">
            <w:pPr>
              <w:pStyle w:val="TableRightHeading"/>
            </w:pPr>
            <w:r w:rsidRPr="00843688">
              <w:t> </w:t>
            </w:r>
          </w:p>
        </w:tc>
        <w:tc>
          <w:tcPr>
            <w:tcW w:w="532" w:type="pct"/>
            <w:tcBorders>
              <w:top w:val="nil"/>
              <w:left w:val="nil"/>
              <w:bottom w:val="single" w:sz="8" w:space="0" w:color="auto"/>
              <w:right w:val="nil"/>
            </w:tcBorders>
            <w:shd w:val="clear" w:color="auto" w:fill="auto"/>
            <w:vAlign w:val="center"/>
            <w:hideMark/>
          </w:tcPr>
          <w:p w14:paraId="491DE1C6" w14:textId="4ABD0CD0" w:rsidR="008C26DA" w:rsidRPr="008C26DA" w:rsidRDefault="008C26DA" w:rsidP="008C26DA">
            <w:pPr>
              <w:pStyle w:val="TableRightHeading"/>
            </w:pPr>
            <w:r w:rsidRPr="00EE411C">
              <w:t>Budget</w:t>
            </w:r>
          </w:p>
        </w:tc>
        <w:tc>
          <w:tcPr>
            <w:tcW w:w="563" w:type="pct"/>
            <w:tcBorders>
              <w:top w:val="nil"/>
              <w:left w:val="nil"/>
              <w:bottom w:val="single" w:sz="8" w:space="0" w:color="auto"/>
              <w:right w:val="nil"/>
            </w:tcBorders>
            <w:shd w:val="clear" w:color="auto" w:fill="auto"/>
            <w:vAlign w:val="center"/>
          </w:tcPr>
          <w:p w14:paraId="1A6B48C4" w14:textId="77777777" w:rsidR="008C26DA" w:rsidRPr="008C26DA" w:rsidRDefault="008C26DA" w:rsidP="008C26DA">
            <w:pPr>
              <w:pStyle w:val="TableRightHeading"/>
            </w:pPr>
            <w:r w:rsidRPr="00EE411C">
              <w:t>Outcome</w:t>
            </w:r>
          </w:p>
        </w:tc>
        <w:tc>
          <w:tcPr>
            <w:tcW w:w="533" w:type="pct"/>
            <w:tcBorders>
              <w:top w:val="nil"/>
              <w:left w:val="nil"/>
              <w:bottom w:val="single" w:sz="8" w:space="0" w:color="auto"/>
              <w:right w:val="nil"/>
            </w:tcBorders>
            <w:shd w:val="clear" w:color="auto" w:fill="auto"/>
            <w:vAlign w:val="center"/>
            <w:hideMark/>
          </w:tcPr>
          <w:p w14:paraId="20D346E5" w14:textId="51A172C9" w:rsidR="008C26DA" w:rsidRPr="008C26DA" w:rsidRDefault="008C26DA" w:rsidP="008C26DA">
            <w:pPr>
              <w:pStyle w:val="TableRightHeading"/>
            </w:pPr>
            <w:r w:rsidRPr="00EE411C">
              <w:t>Budget</w:t>
            </w:r>
          </w:p>
        </w:tc>
        <w:tc>
          <w:tcPr>
            <w:tcW w:w="533" w:type="pct"/>
            <w:tcBorders>
              <w:top w:val="nil"/>
              <w:left w:val="nil"/>
              <w:bottom w:val="single" w:sz="8" w:space="0" w:color="auto"/>
              <w:right w:val="nil"/>
            </w:tcBorders>
            <w:shd w:val="clear" w:color="auto" w:fill="auto"/>
            <w:vAlign w:val="center"/>
            <w:hideMark/>
          </w:tcPr>
          <w:p w14:paraId="645381CD" w14:textId="39BD6016" w:rsidR="008C26DA" w:rsidRPr="008C26DA" w:rsidRDefault="008C26DA" w:rsidP="008C26DA">
            <w:pPr>
              <w:pStyle w:val="TableRightHeading"/>
            </w:pPr>
            <w:r w:rsidRPr="00EE411C">
              <w:t>Estimate</w:t>
            </w:r>
          </w:p>
        </w:tc>
        <w:tc>
          <w:tcPr>
            <w:tcW w:w="532" w:type="pct"/>
            <w:tcBorders>
              <w:top w:val="nil"/>
              <w:left w:val="nil"/>
              <w:bottom w:val="single" w:sz="8" w:space="0" w:color="auto"/>
              <w:right w:val="nil"/>
            </w:tcBorders>
            <w:shd w:val="clear" w:color="auto" w:fill="auto"/>
            <w:vAlign w:val="center"/>
            <w:hideMark/>
          </w:tcPr>
          <w:p w14:paraId="72A781AB" w14:textId="311C0861" w:rsidR="008C26DA" w:rsidRPr="008C26DA" w:rsidRDefault="008C26DA" w:rsidP="008C26DA">
            <w:pPr>
              <w:pStyle w:val="TableRightHeading"/>
            </w:pPr>
            <w:r w:rsidRPr="00EE411C">
              <w:t>Estimate</w:t>
            </w:r>
          </w:p>
        </w:tc>
        <w:tc>
          <w:tcPr>
            <w:tcW w:w="531" w:type="pct"/>
            <w:tcBorders>
              <w:top w:val="nil"/>
              <w:left w:val="nil"/>
              <w:bottom w:val="single" w:sz="8" w:space="0" w:color="auto"/>
              <w:right w:val="nil"/>
            </w:tcBorders>
            <w:shd w:val="clear" w:color="auto" w:fill="auto"/>
            <w:vAlign w:val="center"/>
          </w:tcPr>
          <w:p w14:paraId="1F26620D" w14:textId="77777777" w:rsidR="008C26DA" w:rsidRPr="008C26DA" w:rsidRDefault="008C26DA" w:rsidP="008C26DA">
            <w:pPr>
              <w:pStyle w:val="TableRightHeading"/>
            </w:pPr>
            <w:r w:rsidRPr="00EE411C">
              <w:t>Estimate</w:t>
            </w:r>
          </w:p>
        </w:tc>
      </w:tr>
      <w:tr w:rsidR="008C26DA" w:rsidRPr="00EE411C" w14:paraId="35F9F6F4" w14:textId="77777777" w:rsidTr="005072B5">
        <w:trPr>
          <w:trHeight w:val="315"/>
        </w:trPr>
        <w:tc>
          <w:tcPr>
            <w:tcW w:w="1776" w:type="pct"/>
            <w:tcBorders>
              <w:top w:val="nil"/>
              <w:left w:val="nil"/>
              <w:bottom w:val="nil"/>
              <w:right w:val="nil"/>
            </w:tcBorders>
            <w:shd w:val="clear" w:color="auto" w:fill="auto"/>
            <w:vAlign w:val="center"/>
            <w:hideMark/>
          </w:tcPr>
          <w:p w14:paraId="096489B7" w14:textId="77777777" w:rsidR="008C26DA" w:rsidRPr="00843688" w:rsidRDefault="008C26DA" w:rsidP="008C26DA">
            <w:pPr>
              <w:pStyle w:val="TableRightHeading"/>
            </w:pPr>
          </w:p>
        </w:tc>
        <w:tc>
          <w:tcPr>
            <w:tcW w:w="532" w:type="pct"/>
            <w:tcBorders>
              <w:top w:val="nil"/>
              <w:left w:val="nil"/>
              <w:bottom w:val="nil"/>
              <w:right w:val="nil"/>
            </w:tcBorders>
            <w:shd w:val="clear" w:color="auto" w:fill="auto"/>
            <w:vAlign w:val="center"/>
            <w:hideMark/>
          </w:tcPr>
          <w:p w14:paraId="7103E64D" w14:textId="77777777" w:rsidR="008C26DA" w:rsidRPr="008C26DA" w:rsidRDefault="008C26DA" w:rsidP="008C26DA">
            <w:pPr>
              <w:pStyle w:val="TableRightHeading"/>
            </w:pPr>
            <w:r w:rsidRPr="00EE411C">
              <w:t>$m</w:t>
            </w:r>
          </w:p>
        </w:tc>
        <w:tc>
          <w:tcPr>
            <w:tcW w:w="563" w:type="pct"/>
            <w:tcBorders>
              <w:top w:val="nil"/>
              <w:left w:val="nil"/>
              <w:bottom w:val="nil"/>
              <w:right w:val="nil"/>
            </w:tcBorders>
            <w:shd w:val="clear" w:color="auto" w:fill="auto"/>
            <w:vAlign w:val="center"/>
          </w:tcPr>
          <w:p w14:paraId="3DA71A59" w14:textId="77777777" w:rsidR="008C26DA" w:rsidRPr="008C26DA" w:rsidRDefault="008C26DA" w:rsidP="008C26DA">
            <w:pPr>
              <w:pStyle w:val="TableRightHeading"/>
            </w:pPr>
            <w:r w:rsidRPr="00EE411C">
              <w:t>$m</w:t>
            </w:r>
          </w:p>
        </w:tc>
        <w:tc>
          <w:tcPr>
            <w:tcW w:w="533" w:type="pct"/>
            <w:tcBorders>
              <w:top w:val="nil"/>
              <w:left w:val="nil"/>
              <w:bottom w:val="nil"/>
              <w:right w:val="nil"/>
            </w:tcBorders>
            <w:shd w:val="clear" w:color="auto" w:fill="auto"/>
            <w:vAlign w:val="center"/>
            <w:hideMark/>
          </w:tcPr>
          <w:p w14:paraId="4EAAA445" w14:textId="77777777" w:rsidR="008C26DA" w:rsidRPr="008C26DA" w:rsidRDefault="008C26DA" w:rsidP="008C26DA">
            <w:pPr>
              <w:pStyle w:val="TableRightHeading"/>
            </w:pPr>
            <w:r w:rsidRPr="00EE411C">
              <w:t>$m</w:t>
            </w:r>
          </w:p>
        </w:tc>
        <w:tc>
          <w:tcPr>
            <w:tcW w:w="533" w:type="pct"/>
            <w:tcBorders>
              <w:top w:val="nil"/>
              <w:left w:val="nil"/>
              <w:bottom w:val="nil"/>
              <w:right w:val="nil"/>
            </w:tcBorders>
            <w:shd w:val="clear" w:color="auto" w:fill="auto"/>
            <w:vAlign w:val="center"/>
            <w:hideMark/>
          </w:tcPr>
          <w:p w14:paraId="036CC00A" w14:textId="77777777" w:rsidR="008C26DA" w:rsidRPr="008C26DA" w:rsidRDefault="008C26DA" w:rsidP="008C26DA">
            <w:pPr>
              <w:pStyle w:val="TableRightHeading"/>
            </w:pPr>
            <w:r w:rsidRPr="00EE411C">
              <w:t>$m</w:t>
            </w:r>
          </w:p>
        </w:tc>
        <w:tc>
          <w:tcPr>
            <w:tcW w:w="532" w:type="pct"/>
            <w:tcBorders>
              <w:top w:val="nil"/>
              <w:left w:val="nil"/>
              <w:bottom w:val="nil"/>
              <w:right w:val="nil"/>
            </w:tcBorders>
            <w:shd w:val="clear" w:color="auto" w:fill="auto"/>
            <w:vAlign w:val="center"/>
            <w:hideMark/>
          </w:tcPr>
          <w:p w14:paraId="7E0FF25B" w14:textId="77777777" w:rsidR="008C26DA" w:rsidRPr="008C26DA" w:rsidRDefault="008C26DA" w:rsidP="008C26DA">
            <w:pPr>
              <w:pStyle w:val="TableRightHeading"/>
            </w:pPr>
            <w:r w:rsidRPr="00EE411C">
              <w:t>$m</w:t>
            </w:r>
          </w:p>
        </w:tc>
        <w:tc>
          <w:tcPr>
            <w:tcW w:w="531" w:type="pct"/>
            <w:tcBorders>
              <w:top w:val="nil"/>
              <w:left w:val="nil"/>
              <w:bottom w:val="nil"/>
              <w:right w:val="nil"/>
            </w:tcBorders>
            <w:shd w:val="clear" w:color="auto" w:fill="auto"/>
            <w:vAlign w:val="center"/>
          </w:tcPr>
          <w:p w14:paraId="44D18C23" w14:textId="77777777" w:rsidR="008C26DA" w:rsidRPr="008C26DA" w:rsidRDefault="008C26DA" w:rsidP="008C26DA">
            <w:pPr>
              <w:pStyle w:val="TableRightHeading"/>
            </w:pPr>
            <w:r w:rsidRPr="00EE411C">
              <w:t>$m</w:t>
            </w:r>
          </w:p>
        </w:tc>
      </w:tr>
      <w:tr w:rsidR="008C26DA" w:rsidRPr="00EE411C" w14:paraId="09901B43" w14:textId="77777777" w:rsidTr="005072B5">
        <w:trPr>
          <w:trHeight w:val="315"/>
        </w:trPr>
        <w:tc>
          <w:tcPr>
            <w:tcW w:w="1776" w:type="pct"/>
            <w:tcBorders>
              <w:top w:val="nil"/>
              <w:left w:val="nil"/>
              <w:bottom w:val="nil"/>
              <w:right w:val="nil"/>
            </w:tcBorders>
            <w:shd w:val="clear" w:color="auto" w:fill="auto"/>
            <w:vAlign w:val="center"/>
            <w:hideMark/>
          </w:tcPr>
          <w:p w14:paraId="5183B91E" w14:textId="77777777" w:rsidR="008C26DA" w:rsidRPr="008C26DA" w:rsidRDefault="008C26DA" w:rsidP="008C26DA">
            <w:pPr>
              <w:pStyle w:val="TableLeftHeading"/>
            </w:pPr>
            <w:r w:rsidRPr="00843688">
              <w:t>Assets</w:t>
            </w:r>
          </w:p>
        </w:tc>
        <w:tc>
          <w:tcPr>
            <w:tcW w:w="532" w:type="pct"/>
            <w:tcBorders>
              <w:top w:val="nil"/>
              <w:left w:val="nil"/>
              <w:bottom w:val="nil"/>
              <w:right w:val="nil"/>
            </w:tcBorders>
            <w:shd w:val="clear" w:color="auto" w:fill="auto"/>
            <w:vAlign w:val="center"/>
            <w:hideMark/>
          </w:tcPr>
          <w:p w14:paraId="4561A2DE" w14:textId="77777777" w:rsidR="008C26DA" w:rsidRPr="00EE411C" w:rsidRDefault="008C26DA" w:rsidP="008C26DA">
            <w:pPr>
              <w:pStyle w:val="TableRight"/>
            </w:pPr>
          </w:p>
        </w:tc>
        <w:tc>
          <w:tcPr>
            <w:tcW w:w="563" w:type="pct"/>
            <w:tcBorders>
              <w:top w:val="nil"/>
              <w:left w:val="nil"/>
              <w:bottom w:val="nil"/>
              <w:right w:val="nil"/>
            </w:tcBorders>
            <w:shd w:val="clear" w:color="auto" w:fill="auto"/>
            <w:vAlign w:val="center"/>
            <w:hideMark/>
          </w:tcPr>
          <w:p w14:paraId="4DB1F8DD" w14:textId="77777777" w:rsidR="008C26DA" w:rsidRPr="00EE411C" w:rsidRDefault="008C26DA" w:rsidP="008C26DA">
            <w:pPr>
              <w:pStyle w:val="TableRight"/>
            </w:pPr>
          </w:p>
        </w:tc>
        <w:tc>
          <w:tcPr>
            <w:tcW w:w="533" w:type="pct"/>
            <w:tcBorders>
              <w:top w:val="nil"/>
              <w:left w:val="nil"/>
              <w:bottom w:val="nil"/>
              <w:right w:val="nil"/>
            </w:tcBorders>
            <w:shd w:val="clear" w:color="auto" w:fill="auto"/>
            <w:vAlign w:val="center"/>
            <w:hideMark/>
          </w:tcPr>
          <w:p w14:paraId="3FA50470" w14:textId="77777777" w:rsidR="008C26DA" w:rsidRPr="00EE411C" w:rsidRDefault="008C26DA" w:rsidP="008C26DA">
            <w:pPr>
              <w:pStyle w:val="TableRight"/>
            </w:pPr>
          </w:p>
        </w:tc>
        <w:tc>
          <w:tcPr>
            <w:tcW w:w="533" w:type="pct"/>
            <w:tcBorders>
              <w:top w:val="nil"/>
              <w:left w:val="nil"/>
              <w:bottom w:val="nil"/>
              <w:right w:val="nil"/>
            </w:tcBorders>
            <w:shd w:val="clear" w:color="auto" w:fill="auto"/>
            <w:vAlign w:val="center"/>
            <w:hideMark/>
          </w:tcPr>
          <w:p w14:paraId="38A80179" w14:textId="77777777" w:rsidR="008C26DA" w:rsidRPr="00EE411C" w:rsidRDefault="008C26DA" w:rsidP="008C26DA">
            <w:pPr>
              <w:pStyle w:val="TableRight"/>
            </w:pPr>
          </w:p>
        </w:tc>
        <w:tc>
          <w:tcPr>
            <w:tcW w:w="532" w:type="pct"/>
            <w:tcBorders>
              <w:top w:val="nil"/>
              <w:left w:val="nil"/>
              <w:bottom w:val="nil"/>
              <w:right w:val="nil"/>
            </w:tcBorders>
            <w:shd w:val="clear" w:color="auto" w:fill="auto"/>
            <w:vAlign w:val="center"/>
            <w:hideMark/>
          </w:tcPr>
          <w:p w14:paraId="204D4F0F" w14:textId="77777777" w:rsidR="008C26DA" w:rsidRPr="00EE411C" w:rsidRDefault="008C26DA" w:rsidP="008C26DA">
            <w:pPr>
              <w:pStyle w:val="TableRight"/>
            </w:pPr>
          </w:p>
        </w:tc>
        <w:tc>
          <w:tcPr>
            <w:tcW w:w="531" w:type="pct"/>
            <w:tcBorders>
              <w:top w:val="nil"/>
              <w:left w:val="nil"/>
              <w:bottom w:val="nil"/>
              <w:right w:val="nil"/>
            </w:tcBorders>
            <w:shd w:val="clear" w:color="auto" w:fill="auto"/>
            <w:vAlign w:val="center"/>
            <w:hideMark/>
          </w:tcPr>
          <w:p w14:paraId="50DEAC98" w14:textId="77777777" w:rsidR="008C26DA" w:rsidRPr="00EE411C" w:rsidRDefault="008C26DA" w:rsidP="008C26DA">
            <w:pPr>
              <w:pStyle w:val="TableRight"/>
            </w:pPr>
          </w:p>
        </w:tc>
      </w:tr>
      <w:tr w:rsidR="008C26DA" w:rsidRPr="00EE411C" w14:paraId="75196A9D" w14:textId="77777777" w:rsidTr="005072B5">
        <w:trPr>
          <w:trHeight w:val="315"/>
        </w:trPr>
        <w:tc>
          <w:tcPr>
            <w:tcW w:w="1776" w:type="pct"/>
            <w:tcBorders>
              <w:top w:val="nil"/>
              <w:left w:val="nil"/>
              <w:bottom w:val="nil"/>
              <w:right w:val="nil"/>
            </w:tcBorders>
            <w:shd w:val="clear" w:color="auto" w:fill="auto"/>
            <w:vAlign w:val="center"/>
            <w:hideMark/>
          </w:tcPr>
          <w:p w14:paraId="78729D39" w14:textId="77777777" w:rsidR="008C26DA" w:rsidRPr="008C26DA" w:rsidRDefault="008C26DA" w:rsidP="008C26DA">
            <w:pPr>
              <w:pStyle w:val="TableIndent"/>
            </w:pPr>
            <w:r w:rsidRPr="00843688">
              <w:t>Cash and cash equivalents</w:t>
            </w:r>
          </w:p>
        </w:tc>
        <w:tc>
          <w:tcPr>
            <w:tcW w:w="532" w:type="pct"/>
            <w:tcBorders>
              <w:top w:val="nil"/>
              <w:left w:val="nil"/>
              <w:bottom w:val="nil"/>
              <w:right w:val="nil"/>
            </w:tcBorders>
            <w:shd w:val="clear" w:color="auto" w:fill="auto"/>
            <w:vAlign w:val="bottom"/>
            <w:hideMark/>
          </w:tcPr>
          <w:p w14:paraId="60068346" w14:textId="77777777" w:rsidR="008C26DA" w:rsidRPr="008C26DA" w:rsidRDefault="008C26DA" w:rsidP="008C26DA">
            <w:pPr>
              <w:pStyle w:val="TableRight"/>
            </w:pPr>
            <w:r w:rsidRPr="00EE411C">
              <w:t>429.0</w:t>
            </w:r>
          </w:p>
        </w:tc>
        <w:tc>
          <w:tcPr>
            <w:tcW w:w="563" w:type="pct"/>
            <w:tcBorders>
              <w:top w:val="nil"/>
              <w:left w:val="nil"/>
              <w:bottom w:val="nil"/>
              <w:right w:val="nil"/>
            </w:tcBorders>
            <w:shd w:val="clear" w:color="auto" w:fill="auto"/>
            <w:vAlign w:val="bottom"/>
            <w:hideMark/>
          </w:tcPr>
          <w:p w14:paraId="74E70019" w14:textId="77777777" w:rsidR="008C26DA" w:rsidRPr="008C26DA" w:rsidRDefault="008C26DA" w:rsidP="008C26DA">
            <w:pPr>
              <w:pStyle w:val="TableRight"/>
            </w:pPr>
            <w:r w:rsidRPr="00EE411C">
              <w:t>458.8</w:t>
            </w:r>
          </w:p>
        </w:tc>
        <w:tc>
          <w:tcPr>
            <w:tcW w:w="533" w:type="pct"/>
            <w:tcBorders>
              <w:top w:val="nil"/>
              <w:left w:val="nil"/>
              <w:bottom w:val="nil"/>
              <w:right w:val="nil"/>
            </w:tcBorders>
            <w:shd w:val="clear" w:color="auto" w:fill="auto"/>
            <w:vAlign w:val="bottom"/>
          </w:tcPr>
          <w:p w14:paraId="5CFBBFF5" w14:textId="77777777" w:rsidR="008C26DA" w:rsidRPr="008C26DA" w:rsidRDefault="008C26DA" w:rsidP="008C26DA">
            <w:pPr>
              <w:pStyle w:val="TableRight"/>
            </w:pPr>
            <w:r w:rsidRPr="00EE411C">
              <w:t>493.1</w:t>
            </w:r>
          </w:p>
        </w:tc>
        <w:tc>
          <w:tcPr>
            <w:tcW w:w="533" w:type="pct"/>
            <w:tcBorders>
              <w:top w:val="nil"/>
              <w:left w:val="nil"/>
              <w:bottom w:val="nil"/>
              <w:right w:val="nil"/>
            </w:tcBorders>
            <w:shd w:val="clear" w:color="auto" w:fill="auto"/>
            <w:vAlign w:val="bottom"/>
          </w:tcPr>
          <w:p w14:paraId="41000407" w14:textId="77777777" w:rsidR="008C26DA" w:rsidRPr="008C26DA" w:rsidRDefault="008C26DA" w:rsidP="008C26DA">
            <w:pPr>
              <w:pStyle w:val="TableRight"/>
            </w:pPr>
            <w:r w:rsidRPr="00EE411C">
              <w:t>521.8</w:t>
            </w:r>
          </w:p>
        </w:tc>
        <w:tc>
          <w:tcPr>
            <w:tcW w:w="532" w:type="pct"/>
            <w:tcBorders>
              <w:top w:val="nil"/>
              <w:left w:val="nil"/>
              <w:bottom w:val="nil"/>
              <w:right w:val="nil"/>
            </w:tcBorders>
            <w:shd w:val="clear" w:color="auto" w:fill="auto"/>
            <w:vAlign w:val="bottom"/>
          </w:tcPr>
          <w:p w14:paraId="38A75B35" w14:textId="77777777" w:rsidR="008C26DA" w:rsidRPr="008C26DA" w:rsidRDefault="008C26DA" w:rsidP="008C26DA">
            <w:pPr>
              <w:pStyle w:val="TableRight"/>
            </w:pPr>
            <w:r w:rsidRPr="00EE411C">
              <w:t>550.9</w:t>
            </w:r>
          </w:p>
        </w:tc>
        <w:tc>
          <w:tcPr>
            <w:tcW w:w="531" w:type="pct"/>
            <w:tcBorders>
              <w:top w:val="nil"/>
              <w:left w:val="nil"/>
              <w:bottom w:val="nil"/>
              <w:right w:val="nil"/>
            </w:tcBorders>
            <w:shd w:val="clear" w:color="auto" w:fill="auto"/>
            <w:vAlign w:val="bottom"/>
          </w:tcPr>
          <w:p w14:paraId="0762D1DB" w14:textId="77777777" w:rsidR="008C26DA" w:rsidRPr="008C26DA" w:rsidRDefault="008C26DA" w:rsidP="008C26DA">
            <w:pPr>
              <w:pStyle w:val="TableRight"/>
            </w:pPr>
            <w:r w:rsidRPr="00EE411C">
              <w:t>580.1</w:t>
            </w:r>
          </w:p>
        </w:tc>
      </w:tr>
      <w:tr w:rsidR="008C26DA" w:rsidRPr="00EE411C" w14:paraId="0D38A30E" w14:textId="77777777" w:rsidTr="005072B5">
        <w:trPr>
          <w:trHeight w:val="330"/>
        </w:trPr>
        <w:tc>
          <w:tcPr>
            <w:tcW w:w="1776" w:type="pct"/>
            <w:tcBorders>
              <w:top w:val="nil"/>
              <w:left w:val="nil"/>
              <w:bottom w:val="nil"/>
              <w:right w:val="nil"/>
            </w:tcBorders>
            <w:shd w:val="clear" w:color="auto" w:fill="auto"/>
            <w:vAlign w:val="center"/>
            <w:hideMark/>
          </w:tcPr>
          <w:p w14:paraId="6B1C01BE" w14:textId="77777777" w:rsidR="008C26DA" w:rsidRPr="008C26DA" w:rsidRDefault="008C26DA" w:rsidP="008C26DA">
            <w:pPr>
              <w:pStyle w:val="TableIndent"/>
            </w:pPr>
            <w:r w:rsidRPr="00843688">
              <w:t>Receivables</w:t>
            </w:r>
          </w:p>
        </w:tc>
        <w:tc>
          <w:tcPr>
            <w:tcW w:w="532" w:type="pct"/>
            <w:tcBorders>
              <w:top w:val="nil"/>
              <w:left w:val="nil"/>
              <w:bottom w:val="single" w:sz="8" w:space="0" w:color="auto"/>
              <w:right w:val="nil"/>
            </w:tcBorders>
            <w:shd w:val="clear" w:color="auto" w:fill="auto"/>
            <w:hideMark/>
          </w:tcPr>
          <w:p w14:paraId="2C7BC7D7" w14:textId="77777777" w:rsidR="008C26DA" w:rsidRPr="008C26DA" w:rsidRDefault="008C26DA" w:rsidP="008C26DA">
            <w:pPr>
              <w:pStyle w:val="TableRight"/>
            </w:pPr>
            <w:r w:rsidRPr="00EE411C">
              <w:t>1.2</w:t>
            </w:r>
          </w:p>
        </w:tc>
        <w:tc>
          <w:tcPr>
            <w:tcW w:w="563" w:type="pct"/>
            <w:tcBorders>
              <w:top w:val="nil"/>
              <w:left w:val="nil"/>
              <w:bottom w:val="single" w:sz="8" w:space="0" w:color="auto"/>
              <w:right w:val="nil"/>
            </w:tcBorders>
            <w:shd w:val="clear" w:color="auto" w:fill="auto"/>
            <w:vAlign w:val="bottom"/>
            <w:hideMark/>
          </w:tcPr>
          <w:p w14:paraId="23AE59A6" w14:textId="77777777" w:rsidR="008C26DA" w:rsidRPr="008C26DA" w:rsidRDefault="008C26DA" w:rsidP="008C26DA">
            <w:pPr>
              <w:pStyle w:val="TableRight"/>
            </w:pPr>
            <w:r w:rsidRPr="00EE411C">
              <w:t>1.3</w:t>
            </w:r>
          </w:p>
        </w:tc>
        <w:tc>
          <w:tcPr>
            <w:tcW w:w="533" w:type="pct"/>
            <w:tcBorders>
              <w:top w:val="nil"/>
              <w:left w:val="nil"/>
              <w:bottom w:val="single" w:sz="8" w:space="0" w:color="auto"/>
              <w:right w:val="nil"/>
            </w:tcBorders>
            <w:shd w:val="clear" w:color="auto" w:fill="auto"/>
          </w:tcPr>
          <w:p w14:paraId="72B20746" w14:textId="77777777" w:rsidR="008C26DA" w:rsidRPr="008C26DA" w:rsidRDefault="008C26DA" w:rsidP="008C26DA">
            <w:pPr>
              <w:pStyle w:val="TableRight"/>
            </w:pPr>
            <w:r w:rsidRPr="00EE411C">
              <w:t>1.3</w:t>
            </w:r>
          </w:p>
        </w:tc>
        <w:tc>
          <w:tcPr>
            <w:tcW w:w="533" w:type="pct"/>
            <w:tcBorders>
              <w:top w:val="nil"/>
              <w:left w:val="nil"/>
              <w:bottom w:val="single" w:sz="8" w:space="0" w:color="auto"/>
              <w:right w:val="nil"/>
            </w:tcBorders>
            <w:shd w:val="clear" w:color="auto" w:fill="auto"/>
          </w:tcPr>
          <w:p w14:paraId="32CDFDB2" w14:textId="77777777" w:rsidR="008C26DA" w:rsidRPr="008C26DA" w:rsidRDefault="008C26DA" w:rsidP="008C26DA">
            <w:pPr>
              <w:pStyle w:val="TableRight"/>
            </w:pPr>
            <w:r w:rsidRPr="00EE411C">
              <w:t>1.3</w:t>
            </w:r>
          </w:p>
        </w:tc>
        <w:tc>
          <w:tcPr>
            <w:tcW w:w="532" w:type="pct"/>
            <w:tcBorders>
              <w:top w:val="nil"/>
              <w:left w:val="nil"/>
              <w:bottom w:val="single" w:sz="8" w:space="0" w:color="auto"/>
              <w:right w:val="nil"/>
            </w:tcBorders>
            <w:shd w:val="clear" w:color="auto" w:fill="auto"/>
          </w:tcPr>
          <w:p w14:paraId="238A537B" w14:textId="77777777" w:rsidR="008C26DA" w:rsidRPr="008C26DA" w:rsidRDefault="008C26DA" w:rsidP="008C26DA">
            <w:pPr>
              <w:pStyle w:val="TableRight"/>
            </w:pPr>
            <w:r w:rsidRPr="00EE411C">
              <w:t>1.3</w:t>
            </w:r>
          </w:p>
        </w:tc>
        <w:tc>
          <w:tcPr>
            <w:tcW w:w="531" w:type="pct"/>
            <w:tcBorders>
              <w:top w:val="nil"/>
              <w:left w:val="nil"/>
              <w:bottom w:val="single" w:sz="8" w:space="0" w:color="auto"/>
              <w:right w:val="nil"/>
            </w:tcBorders>
            <w:shd w:val="clear" w:color="auto" w:fill="auto"/>
          </w:tcPr>
          <w:p w14:paraId="0CB169E8" w14:textId="77777777" w:rsidR="008C26DA" w:rsidRPr="008C26DA" w:rsidRDefault="008C26DA" w:rsidP="008C26DA">
            <w:pPr>
              <w:pStyle w:val="TableRight"/>
            </w:pPr>
            <w:r w:rsidRPr="00EE411C">
              <w:t>1.3</w:t>
            </w:r>
          </w:p>
        </w:tc>
      </w:tr>
      <w:tr w:rsidR="008C26DA" w:rsidRPr="00EE411C" w14:paraId="7ED67172" w14:textId="77777777" w:rsidTr="005072B5">
        <w:trPr>
          <w:trHeight w:val="315"/>
        </w:trPr>
        <w:tc>
          <w:tcPr>
            <w:tcW w:w="1776" w:type="pct"/>
            <w:tcBorders>
              <w:top w:val="nil"/>
              <w:left w:val="nil"/>
              <w:bottom w:val="nil"/>
              <w:right w:val="nil"/>
            </w:tcBorders>
            <w:shd w:val="clear" w:color="auto" w:fill="auto"/>
            <w:vAlign w:val="center"/>
            <w:hideMark/>
          </w:tcPr>
          <w:p w14:paraId="50D40549" w14:textId="77777777" w:rsidR="008C26DA" w:rsidRPr="00843688" w:rsidRDefault="008C26DA" w:rsidP="008C26DA">
            <w:pPr>
              <w:pStyle w:val="TableLeft"/>
            </w:pPr>
          </w:p>
        </w:tc>
        <w:tc>
          <w:tcPr>
            <w:tcW w:w="532" w:type="pct"/>
            <w:tcBorders>
              <w:top w:val="nil"/>
              <w:left w:val="nil"/>
              <w:bottom w:val="nil"/>
              <w:right w:val="nil"/>
            </w:tcBorders>
            <w:shd w:val="clear" w:color="auto" w:fill="auto"/>
            <w:vAlign w:val="bottom"/>
            <w:hideMark/>
          </w:tcPr>
          <w:p w14:paraId="70DB9A02" w14:textId="77777777" w:rsidR="008C26DA" w:rsidRPr="008C26DA" w:rsidRDefault="008C26DA" w:rsidP="008C26DA">
            <w:pPr>
              <w:pStyle w:val="TableRightHeading"/>
            </w:pPr>
            <w:r w:rsidRPr="00EE411C">
              <w:t>430.2</w:t>
            </w:r>
          </w:p>
        </w:tc>
        <w:tc>
          <w:tcPr>
            <w:tcW w:w="563" w:type="pct"/>
            <w:tcBorders>
              <w:top w:val="nil"/>
              <w:left w:val="nil"/>
              <w:bottom w:val="nil"/>
              <w:right w:val="nil"/>
            </w:tcBorders>
            <w:shd w:val="clear" w:color="auto" w:fill="auto"/>
            <w:vAlign w:val="bottom"/>
            <w:hideMark/>
          </w:tcPr>
          <w:p w14:paraId="33B02C6C" w14:textId="77777777" w:rsidR="008C26DA" w:rsidRPr="008C26DA" w:rsidRDefault="008C26DA" w:rsidP="008C26DA">
            <w:pPr>
              <w:pStyle w:val="TableRightHeading"/>
            </w:pPr>
            <w:r w:rsidRPr="00EE411C">
              <w:t>460.1</w:t>
            </w:r>
          </w:p>
        </w:tc>
        <w:tc>
          <w:tcPr>
            <w:tcW w:w="533" w:type="pct"/>
            <w:tcBorders>
              <w:top w:val="nil"/>
              <w:left w:val="nil"/>
              <w:bottom w:val="nil"/>
              <w:right w:val="nil"/>
            </w:tcBorders>
            <w:shd w:val="clear" w:color="auto" w:fill="auto"/>
            <w:vAlign w:val="bottom"/>
          </w:tcPr>
          <w:p w14:paraId="08A50214" w14:textId="77777777" w:rsidR="008C26DA" w:rsidRPr="008C26DA" w:rsidRDefault="008C26DA" w:rsidP="008C26DA">
            <w:pPr>
              <w:pStyle w:val="TableRightHeading"/>
            </w:pPr>
            <w:r w:rsidRPr="00EE411C">
              <w:t>494.4</w:t>
            </w:r>
          </w:p>
        </w:tc>
        <w:tc>
          <w:tcPr>
            <w:tcW w:w="533" w:type="pct"/>
            <w:tcBorders>
              <w:top w:val="nil"/>
              <w:left w:val="nil"/>
              <w:bottom w:val="nil"/>
              <w:right w:val="nil"/>
            </w:tcBorders>
            <w:shd w:val="clear" w:color="auto" w:fill="auto"/>
            <w:vAlign w:val="bottom"/>
          </w:tcPr>
          <w:p w14:paraId="3D4D80BF" w14:textId="77777777" w:rsidR="008C26DA" w:rsidRPr="008C26DA" w:rsidRDefault="008C26DA" w:rsidP="008C26DA">
            <w:pPr>
              <w:pStyle w:val="TableRightHeading"/>
            </w:pPr>
            <w:r w:rsidRPr="00EE411C">
              <w:t>523.2</w:t>
            </w:r>
          </w:p>
        </w:tc>
        <w:tc>
          <w:tcPr>
            <w:tcW w:w="532" w:type="pct"/>
            <w:tcBorders>
              <w:top w:val="nil"/>
              <w:left w:val="nil"/>
              <w:bottom w:val="nil"/>
              <w:right w:val="nil"/>
            </w:tcBorders>
            <w:shd w:val="clear" w:color="auto" w:fill="auto"/>
            <w:vAlign w:val="bottom"/>
          </w:tcPr>
          <w:p w14:paraId="6151042A" w14:textId="77777777" w:rsidR="008C26DA" w:rsidRPr="008C26DA" w:rsidRDefault="008C26DA" w:rsidP="008C26DA">
            <w:pPr>
              <w:pStyle w:val="TableRightHeading"/>
            </w:pPr>
            <w:r w:rsidRPr="00EE411C">
              <w:t>552.3</w:t>
            </w:r>
          </w:p>
        </w:tc>
        <w:tc>
          <w:tcPr>
            <w:tcW w:w="531" w:type="pct"/>
            <w:tcBorders>
              <w:top w:val="nil"/>
              <w:left w:val="nil"/>
              <w:bottom w:val="nil"/>
              <w:right w:val="nil"/>
            </w:tcBorders>
            <w:shd w:val="clear" w:color="auto" w:fill="auto"/>
            <w:vAlign w:val="bottom"/>
          </w:tcPr>
          <w:p w14:paraId="7C19A4DB" w14:textId="77777777" w:rsidR="008C26DA" w:rsidRPr="008C26DA" w:rsidRDefault="008C26DA" w:rsidP="008C26DA">
            <w:pPr>
              <w:pStyle w:val="TableRightHeading"/>
            </w:pPr>
            <w:r w:rsidRPr="00EE411C">
              <w:t>581.4</w:t>
            </w:r>
          </w:p>
        </w:tc>
      </w:tr>
      <w:tr w:rsidR="008C26DA" w:rsidRPr="00EE411C" w14:paraId="3548C19A" w14:textId="77777777" w:rsidTr="005072B5">
        <w:trPr>
          <w:trHeight w:val="315"/>
        </w:trPr>
        <w:tc>
          <w:tcPr>
            <w:tcW w:w="1776" w:type="pct"/>
            <w:tcBorders>
              <w:top w:val="nil"/>
              <w:left w:val="nil"/>
              <w:bottom w:val="nil"/>
              <w:right w:val="nil"/>
            </w:tcBorders>
            <w:shd w:val="clear" w:color="auto" w:fill="auto"/>
            <w:vAlign w:val="center"/>
            <w:hideMark/>
          </w:tcPr>
          <w:p w14:paraId="03CB276A" w14:textId="77777777" w:rsidR="008C26DA" w:rsidRPr="008C26DA" w:rsidRDefault="008C26DA" w:rsidP="008C26DA">
            <w:pPr>
              <w:pStyle w:val="TableLeftHeading"/>
            </w:pPr>
            <w:r w:rsidRPr="00843688">
              <w:t>Liabilities</w:t>
            </w:r>
            <w:r w:rsidRPr="00AA5706">
              <w:rPr>
                <w:rStyle w:val="TableSuperscriptChar"/>
              </w:rPr>
              <w:t>1</w:t>
            </w:r>
          </w:p>
        </w:tc>
        <w:tc>
          <w:tcPr>
            <w:tcW w:w="532" w:type="pct"/>
            <w:tcBorders>
              <w:top w:val="nil"/>
              <w:left w:val="nil"/>
              <w:bottom w:val="nil"/>
              <w:right w:val="nil"/>
            </w:tcBorders>
            <w:shd w:val="clear" w:color="auto" w:fill="auto"/>
            <w:vAlign w:val="center"/>
          </w:tcPr>
          <w:p w14:paraId="23B3D0DF" w14:textId="77777777" w:rsidR="008C26DA" w:rsidRPr="00EE411C" w:rsidRDefault="008C26DA" w:rsidP="008C26DA">
            <w:pPr>
              <w:pStyle w:val="TableRightHeading"/>
            </w:pPr>
          </w:p>
        </w:tc>
        <w:tc>
          <w:tcPr>
            <w:tcW w:w="563" w:type="pct"/>
            <w:tcBorders>
              <w:top w:val="nil"/>
              <w:left w:val="nil"/>
              <w:bottom w:val="nil"/>
              <w:right w:val="nil"/>
            </w:tcBorders>
            <w:shd w:val="clear" w:color="auto" w:fill="auto"/>
            <w:vAlign w:val="center"/>
          </w:tcPr>
          <w:p w14:paraId="4460B9CD" w14:textId="77777777" w:rsidR="008C26DA" w:rsidRPr="00EE411C" w:rsidRDefault="008C26DA" w:rsidP="008C26DA">
            <w:pPr>
              <w:pStyle w:val="TableRightHeading"/>
            </w:pPr>
          </w:p>
        </w:tc>
        <w:tc>
          <w:tcPr>
            <w:tcW w:w="533" w:type="pct"/>
            <w:tcBorders>
              <w:top w:val="nil"/>
              <w:left w:val="nil"/>
              <w:bottom w:val="nil"/>
              <w:right w:val="nil"/>
            </w:tcBorders>
            <w:shd w:val="clear" w:color="auto" w:fill="auto"/>
            <w:vAlign w:val="center"/>
          </w:tcPr>
          <w:p w14:paraId="4DC4CF8E" w14:textId="77777777" w:rsidR="008C26DA" w:rsidRPr="00EE411C" w:rsidRDefault="008C26DA" w:rsidP="008C26DA">
            <w:pPr>
              <w:pStyle w:val="TableRightHeading"/>
            </w:pPr>
          </w:p>
        </w:tc>
        <w:tc>
          <w:tcPr>
            <w:tcW w:w="533" w:type="pct"/>
            <w:tcBorders>
              <w:top w:val="nil"/>
              <w:left w:val="nil"/>
              <w:bottom w:val="nil"/>
              <w:right w:val="nil"/>
            </w:tcBorders>
            <w:shd w:val="clear" w:color="auto" w:fill="auto"/>
            <w:vAlign w:val="center"/>
          </w:tcPr>
          <w:p w14:paraId="125B4B83" w14:textId="77777777" w:rsidR="008C26DA" w:rsidRPr="00EE411C" w:rsidRDefault="008C26DA" w:rsidP="008C26DA">
            <w:pPr>
              <w:pStyle w:val="TableRightHeading"/>
            </w:pPr>
          </w:p>
        </w:tc>
        <w:tc>
          <w:tcPr>
            <w:tcW w:w="532" w:type="pct"/>
            <w:tcBorders>
              <w:top w:val="nil"/>
              <w:left w:val="nil"/>
              <w:bottom w:val="nil"/>
              <w:right w:val="nil"/>
            </w:tcBorders>
            <w:shd w:val="clear" w:color="auto" w:fill="auto"/>
            <w:vAlign w:val="center"/>
          </w:tcPr>
          <w:p w14:paraId="536C9AA9" w14:textId="77777777" w:rsidR="008C26DA" w:rsidRPr="00EE411C" w:rsidRDefault="008C26DA" w:rsidP="008C26DA">
            <w:pPr>
              <w:pStyle w:val="TableRightHeading"/>
            </w:pPr>
          </w:p>
        </w:tc>
        <w:tc>
          <w:tcPr>
            <w:tcW w:w="531" w:type="pct"/>
            <w:tcBorders>
              <w:top w:val="nil"/>
              <w:left w:val="nil"/>
              <w:bottom w:val="nil"/>
              <w:right w:val="nil"/>
            </w:tcBorders>
            <w:shd w:val="clear" w:color="auto" w:fill="auto"/>
            <w:vAlign w:val="center"/>
          </w:tcPr>
          <w:p w14:paraId="08761678" w14:textId="77777777" w:rsidR="008C26DA" w:rsidRPr="00EE411C" w:rsidRDefault="008C26DA" w:rsidP="008C26DA">
            <w:pPr>
              <w:pStyle w:val="TableRightHeading"/>
            </w:pPr>
          </w:p>
        </w:tc>
      </w:tr>
      <w:tr w:rsidR="008C26DA" w:rsidRPr="00EE411C" w14:paraId="2F76C180" w14:textId="77777777" w:rsidTr="005072B5">
        <w:trPr>
          <w:trHeight w:val="315"/>
        </w:trPr>
        <w:tc>
          <w:tcPr>
            <w:tcW w:w="1776" w:type="pct"/>
            <w:tcBorders>
              <w:top w:val="nil"/>
              <w:left w:val="nil"/>
              <w:bottom w:val="nil"/>
              <w:right w:val="nil"/>
            </w:tcBorders>
            <w:shd w:val="clear" w:color="auto" w:fill="auto"/>
            <w:vAlign w:val="center"/>
            <w:hideMark/>
          </w:tcPr>
          <w:p w14:paraId="4337F9C7" w14:textId="77777777" w:rsidR="008C26DA" w:rsidRPr="008C26DA" w:rsidRDefault="008C26DA" w:rsidP="008C26DA">
            <w:pPr>
              <w:pStyle w:val="TableIndent"/>
            </w:pPr>
            <w:r w:rsidRPr="00843688">
              <w:t>Personal injury</w:t>
            </w:r>
          </w:p>
        </w:tc>
        <w:tc>
          <w:tcPr>
            <w:tcW w:w="532" w:type="pct"/>
            <w:tcBorders>
              <w:top w:val="nil"/>
              <w:left w:val="nil"/>
              <w:bottom w:val="nil"/>
              <w:right w:val="nil"/>
            </w:tcBorders>
            <w:shd w:val="clear" w:color="auto" w:fill="auto"/>
            <w:vAlign w:val="bottom"/>
            <w:hideMark/>
          </w:tcPr>
          <w:p w14:paraId="5576100C" w14:textId="77777777" w:rsidR="008C26DA" w:rsidRPr="008C26DA" w:rsidRDefault="008C26DA" w:rsidP="008C26DA">
            <w:pPr>
              <w:pStyle w:val="TableRight"/>
            </w:pPr>
            <w:r w:rsidRPr="00EE411C">
              <w:t>240.3</w:t>
            </w:r>
          </w:p>
        </w:tc>
        <w:tc>
          <w:tcPr>
            <w:tcW w:w="563" w:type="pct"/>
            <w:tcBorders>
              <w:top w:val="nil"/>
              <w:left w:val="nil"/>
              <w:bottom w:val="nil"/>
              <w:right w:val="nil"/>
            </w:tcBorders>
            <w:shd w:val="clear" w:color="auto" w:fill="auto"/>
            <w:vAlign w:val="bottom"/>
            <w:hideMark/>
          </w:tcPr>
          <w:p w14:paraId="2D528483" w14:textId="77777777" w:rsidR="008C26DA" w:rsidRPr="008C26DA" w:rsidRDefault="008C26DA" w:rsidP="008C26DA">
            <w:pPr>
              <w:pStyle w:val="TableRight"/>
            </w:pPr>
            <w:r w:rsidRPr="00EE411C">
              <w:t>252.3</w:t>
            </w:r>
          </w:p>
        </w:tc>
        <w:tc>
          <w:tcPr>
            <w:tcW w:w="533" w:type="pct"/>
            <w:tcBorders>
              <w:top w:val="nil"/>
              <w:left w:val="nil"/>
              <w:bottom w:val="nil"/>
              <w:right w:val="nil"/>
            </w:tcBorders>
            <w:shd w:val="clear" w:color="auto" w:fill="auto"/>
            <w:vAlign w:val="bottom"/>
          </w:tcPr>
          <w:p w14:paraId="51B25B7F" w14:textId="77777777" w:rsidR="008C26DA" w:rsidRPr="008C26DA" w:rsidRDefault="008C26DA" w:rsidP="008C26DA">
            <w:pPr>
              <w:pStyle w:val="TableRight"/>
            </w:pPr>
            <w:r w:rsidRPr="00EE411C">
              <w:t>284.6</w:t>
            </w:r>
          </w:p>
        </w:tc>
        <w:tc>
          <w:tcPr>
            <w:tcW w:w="533" w:type="pct"/>
            <w:tcBorders>
              <w:top w:val="nil"/>
              <w:left w:val="nil"/>
              <w:bottom w:val="nil"/>
              <w:right w:val="nil"/>
            </w:tcBorders>
            <w:shd w:val="clear" w:color="auto" w:fill="auto"/>
            <w:vAlign w:val="bottom"/>
          </w:tcPr>
          <w:p w14:paraId="426D0309" w14:textId="77777777" w:rsidR="008C26DA" w:rsidRPr="008C26DA" w:rsidRDefault="008C26DA" w:rsidP="008C26DA">
            <w:pPr>
              <w:pStyle w:val="TableRight"/>
            </w:pPr>
            <w:r w:rsidRPr="00EE411C">
              <w:t>310.0</w:t>
            </w:r>
          </w:p>
        </w:tc>
        <w:tc>
          <w:tcPr>
            <w:tcW w:w="532" w:type="pct"/>
            <w:tcBorders>
              <w:top w:val="nil"/>
              <w:left w:val="nil"/>
              <w:bottom w:val="nil"/>
              <w:right w:val="nil"/>
            </w:tcBorders>
            <w:shd w:val="clear" w:color="auto" w:fill="auto"/>
            <w:vAlign w:val="bottom"/>
          </w:tcPr>
          <w:p w14:paraId="6B1A3953" w14:textId="77777777" w:rsidR="008C26DA" w:rsidRPr="008C26DA" w:rsidRDefault="008C26DA" w:rsidP="008C26DA">
            <w:pPr>
              <w:pStyle w:val="TableRight"/>
            </w:pPr>
            <w:r w:rsidRPr="00EE411C">
              <w:t>331.8</w:t>
            </w:r>
          </w:p>
        </w:tc>
        <w:tc>
          <w:tcPr>
            <w:tcW w:w="531" w:type="pct"/>
            <w:tcBorders>
              <w:top w:val="nil"/>
              <w:left w:val="nil"/>
              <w:bottom w:val="nil"/>
              <w:right w:val="nil"/>
            </w:tcBorders>
            <w:shd w:val="clear" w:color="auto" w:fill="auto"/>
            <w:vAlign w:val="bottom"/>
          </w:tcPr>
          <w:p w14:paraId="681602D0" w14:textId="77777777" w:rsidR="008C26DA" w:rsidRPr="008C26DA" w:rsidRDefault="008C26DA" w:rsidP="008C26DA">
            <w:pPr>
              <w:pStyle w:val="TableRight"/>
            </w:pPr>
            <w:r w:rsidRPr="00EE411C">
              <w:t>351.9</w:t>
            </w:r>
          </w:p>
        </w:tc>
      </w:tr>
      <w:tr w:rsidR="008C26DA" w:rsidRPr="00EE411C" w14:paraId="6F967172" w14:textId="77777777" w:rsidTr="005072B5">
        <w:trPr>
          <w:trHeight w:val="315"/>
        </w:trPr>
        <w:tc>
          <w:tcPr>
            <w:tcW w:w="1776" w:type="pct"/>
            <w:tcBorders>
              <w:top w:val="nil"/>
              <w:left w:val="nil"/>
              <w:bottom w:val="nil"/>
              <w:right w:val="nil"/>
            </w:tcBorders>
            <w:shd w:val="clear" w:color="auto" w:fill="auto"/>
            <w:vAlign w:val="center"/>
            <w:hideMark/>
          </w:tcPr>
          <w:p w14:paraId="79EA2077" w14:textId="77777777" w:rsidR="008C26DA" w:rsidRPr="008C26DA" w:rsidRDefault="008C26DA" w:rsidP="008C26DA">
            <w:pPr>
              <w:pStyle w:val="TableIndent"/>
            </w:pPr>
            <w:r w:rsidRPr="00843688">
              <w:t>Property</w:t>
            </w:r>
          </w:p>
        </w:tc>
        <w:tc>
          <w:tcPr>
            <w:tcW w:w="532" w:type="pct"/>
            <w:tcBorders>
              <w:top w:val="nil"/>
              <w:left w:val="nil"/>
              <w:bottom w:val="nil"/>
              <w:right w:val="nil"/>
            </w:tcBorders>
            <w:shd w:val="clear" w:color="auto" w:fill="auto"/>
            <w:vAlign w:val="bottom"/>
            <w:hideMark/>
          </w:tcPr>
          <w:p w14:paraId="25EC74AF" w14:textId="77777777" w:rsidR="008C26DA" w:rsidRPr="008C26DA" w:rsidRDefault="008C26DA" w:rsidP="008C26DA">
            <w:pPr>
              <w:pStyle w:val="TableRight"/>
            </w:pPr>
            <w:r w:rsidRPr="00EE411C">
              <w:t>8.7</w:t>
            </w:r>
          </w:p>
        </w:tc>
        <w:tc>
          <w:tcPr>
            <w:tcW w:w="563" w:type="pct"/>
            <w:tcBorders>
              <w:top w:val="nil"/>
              <w:left w:val="nil"/>
              <w:bottom w:val="nil"/>
              <w:right w:val="nil"/>
            </w:tcBorders>
            <w:shd w:val="clear" w:color="auto" w:fill="auto"/>
            <w:vAlign w:val="bottom"/>
            <w:hideMark/>
          </w:tcPr>
          <w:p w14:paraId="7B45365C" w14:textId="77777777" w:rsidR="008C26DA" w:rsidRPr="008C26DA" w:rsidRDefault="008C26DA" w:rsidP="008C26DA">
            <w:pPr>
              <w:pStyle w:val="TableRight"/>
            </w:pPr>
            <w:r w:rsidRPr="00EE411C">
              <w:t>18.8</w:t>
            </w:r>
          </w:p>
        </w:tc>
        <w:tc>
          <w:tcPr>
            <w:tcW w:w="533" w:type="pct"/>
            <w:tcBorders>
              <w:top w:val="nil"/>
              <w:left w:val="nil"/>
              <w:bottom w:val="nil"/>
              <w:right w:val="nil"/>
            </w:tcBorders>
            <w:shd w:val="clear" w:color="auto" w:fill="auto"/>
            <w:vAlign w:val="bottom"/>
          </w:tcPr>
          <w:p w14:paraId="294370FE" w14:textId="77777777" w:rsidR="008C26DA" w:rsidRPr="008C26DA" w:rsidRDefault="008C26DA" w:rsidP="008C26DA">
            <w:pPr>
              <w:pStyle w:val="TableRight"/>
            </w:pPr>
            <w:r w:rsidRPr="00EE411C">
              <w:t>12.7</w:t>
            </w:r>
          </w:p>
        </w:tc>
        <w:tc>
          <w:tcPr>
            <w:tcW w:w="533" w:type="pct"/>
            <w:tcBorders>
              <w:top w:val="nil"/>
              <w:left w:val="nil"/>
              <w:bottom w:val="nil"/>
              <w:right w:val="nil"/>
            </w:tcBorders>
            <w:shd w:val="clear" w:color="auto" w:fill="auto"/>
            <w:vAlign w:val="bottom"/>
          </w:tcPr>
          <w:p w14:paraId="1B5286A2" w14:textId="77777777" w:rsidR="008C26DA" w:rsidRPr="008C26DA" w:rsidRDefault="008C26DA" w:rsidP="008C26DA">
            <w:pPr>
              <w:pStyle w:val="TableRight"/>
            </w:pPr>
            <w:r w:rsidRPr="00EE411C">
              <w:t>9.2</w:t>
            </w:r>
          </w:p>
        </w:tc>
        <w:tc>
          <w:tcPr>
            <w:tcW w:w="532" w:type="pct"/>
            <w:tcBorders>
              <w:top w:val="nil"/>
              <w:left w:val="nil"/>
              <w:bottom w:val="nil"/>
              <w:right w:val="nil"/>
            </w:tcBorders>
            <w:shd w:val="clear" w:color="auto" w:fill="auto"/>
            <w:vAlign w:val="bottom"/>
          </w:tcPr>
          <w:p w14:paraId="4803BDD5" w14:textId="77777777" w:rsidR="008C26DA" w:rsidRPr="008C26DA" w:rsidRDefault="008C26DA" w:rsidP="008C26DA">
            <w:pPr>
              <w:pStyle w:val="TableRight"/>
            </w:pPr>
            <w:r w:rsidRPr="00EE411C">
              <w:t>9.6</w:t>
            </w:r>
          </w:p>
        </w:tc>
        <w:tc>
          <w:tcPr>
            <w:tcW w:w="531" w:type="pct"/>
            <w:tcBorders>
              <w:top w:val="nil"/>
              <w:left w:val="nil"/>
              <w:bottom w:val="nil"/>
              <w:right w:val="nil"/>
            </w:tcBorders>
            <w:shd w:val="clear" w:color="auto" w:fill="auto"/>
            <w:vAlign w:val="bottom"/>
          </w:tcPr>
          <w:p w14:paraId="52966B12" w14:textId="77777777" w:rsidR="008C26DA" w:rsidRPr="008C26DA" w:rsidRDefault="008C26DA" w:rsidP="008C26DA">
            <w:pPr>
              <w:pStyle w:val="TableRight"/>
            </w:pPr>
            <w:r w:rsidRPr="00EE411C">
              <w:t>10.1</w:t>
            </w:r>
          </w:p>
        </w:tc>
      </w:tr>
      <w:tr w:rsidR="008C26DA" w:rsidRPr="00EE411C" w14:paraId="011D4702" w14:textId="77777777" w:rsidTr="005072B5">
        <w:trPr>
          <w:trHeight w:val="315"/>
        </w:trPr>
        <w:tc>
          <w:tcPr>
            <w:tcW w:w="1776" w:type="pct"/>
            <w:tcBorders>
              <w:top w:val="nil"/>
              <w:left w:val="nil"/>
              <w:bottom w:val="nil"/>
              <w:right w:val="nil"/>
            </w:tcBorders>
            <w:shd w:val="clear" w:color="auto" w:fill="auto"/>
            <w:vAlign w:val="center"/>
            <w:hideMark/>
          </w:tcPr>
          <w:p w14:paraId="798B0F6E" w14:textId="77777777" w:rsidR="008C26DA" w:rsidRPr="008C26DA" w:rsidRDefault="008C26DA" w:rsidP="008C26DA">
            <w:pPr>
              <w:pStyle w:val="TableIndent"/>
            </w:pPr>
            <w:r w:rsidRPr="00843688">
              <w:t>Motor vehicle</w:t>
            </w:r>
          </w:p>
        </w:tc>
        <w:tc>
          <w:tcPr>
            <w:tcW w:w="532" w:type="pct"/>
            <w:tcBorders>
              <w:top w:val="nil"/>
              <w:left w:val="nil"/>
              <w:bottom w:val="nil"/>
              <w:right w:val="nil"/>
            </w:tcBorders>
            <w:shd w:val="clear" w:color="auto" w:fill="auto"/>
            <w:vAlign w:val="bottom"/>
            <w:hideMark/>
          </w:tcPr>
          <w:p w14:paraId="66DBFA40" w14:textId="77777777" w:rsidR="008C26DA" w:rsidRPr="008C26DA" w:rsidRDefault="008C26DA" w:rsidP="008C26DA">
            <w:pPr>
              <w:pStyle w:val="TableRight"/>
            </w:pPr>
            <w:r w:rsidRPr="00EE411C">
              <w:t>0.7</w:t>
            </w:r>
          </w:p>
        </w:tc>
        <w:tc>
          <w:tcPr>
            <w:tcW w:w="563" w:type="pct"/>
            <w:tcBorders>
              <w:top w:val="nil"/>
              <w:left w:val="nil"/>
              <w:bottom w:val="nil"/>
              <w:right w:val="nil"/>
            </w:tcBorders>
            <w:shd w:val="clear" w:color="auto" w:fill="auto"/>
            <w:vAlign w:val="bottom"/>
          </w:tcPr>
          <w:p w14:paraId="201C5CDE" w14:textId="77777777" w:rsidR="008C26DA" w:rsidRPr="008C26DA" w:rsidRDefault="008C26DA" w:rsidP="008C26DA">
            <w:pPr>
              <w:pStyle w:val="TableRight"/>
            </w:pPr>
            <w:r w:rsidRPr="00EE411C">
              <w:t>0.7</w:t>
            </w:r>
          </w:p>
        </w:tc>
        <w:tc>
          <w:tcPr>
            <w:tcW w:w="533" w:type="pct"/>
            <w:tcBorders>
              <w:top w:val="nil"/>
              <w:left w:val="nil"/>
              <w:bottom w:val="nil"/>
              <w:right w:val="nil"/>
            </w:tcBorders>
            <w:shd w:val="clear" w:color="auto" w:fill="auto"/>
            <w:vAlign w:val="bottom"/>
          </w:tcPr>
          <w:p w14:paraId="7B236E89" w14:textId="77777777" w:rsidR="008C26DA" w:rsidRPr="008C26DA" w:rsidRDefault="008C26DA" w:rsidP="008C26DA">
            <w:pPr>
              <w:pStyle w:val="TableRight"/>
            </w:pPr>
            <w:r w:rsidRPr="00EE411C">
              <w:t>0.7</w:t>
            </w:r>
          </w:p>
        </w:tc>
        <w:tc>
          <w:tcPr>
            <w:tcW w:w="533" w:type="pct"/>
            <w:tcBorders>
              <w:top w:val="nil"/>
              <w:left w:val="nil"/>
              <w:bottom w:val="nil"/>
              <w:right w:val="nil"/>
            </w:tcBorders>
            <w:shd w:val="clear" w:color="auto" w:fill="auto"/>
            <w:vAlign w:val="bottom"/>
          </w:tcPr>
          <w:p w14:paraId="19547F53" w14:textId="77777777" w:rsidR="008C26DA" w:rsidRPr="008C26DA" w:rsidRDefault="008C26DA" w:rsidP="008C26DA">
            <w:pPr>
              <w:pStyle w:val="TableRight"/>
            </w:pPr>
            <w:r w:rsidRPr="00EE411C">
              <w:t>0.8</w:t>
            </w:r>
          </w:p>
        </w:tc>
        <w:tc>
          <w:tcPr>
            <w:tcW w:w="532" w:type="pct"/>
            <w:tcBorders>
              <w:top w:val="nil"/>
              <w:left w:val="nil"/>
              <w:bottom w:val="nil"/>
              <w:right w:val="nil"/>
            </w:tcBorders>
            <w:shd w:val="clear" w:color="auto" w:fill="auto"/>
            <w:vAlign w:val="bottom"/>
          </w:tcPr>
          <w:p w14:paraId="59A548E0" w14:textId="77777777" w:rsidR="008C26DA" w:rsidRPr="008C26DA" w:rsidRDefault="008C26DA" w:rsidP="008C26DA">
            <w:pPr>
              <w:pStyle w:val="TableRight"/>
            </w:pPr>
            <w:r w:rsidRPr="00EE411C">
              <w:t>0.8</w:t>
            </w:r>
          </w:p>
        </w:tc>
        <w:tc>
          <w:tcPr>
            <w:tcW w:w="531" w:type="pct"/>
            <w:tcBorders>
              <w:top w:val="nil"/>
              <w:left w:val="nil"/>
              <w:bottom w:val="nil"/>
              <w:right w:val="nil"/>
            </w:tcBorders>
            <w:shd w:val="clear" w:color="auto" w:fill="auto"/>
            <w:vAlign w:val="bottom"/>
          </w:tcPr>
          <w:p w14:paraId="34E99C48" w14:textId="032BBAFF" w:rsidR="008C26DA" w:rsidRPr="008C26DA" w:rsidRDefault="00B64F54" w:rsidP="008C26DA">
            <w:pPr>
              <w:pStyle w:val="TableRight"/>
            </w:pPr>
            <w:r>
              <w:t>0</w:t>
            </w:r>
            <w:r w:rsidR="008C26DA" w:rsidRPr="00EE411C">
              <w:t>.9</w:t>
            </w:r>
          </w:p>
        </w:tc>
      </w:tr>
      <w:tr w:rsidR="008C26DA" w:rsidRPr="00EE411C" w14:paraId="673297BE" w14:textId="77777777" w:rsidTr="005072B5">
        <w:trPr>
          <w:trHeight w:val="315"/>
        </w:trPr>
        <w:tc>
          <w:tcPr>
            <w:tcW w:w="1776" w:type="pct"/>
            <w:tcBorders>
              <w:top w:val="nil"/>
              <w:left w:val="nil"/>
              <w:bottom w:val="nil"/>
              <w:right w:val="nil"/>
            </w:tcBorders>
            <w:shd w:val="clear" w:color="auto" w:fill="auto"/>
            <w:vAlign w:val="center"/>
            <w:hideMark/>
          </w:tcPr>
          <w:p w14:paraId="5B39CAD4" w14:textId="77777777" w:rsidR="008C26DA" w:rsidRPr="008C26DA" w:rsidRDefault="008C26DA" w:rsidP="008C26DA">
            <w:pPr>
              <w:pStyle w:val="TableIndent"/>
            </w:pPr>
            <w:r w:rsidRPr="00843688">
              <w:t>Liability</w:t>
            </w:r>
          </w:p>
        </w:tc>
        <w:tc>
          <w:tcPr>
            <w:tcW w:w="532" w:type="pct"/>
            <w:tcBorders>
              <w:top w:val="nil"/>
              <w:left w:val="nil"/>
              <w:bottom w:val="nil"/>
              <w:right w:val="nil"/>
            </w:tcBorders>
            <w:shd w:val="clear" w:color="auto" w:fill="auto"/>
            <w:vAlign w:val="bottom"/>
            <w:hideMark/>
          </w:tcPr>
          <w:p w14:paraId="5326FC36" w14:textId="77777777" w:rsidR="008C26DA" w:rsidRPr="008C26DA" w:rsidRDefault="008C26DA" w:rsidP="008C26DA">
            <w:pPr>
              <w:pStyle w:val="TableRight"/>
            </w:pPr>
            <w:r w:rsidRPr="00EE411C">
              <w:t>6.0</w:t>
            </w:r>
          </w:p>
        </w:tc>
        <w:tc>
          <w:tcPr>
            <w:tcW w:w="563" w:type="pct"/>
            <w:tcBorders>
              <w:top w:val="nil"/>
              <w:left w:val="nil"/>
              <w:bottom w:val="nil"/>
              <w:right w:val="nil"/>
            </w:tcBorders>
            <w:shd w:val="clear" w:color="auto" w:fill="auto"/>
            <w:vAlign w:val="bottom"/>
          </w:tcPr>
          <w:p w14:paraId="19A676B7" w14:textId="77777777" w:rsidR="008C26DA" w:rsidRPr="008C26DA" w:rsidRDefault="008C26DA" w:rsidP="008C26DA">
            <w:pPr>
              <w:pStyle w:val="TableRight"/>
            </w:pPr>
            <w:r w:rsidRPr="00EE411C">
              <w:t>5.0</w:t>
            </w:r>
          </w:p>
        </w:tc>
        <w:tc>
          <w:tcPr>
            <w:tcW w:w="533" w:type="pct"/>
            <w:tcBorders>
              <w:top w:val="nil"/>
              <w:left w:val="nil"/>
              <w:bottom w:val="nil"/>
              <w:right w:val="nil"/>
            </w:tcBorders>
            <w:shd w:val="clear" w:color="auto" w:fill="auto"/>
            <w:vAlign w:val="bottom"/>
          </w:tcPr>
          <w:p w14:paraId="22250ED1" w14:textId="77777777" w:rsidR="008C26DA" w:rsidRPr="008C26DA" w:rsidRDefault="008C26DA" w:rsidP="008C26DA">
            <w:pPr>
              <w:pStyle w:val="TableRight"/>
            </w:pPr>
            <w:r w:rsidRPr="00EE411C">
              <w:t>5.3</w:t>
            </w:r>
          </w:p>
        </w:tc>
        <w:tc>
          <w:tcPr>
            <w:tcW w:w="533" w:type="pct"/>
            <w:tcBorders>
              <w:top w:val="nil"/>
              <w:left w:val="nil"/>
              <w:bottom w:val="nil"/>
              <w:right w:val="nil"/>
            </w:tcBorders>
            <w:shd w:val="clear" w:color="auto" w:fill="auto"/>
            <w:vAlign w:val="bottom"/>
          </w:tcPr>
          <w:p w14:paraId="02B63495" w14:textId="77777777" w:rsidR="008C26DA" w:rsidRPr="008C26DA" w:rsidRDefault="008C26DA" w:rsidP="008C26DA">
            <w:pPr>
              <w:pStyle w:val="TableRight"/>
            </w:pPr>
            <w:r w:rsidRPr="00EE411C">
              <w:t>5.5</w:t>
            </w:r>
          </w:p>
        </w:tc>
        <w:tc>
          <w:tcPr>
            <w:tcW w:w="532" w:type="pct"/>
            <w:tcBorders>
              <w:top w:val="nil"/>
              <w:left w:val="nil"/>
              <w:bottom w:val="nil"/>
              <w:right w:val="nil"/>
            </w:tcBorders>
            <w:shd w:val="clear" w:color="auto" w:fill="auto"/>
            <w:vAlign w:val="bottom"/>
          </w:tcPr>
          <w:p w14:paraId="230BE4A3" w14:textId="77777777" w:rsidR="008C26DA" w:rsidRPr="008C26DA" w:rsidRDefault="008C26DA" w:rsidP="008C26DA">
            <w:pPr>
              <w:pStyle w:val="TableRight"/>
            </w:pPr>
            <w:r w:rsidRPr="00EE411C">
              <w:t>5.7</w:t>
            </w:r>
          </w:p>
        </w:tc>
        <w:tc>
          <w:tcPr>
            <w:tcW w:w="531" w:type="pct"/>
            <w:tcBorders>
              <w:top w:val="nil"/>
              <w:left w:val="nil"/>
              <w:bottom w:val="nil"/>
              <w:right w:val="nil"/>
            </w:tcBorders>
            <w:shd w:val="clear" w:color="auto" w:fill="auto"/>
            <w:vAlign w:val="bottom"/>
          </w:tcPr>
          <w:p w14:paraId="1A4F1703" w14:textId="77777777" w:rsidR="008C26DA" w:rsidRPr="008C26DA" w:rsidRDefault="008C26DA" w:rsidP="008C26DA">
            <w:pPr>
              <w:pStyle w:val="TableRight"/>
            </w:pPr>
            <w:r w:rsidRPr="00EE411C">
              <w:t>5.9</w:t>
            </w:r>
          </w:p>
        </w:tc>
      </w:tr>
      <w:tr w:rsidR="008C26DA" w:rsidRPr="00EE411C" w14:paraId="148020B5" w14:textId="77777777" w:rsidTr="005072B5">
        <w:trPr>
          <w:trHeight w:val="315"/>
        </w:trPr>
        <w:tc>
          <w:tcPr>
            <w:tcW w:w="1776" w:type="pct"/>
            <w:tcBorders>
              <w:top w:val="nil"/>
              <w:left w:val="nil"/>
              <w:bottom w:val="nil"/>
              <w:right w:val="nil"/>
            </w:tcBorders>
            <w:shd w:val="clear" w:color="auto" w:fill="auto"/>
            <w:vAlign w:val="center"/>
            <w:hideMark/>
          </w:tcPr>
          <w:p w14:paraId="1AF44312" w14:textId="77777777" w:rsidR="008C26DA" w:rsidRPr="008C26DA" w:rsidRDefault="008C26DA" w:rsidP="008C26DA">
            <w:pPr>
              <w:pStyle w:val="TableIndent"/>
            </w:pPr>
            <w:r w:rsidRPr="00843688">
              <w:t>Medical</w:t>
            </w:r>
          </w:p>
        </w:tc>
        <w:tc>
          <w:tcPr>
            <w:tcW w:w="532" w:type="pct"/>
            <w:tcBorders>
              <w:top w:val="nil"/>
              <w:left w:val="nil"/>
              <w:bottom w:val="nil"/>
              <w:right w:val="nil"/>
            </w:tcBorders>
            <w:shd w:val="clear" w:color="auto" w:fill="auto"/>
            <w:vAlign w:val="bottom"/>
            <w:hideMark/>
          </w:tcPr>
          <w:p w14:paraId="27BDC45C" w14:textId="77777777" w:rsidR="008C26DA" w:rsidRPr="008C26DA" w:rsidRDefault="008C26DA" w:rsidP="008C26DA">
            <w:pPr>
              <w:pStyle w:val="TableRight"/>
            </w:pPr>
            <w:r w:rsidRPr="00EE411C">
              <w:t>142.9</w:t>
            </w:r>
          </w:p>
        </w:tc>
        <w:tc>
          <w:tcPr>
            <w:tcW w:w="563" w:type="pct"/>
            <w:tcBorders>
              <w:top w:val="nil"/>
              <w:left w:val="nil"/>
              <w:bottom w:val="nil"/>
              <w:right w:val="nil"/>
            </w:tcBorders>
            <w:shd w:val="clear" w:color="auto" w:fill="auto"/>
            <w:vAlign w:val="bottom"/>
          </w:tcPr>
          <w:p w14:paraId="3622C774" w14:textId="77777777" w:rsidR="008C26DA" w:rsidRPr="008C26DA" w:rsidRDefault="008C26DA" w:rsidP="008C26DA">
            <w:pPr>
              <w:pStyle w:val="TableRight"/>
            </w:pPr>
            <w:r w:rsidRPr="00EE411C">
              <w:t>134.3</w:t>
            </w:r>
          </w:p>
        </w:tc>
        <w:tc>
          <w:tcPr>
            <w:tcW w:w="533" w:type="pct"/>
            <w:tcBorders>
              <w:top w:val="nil"/>
              <w:left w:val="nil"/>
              <w:bottom w:val="nil"/>
              <w:right w:val="nil"/>
            </w:tcBorders>
            <w:shd w:val="clear" w:color="auto" w:fill="auto"/>
            <w:vAlign w:val="bottom"/>
          </w:tcPr>
          <w:p w14:paraId="6F4A724C" w14:textId="77777777" w:rsidR="008C26DA" w:rsidRPr="008C26DA" w:rsidRDefault="008C26DA" w:rsidP="008C26DA">
            <w:pPr>
              <w:pStyle w:val="TableRight"/>
            </w:pPr>
            <w:r w:rsidRPr="00EE411C">
              <w:t>141.3</w:t>
            </w:r>
          </w:p>
        </w:tc>
        <w:tc>
          <w:tcPr>
            <w:tcW w:w="533" w:type="pct"/>
            <w:tcBorders>
              <w:top w:val="nil"/>
              <w:left w:val="nil"/>
              <w:bottom w:val="nil"/>
              <w:right w:val="nil"/>
            </w:tcBorders>
            <w:shd w:val="clear" w:color="auto" w:fill="auto"/>
            <w:vAlign w:val="bottom"/>
          </w:tcPr>
          <w:p w14:paraId="160FC08D" w14:textId="77777777" w:rsidR="008C26DA" w:rsidRPr="008C26DA" w:rsidRDefault="008C26DA" w:rsidP="008C26DA">
            <w:pPr>
              <w:pStyle w:val="TableRight"/>
            </w:pPr>
            <w:r w:rsidRPr="00EE411C">
              <w:t>146.2</w:t>
            </w:r>
          </w:p>
        </w:tc>
        <w:tc>
          <w:tcPr>
            <w:tcW w:w="532" w:type="pct"/>
            <w:tcBorders>
              <w:top w:val="nil"/>
              <w:left w:val="nil"/>
              <w:bottom w:val="nil"/>
              <w:right w:val="nil"/>
            </w:tcBorders>
            <w:shd w:val="clear" w:color="auto" w:fill="auto"/>
            <w:vAlign w:val="bottom"/>
          </w:tcPr>
          <w:p w14:paraId="755AAD46" w14:textId="77777777" w:rsidR="008C26DA" w:rsidRPr="008C26DA" w:rsidRDefault="008C26DA" w:rsidP="008C26DA">
            <w:pPr>
              <w:pStyle w:val="TableRight"/>
            </w:pPr>
            <w:r w:rsidRPr="00EE411C">
              <w:t>153.1</w:t>
            </w:r>
          </w:p>
        </w:tc>
        <w:tc>
          <w:tcPr>
            <w:tcW w:w="531" w:type="pct"/>
            <w:tcBorders>
              <w:top w:val="nil"/>
              <w:left w:val="nil"/>
              <w:bottom w:val="nil"/>
              <w:right w:val="nil"/>
            </w:tcBorders>
            <w:shd w:val="clear" w:color="auto" w:fill="auto"/>
            <w:vAlign w:val="bottom"/>
          </w:tcPr>
          <w:p w14:paraId="32B63E48" w14:textId="77777777" w:rsidR="008C26DA" w:rsidRPr="008C26DA" w:rsidRDefault="008C26DA" w:rsidP="008C26DA">
            <w:pPr>
              <w:pStyle w:val="TableRight"/>
            </w:pPr>
            <w:r w:rsidRPr="00EE411C">
              <w:t>159.6</w:t>
            </w:r>
          </w:p>
        </w:tc>
      </w:tr>
      <w:tr w:rsidR="008C26DA" w:rsidRPr="00EE411C" w14:paraId="23BC06DE" w14:textId="77777777" w:rsidTr="005072B5">
        <w:trPr>
          <w:trHeight w:val="330"/>
        </w:trPr>
        <w:tc>
          <w:tcPr>
            <w:tcW w:w="1776" w:type="pct"/>
            <w:tcBorders>
              <w:top w:val="nil"/>
              <w:left w:val="nil"/>
              <w:bottom w:val="nil"/>
              <w:right w:val="nil"/>
            </w:tcBorders>
            <w:shd w:val="clear" w:color="auto" w:fill="auto"/>
            <w:vAlign w:val="center"/>
            <w:hideMark/>
          </w:tcPr>
          <w:p w14:paraId="12737D59" w14:textId="1EE38B30" w:rsidR="008C26DA" w:rsidRPr="008C26DA" w:rsidRDefault="008C26DA" w:rsidP="008C26DA">
            <w:pPr>
              <w:pStyle w:val="TableIndent"/>
            </w:pPr>
            <w:r w:rsidRPr="00843688">
              <w:t xml:space="preserve">Payables and </w:t>
            </w:r>
            <w:r w:rsidR="00445160">
              <w:t>e</w:t>
            </w:r>
            <w:r w:rsidRPr="00843688">
              <w:t>mployee entitlements</w:t>
            </w:r>
          </w:p>
        </w:tc>
        <w:tc>
          <w:tcPr>
            <w:tcW w:w="532" w:type="pct"/>
            <w:tcBorders>
              <w:top w:val="nil"/>
              <w:left w:val="nil"/>
              <w:bottom w:val="single" w:sz="8" w:space="0" w:color="auto"/>
              <w:right w:val="nil"/>
            </w:tcBorders>
            <w:shd w:val="clear" w:color="auto" w:fill="auto"/>
            <w:hideMark/>
          </w:tcPr>
          <w:p w14:paraId="739C7EA5" w14:textId="77777777" w:rsidR="008C26DA" w:rsidRPr="008C26DA" w:rsidRDefault="008C26DA" w:rsidP="008C26DA">
            <w:pPr>
              <w:pStyle w:val="TableRight"/>
            </w:pPr>
            <w:r w:rsidRPr="00EE411C">
              <w:t>1.2</w:t>
            </w:r>
          </w:p>
        </w:tc>
        <w:tc>
          <w:tcPr>
            <w:tcW w:w="563" w:type="pct"/>
            <w:tcBorders>
              <w:top w:val="nil"/>
              <w:left w:val="nil"/>
              <w:bottom w:val="single" w:sz="8" w:space="0" w:color="auto"/>
              <w:right w:val="nil"/>
            </w:tcBorders>
            <w:shd w:val="clear" w:color="auto" w:fill="auto"/>
          </w:tcPr>
          <w:p w14:paraId="55B36C70" w14:textId="77777777" w:rsidR="008C26DA" w:rsidRPr="008C26DA" w:rsidRDefault="008C26DA" w:rsidP="008C26DA">
            <w:pPr>
              <w:pStyle w:val="TableRight"/>
            </w:pPr>
            <w:r w:rsidRPr="00EE411C">
              <w:t>1.3</w:t>
            </w:r>
          </w:p>
        </w:tc>
        <w:tc>
          <w:tcPr>
            <w:tcW w:w="533" w:type="pct"/>
            <w:tcBorders>
              <w:top w:val="nil"/>
              <w:left w:val="nil"/>
              <w:bottom w:val="single" w:sz="8" w:space="0" w:color="auto"/>
              <w:right w:val="nil"/>
            </w:tcBorders>
            <w:shd w:val="clear" w:color="auto" w:fill="auto"/>
          </w:tcPr>
          <w:p w14:paraId="5F53DF20" w14:textId="77777777" w:rsidR="008C26DA" w:rsidRPr="008C26DA" w:rsidRDefault="008C26DA" w:rsidP="008C26DA">
            <w:pPr>
              <w:pStyle w:val="TableRight"/>
            </w:pPr>
            <w:r w:rsidRPr="00EE411C">
              <w:t>1.3</w:t>
            </w:r>
          </w:p>
        </w:tc>
        <w:tc>
          <w:tcPr>
            <w:tcW w:w="533" w:type="pct"/>
            <w:tcBorders>
              <w:top w:val="nil"/>
              <w:left w:val="nil"/>
              <w:bottom w:val="single" w:sz="8" w:space="0" w:color="auto"/>
              <w:right w:val="nil"/>
            </w:tcBorders>
            <w:shd w:val="clear" w:color="auto" w:fill="auto"/>
          </w:tcPr>
          <w:p w14:paraId="2FA3B1AE" w14:textId="77777777" w:rsidR="008C26DA" w:rsidRPr="008C26DA" w:rsidRDefault="008C26DA" w:rsidP="008C26DA">
            <w:pPr>
              <w:pStyle w:val="TableRight"/>
            </w:pPr>
            <w:r w:rsidRPr="00EE411C">
              <w:t>1.3</w:t>
            </w:r>
          </w:p>
        </w:tc>
        <w:tc>
          <w:tcPr>
            <w:tcW w:w="532" w:type="pct"/>
            <w:tcBorders>
              <w:top w:val="nil"/>
              <w:left w:val="nil"/>
              <w:bottom w:val="single" w:sz="8" w:space="0" w:color="auto"/>
              <w:right w:val="nil"/>
            </w:tcBorders>
            <w:shd w:val="clear" w:color="auto" w:fill="auto"/>
          </w:tcPr>
          <w:p w14:paraId="35E43EFF" w14:textId="77777777" w:rsidR="008C26DA" w:rsidRPr="008C26DA" w:rsidRDefault="008C26DA" w:rsidP="008C26DA">
            <w:pPr>
              <w:pStyle w:val="TableRight"/>
            </w:pPr>
            <w:r w:rsidRPr="00EE411C">
              <w:t>1.3</w:t>
            </w:r>
          </w:p>
        </w:tc>
        <w:tc>
          <w:tcPr>
            <w:tcW w:w="531" w:type="pct"/>
            <w:tcBorders>
              <w:top w:val="nil"/>
              <w:left w:val="nil"/>
              <w:bottom w:val="single" w:sz="8" w:space="0" w:color="auto"/>
              <w:right w:val="nil"/>
            </w:tcBorders>
            <w:shd w:val="clear" w:color="auto" w:fill="auto"/>
          </w:tcPr>
          <w:p w14:paraId="10518DDD" w14:textId="77777777" w:rsidR="008C26DA" w:rsidRPr="008C26DA" w:rsidRDefault="008C26DA" w:rsidP="008C26DA">
            <w:pPr>
              <w:pStyle w:val="TableRight"/>
            </w:pPr>
            <w:r w:rsidRPr="00EE411C">
              <w:t>1.3</w:t>
            </w:r>
          </w:p>
        </w:tc>
      </w:tr>
      <w:tr w:rsidR="008C26DA" w:rsidRPr="00EE411C" w14:paraId="40B4A68E" w14:textId="77777777" w:rsidTr="005072B5">
        <w:trPr>
          <w:trHeight w:val="315"/>
        </w:trPr>
        <w:tc>
          <w:tcPr>
            <w:tcW w:w="1776" w:type="pct"/>
            <w:tcBorders>
              <w:top w:val="nil"/>
              <w:left w:val="nil"/>
              <w:bottom w:val="nil"/>
              <w:right w:val="nil"/>
            </w:tcBorders>
            <w:shd w:val="clear" w:color="auto" w:fill="auto"/>
            <w:vAlign w:val="center"/>
            <w:hideMark/>
          </w:tcPr>
          <w:p w14:paraId="7F60333C" w14:textId="77777777" w:rsidR="008C26DA" w:rsidRPr="00843688" w:rsidRDefault="008C26DA" w:rsidP="008C26DA">
            <w:pPr>
              <w:pStyle w:val="TableLeft"/>
            </w:pPr>
          </w:p>
        </w:tc>
        <w:tc>
          <w:tcPr>
            <w:tcW w:w="532" w:type="pct"/>
            <w:tcBorders>
              <w:top w:val="nil"/>
              <w:left w:val="nil"/>
              <w:bottom w:val="nil"/>
              <w:right w:val="nil"/>
            </w:tcBorders>
            <w:shd w:val="clear" w:color="auto" w:fill="auto"/>
            <w:hideMark/>
          </w:tcPr>
          <w:p w14:paraId="289A74AB" w14:textId="77777777" w:rsidR="008C26DA" w:rsidRPr="008C26DA" w:rsidRDefault="008C26DA" w:rsidP="008C26DA">
            <w:pPr>
              <w:pStyle w:val="TableRightHeading"/>
            </w:pPr>
            <w:r w:rsidRPr="00EE411C">
              <w:t>399.8</w:t>
            </w:r>
          </w:p>
        </w:tc>
        <w:tc>
          <w:tcPr>
            <w:tcW w:w="563" w:type="pct"/>
            <w:tcBorders>
              <w:top w:val="nil"/>
              <w:left w:val="nil"/>
              <w:bottom w:val="nil"/>
              <w:right w:val="nil"/>
            </w:tcBorders>
            <w:shd w:val="clear" w:color="auto" w:fill="auto"/>
          </w:tcPr>
          <w:p w14:paraId="487A7EF1" w14:textId="77777777" w:rsidR="008C26DA" w:rsidRPr="008C26DA" w:rsidRDefault="008C26DA" w:rsidP="008C26DA">
            <w:pPr>
              <w:pStyle w:val="TableRightHeading"/>
            </w:pPr>
            <w:r w:rsidRPr="00EE411C">
              <w:t>412.5</w:t>
            </w:r>
          </w:p>
        </w:tc>
        <w:tc>
          <w:tcPr>
            <w:tcW w:w="533" w:type="pct"/>
            <w:tcBorders>
              <w:top w:val="nil"/>
              <w:left w:val="nil"/>
              <w:bottom w:val="nil"/>
              <w:right w:val="nil"/>
            </w:tcBorders>
            <w:shd w:val="clear" w:color="auto" w:fill="auto"/>
          </w:tcPr>
          <w:p w14:paraId="1E64AD95" w14:textId="77777777" w:rsidR="008C26DA" w:rsidRPr="008C26DA" w:rsidRDefault="008C26DA" w:rsidP="008C26DA">
            <w:pPr>
              <w:pStyle w:val="TableRightHeading"/>
            </w:pPr>
            <w:r w:rsidRPr="00EE411C">
              <w:t>446.0</w:t>
            </w:r>
          </w:p>
        </w:tc>
        <w:tc>
          <w:tcPr>
            <w:tcW w:w="533" w:type="pct"/>
            <w:tcBorders>
              <w:top w:val="nil"/>
              <w:left w:val="nil"/>
              <w:bottom w:val="nil"/>
              <w:right w:val="nil"/>
            </w:tcBorders>
            <w:shd w:val="clear" w:color="auto" w:fill="auto"/>
          </w:tcPr>
          <w:p w14:paraId="1763F24A" w14:textId="77777777" w:rsidR="008C26DA" w:rsidRPr="008C26DA" w:rsidRDefault="008C26DA" w:rsidP="008C26DA">
            <w:pPr>
              <w:pStyle w:val="TableRightHeading"/>
            </w:pPr>
            <w:r w:rsidRPr="00EE411C">
              <w:t>472.9</w:t>
            </w:r>
          </w:p>
        </w:tc>
        <w:tc>
          <w:tcPr>
            <w:tcW w:w="532" w:type="pct"/>
            <w:tcBorders>
              <w:top w:val="nil"/>
              <w:left w:val="nil"/>
              <w:bottom w:val="nil"/>
              <w:right w:val="nil"/>
            </w:tcBorders>
            <w:shd w:val="clear" w:color="auto" w:fill="auto"/>
          </w:tcPr>
          <w:p w14:paraId="7052CD75" w14:textId="77777777" w:rsidR="008C26DA" w:rsidRPr="008C26DA" w:rsidRDefault="008C26DA" w:rsidP="008C26DA">
            <w:pPr>
              <w:pStyle w:val="TableRightHeading"/>
            </w:pPr>
            <w:r w:rsidRPr="00EE411C">
              <w:t>502.5</w:t>
            </w:r>
          </w:p>
        </w:tc>
        <w:tc>
          <w:tcPr>
            <w:tcW w:w="531" w:type="pct"/>
            <w:tcBorders>
              <w:top w:val="nil"/>
              <w:left w:val="nil"/>
              <w:bottom w:val="nil"/>
              <w:right w:val="nil"/>
            </w:tcBorders>
            <w:shd w:val="clear" w:color="auto" w:fill="auto"/>
          </w:tcPr>
          <w:p w14:paraId="33A0F3C5" w14:textId="77777777" w:rsidR="008C26DA" w:rsidRPr="008C26DA" w:rsidRDefault="008C26DA" w:rsidP="008C26DA">
            <w:pPr>
              <w:pStyle w:val="TableRightHeading"/>
            </w:pPr>
            <w:r w:rsidRPr="00EE411C">
              <w:t>529.8</w:t>
            </w:r>
          </w:p>
        </w:tc>
      </w:tr>
      <w:tr w:rsidR="008C26DA" w:rsidRPr="00EE411C" w14:paraId="65A08418" w14:textId="77777777" w:rsidTr="005072B5">
        <w:trPr>
          <w:trHeight w:val="330"/>
        </w:trPr>
        <w:tc>
          <w:tcPr>
            <w:tcW w:w="1776" w:type="pct"/>
            <w:tcBorders>
              <w:top w:val="nil"/>
              <w:left w:val="nil"/>
              <w:bottom w:val="nil"/>
              <w:right w:val="nil"/>
            </w:tcBorders>
            <w:shd w:val="clear" w:color="auto" w:fill="auto"/>
            <w:vAlign w:val="center"/>
          </w:tcPr>
          <w:p w14:paraId="6D667531" w14:textId="77777777" w:rsidR="008C26DA" w:rsidRPr="00843688" w:rsidRDefault="008C26DA" w:rsidP="008C26DA">
            <w:pPr>
              <w:pStyle w:val="TableLeft"/>
            </w:pPr>
          </w:p>
        </w:tc>
        <w:tc>
          <w:tcPr>
            <w:tcW w:w="532" w:type="pct"/>
            <w:tcBorders>
              <w:top w:val="nil"/>
              <w:left w:val="nil"/>
              <w:bottom w:val="single" w:sz="8" w:space="0" w:color="auto"/>
              <w:right w:val="nil"/>
            </w:tcBorders>
            <w:shd w:val="clear" w:color="auto" w:fill="auto"/>
            <w:vAlign w:val="center"/>
          </w:tcPr>
          <w:p w14:paraId="0EAAD051" w14:textId="77777777" w:rsidR="008C26DA" w:rsidRPr="00EE411C" w:rsidRDefault="008C26DA" w:rsidP="008C26DA">
            <w:pPr>
              <w:pStyle w:val="TableRightHeading"/>
            </w:pPr>
          </w:p>
        </w:tc>
        <w:tc>
          <w:tcPr>
            <w:tcW w:w="563" w:type="pct"/>
            <w:tcBorders>
              <w:top w:val="nil"/>
              <w:left w:val="nil"/>
              <w:bottom w:val="single" w:sz="8" w:space="0" w:color="auto"/>
              <w:right w:val="nil"/>
            </w:tcBorders>
            <w:shd w:val="clear" w:color="auto" w:fill="auto"/>
            <w:vAlign w:val="center"/>
          </w:tcPr>
          <w:p w14:paraId="4A065C1D" w14:textId="77777777" w:rsidR="008C26DA" w:rsidRPr="00EE411C" w:rsidRDefault="008C26DA" w:rsidP="008C26DA">
            <w:pPr>
              <w:pStyle w:val="TableRightHeading"/>
            </w:pPr>
          </w:p>
        </w:tc>
        <w:tc>
          <w:tcPr>
            <w:tcW w:w="533" w:type="pct"/>
            <w:tcBorders>
              <w:top w:val="nil"/>
              <w:left w:val="nil"/>
              <w:bottom w:val="single" w:sz="8" w:space="0" w:color="auto"/>
              <w:right w:val="nil"/>
            </w:tcBorders>
            <w:shd w:val="clear" w:color="auto" w:fill="auto"/>
            <w:vAlign w:val="center"/>
          </w:tcPr>
          <w:p w14:paraId="71089036" w14:textId="77777777" w:rsidR="008C26DA" w:rsidRPr="00EE411C" w:rsidRDefault="008C26DA" w:rsidP="008C26DA">
            <w:pPr>
              <w:pStyle w:val="TableRightHeading"/>
            </w:pPr>
          </w:p>
        </w:tc>
        <w:tc>
          <w:tcPr>
            <w:tcW w:w="533" w:type="pct"/>
            <w:tcBorders>
              <w:top w:val="nil"/>
              <w:left w:val="nil"/>
              <w:bottom w:val="single" w:sz="8" w:space="0" w:color="auto"/>
              <w:right w:val="nil"/>
            </w:tcBorders>
            <w:shd w:val="clear" w:color="auto" w:fill="auto"/>
            <w:vAlign w:val="center"/>
          </w:tcPr>
          <w:p w14:paraId="709152FD" w14:textId="77777777" w:rsidR="008C26DA" w:rsidRPr="00EE411C" w:rsidRDefault="008C26DA" w:rsidP="008C26DA">
            <w:pPr>
              <w:pStyle w:val="TableRightHeading"/>
            </w:pPr>
          </w:p>
        </w:tc>
        <w:tc>
          <w:tcPr>
            <w:tcW w:w="532" w:type="pct"/>
            <w:tcBorders>
              <w:top w:val="nil"/>
              <w:left w:val="nil"/>
              <w:bottom w:val="single" w:sz="8" w:space="0" w:color="auto"/>
              <w:right w:val="nil"/>
            </w:tcBorders>
            <w:shd w:val="clear" w:color="auto" w:fill="auto"/>
            <w:vAlign w:val="center"/>
          </w:tcPr>
          <w:p w14:paraId="122998FE" w14:textId="77777777" w:rsidR="008C26DA" w:rsidRPr="00EE411C" w:rsidRDefault="008C26DA" w:rsidP="008C26DA">
            <w:pPr>
              <w:pStyle w:val="TableRightHeading"/>
            </w:pPr>
          </w:p>
        </w:tc>
        <w:tc>
          <w:tcPr>
            <w:tcW w:w="531" w:type="pct"/>
            <w:tcBorders>
              <w:top w:val="nil"/>
              <w:left w:val="nil"/>
              <w:bottom w:val="single" w:sz="8" w:space="0" w:color="auto"/>
              <w:right w:val="nil"/>
            </w:tcBorders>
            <w:shd w:val="clear" w:color="auto" w:fill="auto"/>
            <w:vAlign w:val="center"/>
          </w:tcPr>
          <w:p w14:paraId="60DEFD19" w14:textId="77777777" w:rsidR="008C26DA" w:rsidRPr="00EE411C" w:rsidRDefault="008C26DA" w:rsidP="008C26DA">
            <w:pPr>
              <w:pStyle w:val="TableRightHeading"/>
            </w:pPr>
          </w:p>
        </w:tc>
      </w:tr>
      <w:tr w:rsidR="008C26DA" w:rsidRPr="00EE411C" w14:paraId="472DA1FC" w14:textId="77777777" w:rsidTr="005072B5">
        <w:trPr>
          <w:trHeight w:val="330"/>
        </w:trPr>
        <w:tc>
          <w:tcPr>
            <w:tcW w:w="1776" w:type="pct"/>
            <w:tcBorders>
              <w:top w:val="nil"/>
              <w:left w:val="nil"/>
              <w:bottom w:val="nil"/>
              <w:right w:val="nil"/>
            </w:tcBorders>
            <w:shd w:val="clear" w:color="auto" w:fill="auto"/>
            <w:vAlign w:val="center"/>
            <w:hideMark/>
          </w:tcPr>
          <w:p w14:paraId="59F868A8" w14:textId="77777777" w:rsidR="008C26DA" w:rsidRPr="008C26DA" w:rsidRDefault="008C26DA" w:rsidP="008C26DA">
            <w:pPr>
              <w:pStyle w:val="TableLeftHeading"/>
            </w:pPr>
            <w:r w:rsidRPr="00843688">
              <w:t>Net Assets</w:t>
            </w:r>
          </w:p>
        </w:tc>
        <w:tc>
          <w:tcPr>
            <w:tcW w:w="532" w:type="pct"/>
            <w:tcBorders>
              <w:top w:val="nil"/>
              <w:left w:val="nil"/>
              <w:bottom w:val="double" w:sz="6" w:space="0" w:color="auto"/>
              <w:right w:val="nil"/>
            </w:tcBorders>
            <w:shd w:val="clear" w:color="auto" w:fill="auto"/>
            <w:hideMark/>
          </w:tcPr>
          <w:p w14:paraId="29D3CA00" w14:textId="77777777" w:rsidR="008C26DA" w:rsidRPr="008C26DA" w:rsidRDefault="008C26DA" w:rsidP="008C26DA">
            <w:pPr>
              <w:pStyle w:val="TableRightHeading"/>
            </w:pPr>
            <w:r w:rsidRPr="00EE411C">
              <w:t>30.4</w:t>
            </w:r>
          </w:p>
        </w:tc>
        <w:tc>
          <w:tcPr>
            <w:tcW w:w="563" w:type="pct"/>
            <w:tcBorders>
              <w:top w:val="nil"/>
              <w:left w:val="nil"/>
              <w:bottom w:val="double" w:sz="6" w:space="0" w:color="auto"/>
              <w:right w:val="nil"/>
            </w:tcBorders>
            <w:shd w:val="clear" w:color="auto" w:fill="auto"/>
          </w:tcPr>
          <w:p w14:paraId="3CF93B17" w14:textId="77777777" w:rsidR="008C26DA" w:rsidRPr="008C26DA" w:rsidRDefault="008C26DA" w:rsidP="008C26DA">
            <w:pPr>
              <w:pStyle w:val="TableRightHeading"/>
            </w:pPr>
            <w:r w:rsidRPr="00EE411C">
              <w:t>47.6</w:t>
            </w:r>
          </w:p>
        </w:tc>
        <w:tc>
          <w:tcPr>
            <w:tcW w:w="533" w:type="pct"/>
            <w:tcBorders>
              <w:top w:val="nil"/>
              <w:left w:val="nil"/>
              <w:bottom w:val="double" w:sz="6" w:space="0" w:color="auto"/>
              <w:right w:val="nil"/>
            </w:tcBorders>
            <w:shd w:val="clear" w:color="auto" w:fill="auto"/>
          </w:tcPr>
          <w:p w14:paraId="405CBA12" w14:textId="77777777" w:rsidR="008C26DA" w:rsidRPr="008C26DA" w:rsidRDefault="008C26DA" w:rsidP="008C26DA">
            <w:pPr>
              <w:pStyle w:val="TableRightHeading"/>
            </w:pPr>
            <w:r w:rsidRPr="00EE411C">
              <w:t>48.4</w:t>
            </w:r>
          </w:p>
        </w:tc>
        <w:tc>
          <w:tcPr>
            <w:tcW w:w="533" w:type="pct"/>
            <w:tcBorders>
              <w:top w:val="nil"/>
              <w:left w:val="nil"/>
              <w:bottom w:val="double" w:sz="6" w:space="0" w:color="auto"/>
              <w:right w:val="nil"/>
            </w:tcBorders>
            <w:shd w:val="clear" w:color="auto" w:fill="auto"/>
          </w:tcPr>
          <w:p w14:paraId="405B20C7" w14:textId="77777777" w:rsidR="008C26DA" w:rsidRPr="008C26DA" w:rsidRDefault="008C26DA" w:rsidP="008C26DA">
            <w:pPr>
              <w:pStyle w:val="TableRightHeading"/>
            </w:pPr>
            <w:r w:rsidRPr="00EE411C">
              <w:t>50.2</w:t>
            </w:r>
          </w:p>
        </w:tc>
        <w:tc>
          <w:tcPr>
            <w:tcW w:w="532" w:type="pct"/>
            <w:tcBorders>
              <w:top w:val="nil"/>
              <w:left w:val="nil"/>
              <w:bottom w:val="double" w:sz="6" w:space="0" w:color="auto"/>
              <w:right w:val="nil"/>
            </w:tcBorders>
            <w:shd w:val="clear" w:color="auto" w:fill="auto"/>
          </w:tcPr>
          <w:p w14:paraId="03053CC7" w14:textId="77777777" w:rsidR="008C26DA" w:rsidRPr="008C26DA" w:rsidRDefault="008C26DA" w:rsidP="008C26DA">
            <w:pPr>
              <w:pStyle w:val="TableRightHeading"/>
            </w:pPr>
            <w:r w:rsidRPr="00EE411C">
              <w:t>49.8</w:t>
            </w:r>
          </w:p>
        </w:tc>
        <w:tc>
          <w:tcPr>
            <w:tcW w:w="531" w:type="pct"/>
            <w:tcBorders>
              <w:top w:val="nil"/>
              <w:left w:val="nil"/>
              <w:bottom w:val="double" w:sz="6" w:space="0" w:color="auto"/>
              <w:right w:val="nil"/>
            </w:tcBorders>
            <w:shd w:val="clear" w:color="auto" w:fill="auto"/>
          </w:tcPr>
          <w:p w14:paraId="7AF94088" w14:textId="77777777" w:rsidR="008C26DA" w:rsidRPr="008C26DA" w:rsidRDefault="008C26DA" w:rsidP="008C26DA">
            <w:pPr>
              <w:pStyle w:val="TableRightHeading"/>
            </w:pPr>
            <w:r w:rsidRPr="00EE411C">
              <w:t>51.7</w:t>
            </w:r>
          </w:p>
        </w:tc>
      </w:tr>
      <w:bookmarkEnd w:id="11"/>
      <w:tr w:rsidR="008C26DA" w:rsidRPr="00EE411C" w14:paraId="0E0190EB" w14:textId="77777777" w:rsidTr="005072B5">
        <w:trPr>
          <w:trHeight w:val="345"/>
        </w:trPr>
        <w:tc>
          <w:tcPr>
            <w:tcW w:w="1776" w:type="pct"/>
            <w:tcBorders>
              <w:top w:val="nil"/>
              <w:left w:val="nil"/>
              <w:bottom w:val="single" w:sz="8" w:space="0" w:color="auto"/>
              <w:right w:val="nil"/>
            </w:tcBorders>
            <w:shd w:val="clear" w:color="auto" w:fill="auto"/>
            <w:vAlign w:val="center"/>
          </w:tcPr>
          <w:p w14:paraId="3CAC25C7" w14:textId="409BC2EE" w:rsidR="008C26DA" w:rsidRPr="005B0A90" w:rsidRDefault="008C26DA" w:rsidP="005B0A90">
            <w:pPr>
              <w:pStyle w:val="TableRight"/>
            </w:pPr>
          </w:p>
        </w:tc>
        <w:tc>
          <w:tcPr>
            <w:tcW w:w="532" w:type="pct"/>
            <w:tcBorders>
              <w:top w:val="nil"/>
              <w:left w:val="nil"/>
              <w:bottom w:val="single" w:sz="8" w:space="0" w:color="auto"/>
              <w:right w:val="nil"/>
            </w:tcBorders>
            <w:shd w:val="clear" w:color="auto" w:fill="auto"/>
            <w:vAlign w:val="center"/>
          </w:tcPr>
          <w:p w14:paraId="333205FB" w14:textId="60F20AF8" w:rsidR="008C26DA" w:rsidRPr="005B0A90" w:rsidRDefault="008C26DA" w:rsidP="005B0A90">
            <w:pPr>
              <w:pStyle w:val="TableRight"/>
            </w:pPr>
          </w:p>
        </w:tc>
        <w:tc>
          <w:tcPr>
            <w:tcW w:w="563" w:type="pct"/>
            <w:tcBorders>
              <w:top w:val="nil"/>
              <w:left w:val="nil"/>
              <w:bottom w:val="single" w:sz="8" w:space="0" w:color="auto"/>
              <w:right w:val="nil"/>
            </w:tcBorders>
            <w:shd w:val="clear" w:color="auto" w:fill="auto"/>
            <w:vAlign w:val="center"/>
          </w:tcPr>
          <w:p w14:paraId="211C3AFD" w14:textId="4205509A" w:rsidR="008C26DA" w:rsidRPr="005B0A90" w:rsidRDefault="008C26DA" w:rsidP="005B0A90">
            <w:pPr>
              <w:pStyle w:val="TableRight"/>
            </w:pPr>
          </w:p>
        </w:tc>
        <w:tc>
          <w:tcPr>
            <w:tcW w:w="533" w:type="pct"/>
            <w:tcBorders>
              <w:top w:val="nil"/>
              <w:left w:val="nil"/>
              <w:bottom w:val="single" w:sz="8" w:space="0" w:color="auto"/>
              <w:right w:val="nil"/>
            </w:tcBorders>
            <w:shd w:val="clear" w:color="auto" w:fill="auto"/>
            <w:vAlign w:val="center"/>
          </w:tcPr>
          <w:p w14:paraId="530FB65A" w14:textId="0A6439AD" w:rsidR="008C26DA" w:rsidRPr="005B0A90" w:rsidRDefault="008C26DA" w:rsidP="005B0A90">
            <w:pPr>
              <w:pStyle w:val="TableRight"/>
            </w:pPr>
          </w:p>
        </w:tc>
        <w:tc>
          <w:tcPr>
            <w:tcW w:w="533" w:type="pct"/>
            <w:tcBorders>
              <w:top w:val="nil"/>
              <w:left w:val="nil"/>
              <w:bottom w:val="single" w:sz="8" w:space="0" w:color="auto"/>
              <w:right w:val="nil"/>
            </w:tcBorders>
            <w:shd w:val="clear" w:color="auto" w:fill="auto"/>
            <w:vAlign w:val="center"/>
          </w:tcPr>
          <w:p w14:paraId="1CD38E9D" w14:textId="1717E2CB" w:rsidR="008C26DA" w:rsidRPr="005B0A90" w:rsidRDefault="008C26DA" w:rsidP="005B0A90">
            <w:pPr>
              <w:pStyle w:val="TableRight"/>
            </w:pPr>
          </w:p>
        </w:tc>
        <w:tc>
          <w:tcPr>
            <w:tcW w:w="532" w:type="pct"/>
            <w:tcBorders>
              <w:top w:val="nil"/>
              <w:left w:val="nil"/>
              <w:bottom w:val="single" w:sz="8" w:space="0" w:color="auto"/>
              <w:right w:val="nil"/>
            </w:tcBorders>
            <w:shd w:val="clear" w:color="auto" w:fill="auto"/>
            <w:vAlign w:val="center"/>
          </w:tcPr>
          <w:p w14:paraId="7B12D06F" w14:textId="2FB392EA" w:rsidR="008C26DA" w:rsidRPr="005B0A90" w:rsidRDefault="008C26DA" w:rsidP="005B0A90">
            <w:pPr>
              <w:pStyle w:val="TableRight"/>
            </w:pPr>
          </w:p>
        </w:tc>
        <w:tc>
          <w:tcPr>
            <w:tcW w:w="531" w:type="pct"/>
            <w:tcBorders>
              <w:top w:val="nil"/>
              <w:left w:val="nil"/>
              <w:bottom w:val="single" w:sz="8" w:space="0" w:color="auto"/>
              <w:right w:val="nil"/>
            </w:tcBorders>
            <w:shd w:val="clear" w:color="auto" w:fill="auto"/>
            <w:vAlign w:val="center"/>
          </w:tcPr>
          <w:p w14:paraId="1BD32365" w14:textId="62674AF5" w:rsidR="008C26DA" w:rsidRPr="005B0A90" w:rsidRDefault="008C26DA" w:rsidP="005B0A90">
            <w:pPr>
              <w:pStyle w:val="TableRight"/>
            </w:pPr>
          </w:p>
        </w:tc>
      </w:tr>
    </w:tbl>
    <w:p w14:paraId="6D2135D3" w14:textId="77777777" w:rsidR="008C26DA" w:rsidRPr="00843688" w:rsidRDefault="008C26DA" w:rsidP="008C26DA">
      <w:pPr>
        <w:pStyle w:val="NotesHeading"/>
      </w:pPr>
      <w:r w:rsidRPr="00843688">
        <w:t>Note:</w:t>
      </w:r>
    </w:p>
    <w:p w14:paraId="2E1AD12C" w14:textId="77777777" w:rsidR="008C26DA" w:rsidRPr="008C26DA" w:rsidRDefault="008C26DA" w:rsidP="00964183">
      <w:pPr>
        <w:pStyle w:val="Notes0"/>
        <w:numPr>
          <w:ilvl w:val="0"/>
          <w:numId w:val="9"/>
        </w:numPr>
      </w:pPr>
      <w:r w:rsidRPr="00843688">
        <w:t xml:space="preserve">Liabilities are calculated by the </w:t>
      </w:r>
      <w:r w:rsidRPr="008C26DA">
        <w:t>Fund’s Actuary as at 31 December 2022.</w:t>
      </w:r>
    </w:p>
    <w:bookmarkEnd w:id="4"/>
    <w:bookmarkEnd w:id="5"/>
    <w:bookmarkEnd w:id="6"/>
    <w:bookmarkEnd w:id="7"/>
    <w:p w14:paraId="2CDC7C4E" w14:textId="219983E5" w:rsidR="008C26DA" w:rsidRDefault="008C26DA" w:rsidP="00E27F5E">
      <w:pPr>
        <w:pStyle w:val="Body"/>
      </w:pPr>
    </w:p>
    <w:sectPr w:rsidR="008C26DA" w:rsidSect="00A16CE9">
      <w:headerReference w:type="even" r:id="rId24"/>
      <w:headerReference w:type="default" r:id="rId25"/>
      <w:footerReference w:type="even" r:id="rId26"/>
      <w:footerReference w:type="default" r:id="rId27"/>
      <w:headerReference w:type="first" r:id="rId28"/>
      <w:footerReference w:type="first" r:id="rId29"/>
      <w:pgSz w:w="11906" w:h="16838" w:code="9"/>
      <w:pgMar w:top="1440" w:right="964" w:bottom="1440" w:left="794" w:header="709" w:footer="847" w:gutter="567"/>
      <w:pgNumType w:start="1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52FB" w14:textId="77777777" w:rsidR="0075367B" w:rsidRDefault="0075367B">
      <w:pPr>
        <w:spacing w:after="0" w:line="240" w:lineRule="auto"/>
      </w:pPr>
      <w:r>
        <w:separator/>
      </w:r>
    </w:p>
  </w:endnote>
  <w:endnote w:type="continuationSeparator" w:id="0">
    <w:p w14:paraId="22326145" w14:textId="77777777" w:rsidR="0075367B" w:rsidRDefault="0075367B">
      <w:pPr>
        <w:spacing w:after="0" w:line="240" w:lineRule="auto"/>
      </w:pPr>
      <w:r>
        <w:continuationSeparator/>
      </w:r>
    </w:p>
  </w:endnote>
  <w:endnote w:type="continuationNotice" w:id="1">
    <w:p w14:paraId="49E21D40" w14:textId="77777777" w:rsidR="0075367B" w:rsidRDefault="007536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B5D1" w14:textId="204112E7" w:rsidR="00000000" w:rsidRDefault="00520984" w:rsidP="008E6331">
    <w:pPr>
      <w:pStyle w:val="Footer-Even"/>
    </w:pPr>
    <w:r w:rsidRPr="00520984">
      <w:rPr>
        <w:rStyle w:val="FooterNumber-Even"/>
      </w:rPr>
      <w:fldChar w:fldCharType="begin"/>
    </w:r>
    <w:r w:rsidRPr="00520984">
      <w:rPr>
        <w:rStyle w:val="FooterNumber-Even"/>
      </w:rPr>
      <w:instrText xml:space="preserve"> PAGE   \* MERGEFORMAT </w:instrText>
    </w:r>
    <w:r w:rsidRPr="00520984">
      <w:rPr>
        <w:rStyle w:val="FooterNumber-Even"/>
      </w:rPr>
      <w:fldChar w:fldCharType="separate"/>
    </w:r>
    <w:r w:rsidRPr="00520984">
      <w:rPr>
        <w:rStyle w:val="FooterNumber-Even"/>
      </w:rPr>
      <w:t>1</w:t>
    </w:r>
    <w:r w:rsidRPr="00520984">
      <w:rPr>
        <w:rStyle w:val="FooterNumber-Even"/>
      </w:rPr>
      <w:fldChar w:fldCharType="end"/>
    </w:r>
    <w:r w:rsidR="00E9078A" w:rsidRPr="001F7151">
      <w:tab/>
    </w:r>
    <w:r w:rsidR="00D80FA8">
      <w:t>Assets and Liabilities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D91A" w14:textId="3E046D6F" w:rsidR="00000000" w:rsidRPr="008D27D8" w:rsidRDefault="00E9078A" w:rsidP="004F7E03">
    <w:pPr>
      <w:pStyle w:val="Footer-Odd"/>
      <w:tabs>
        <w:tab w:val="right" w:pos="8051"/>
      </w:tabs>
    </w:pPr>
    <w:r>
      <w:tab/>
    </w:r>
    <w:r w:rsidR="00D80FA8">
      <w:t>Assets and Liabilities</w:t>
    </w:r>
    <w:r w:rsidRPr="008D27D8">
      <w:tab/>
    </w:r>
    <w:r w:rsidR="00520984" w:rsidRPr="00520984">
      <w:rPr>
        <w:rStyle w:val="FooterNumber-Odd"/>
      </w:rPr>
      <w:fldChar w:fldCharType="begin"/>
    </w:r>
    <w:r w:rsidR="00520984" w:rsidRPr="00520984">
      <w:rPr>
        <w:rStyle w:val="FooterNumber-Odd"/>
      </w:rPr>
      <w:instrText xml:space="preserve"> PAGE   \* MERGEFORMAT </w:instrText>
    </w:r>
    <w:r w:rsidR="00520984" w:rsidRPr="00520984">
      <w:rPr>
        <w:rStyle w:val="FooterNumber-Odd"/>
      </w:rPr>
      <w:fldChar w:fldCharType="separate"/>
    </w:r>
    <w:r w:rsidR="00520984" w:rsidRPr="00520984">
      <w:rPr>
        <w:rStyle w:val="FooterNumber-Odd"/>
      </w:rPr>
      <w:t>1</w:t>
    </w:r>
    <w:r w:rsidR="00520984" w:rsidRPr="00520984">
      <w:rPr>
        <w:rStyle w:val="FooterNumber-Od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1E59" w14:textId="77777777" w:rsidR="00000000" w:rsidRDefault="0000000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FAB8" w14:textId="77777777" w:rsidR="0075367B" w:rsidRDefault="0075367B">
      <w:pPr>
        <w:spacing w:after="0" w:line="240" w:lineRule="auto"/>
      </w:pPr>
      <w:r>
        <w:separator/>
      </w:r>
    </w:p>
  </w:footnote>
  <w:footnote w:type="continuationSeparator" w:id="0">
    <w:p w14:paraId="2592AA14" w14:textId="77777777" w:rsidR="0075367B" w:rsidRDefault="0075367B">
      <w:pPr>
        <w:spacing w:after="0" w:line="240" w:lineRule="auto"/>
      </w:pPr>
      <w:r>
        <w:continuationSeparator/>
      </w:r>
    </w:p>
  </w:footnote>
  <w:footnote w:type="continuationNotice" w:id="1">
    <w:p w14:paraId="65790616" w14:textId="77777777" w:rsidR="0075367B" w:rsidRDefault="007536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34B0" w14:textId="77777777" w:rsidR="00000000" w:rsidRDefault="00000000">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A314" w14:textId="77777777" w:rsidR="00000000" w:rsidRDefault="00000000">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D628" w14:textId="77777777" w:rsidR="00000000" w:rsidRDefault="00000000">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7C"/>
    <w:multiLevelType w:val="multilevel"/>
    <w:tmpl w:val="4EDE1824"/>
    <w:styleLink w:val="NOTES"/>
    <w:lvl w:ilvl="0">
      <w:start w:val="1"/>
      <w:numFmt w:val="decimal"/>
      <w:pStyle w:val="Notes0"/>
      <w:lvlText w:val="%1."/>
      <w:lvlJc w:val="left"/>
      <w:pPr>
        <w:ind w:left="360" w:hanging="360"/>
      </w:pPr>
      <w:rPr>
        <w:rFonts w:hint="default"/>
        <w:sz w:val="1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 w15:restartNumberingAfterBreak="0">
    <w:nsid w:val="005D24EC"/>
    <w:multiLevelType w:val="hybridMultilevel"/>
    <w:tmpl w:val="4A865B78"/>
    <w:lvl w:ilvl="0" w:tplc="632E6B1C">
      <w:start w:val="1"/>
      <w:numFmt w:val="decimal"/>
      <w:pStyle w:val="NumberedList"/>
      <w:lvlText w:val="%1."/>
      <w:lvlJc w:val="left"/>
      <w:pPr>
        <w:ind w:left="360" w:hanging="360"/>
      </w:pPr>
      <w:rPr>
        <w:rFonts w:hint="default"/>
        <w:sz w:val="22"/>
        <w:szCs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800444A"/>
    <w:multiLevelType w:val="hybridMultilevel"/>
    <w:tmpl w:val="7E64239A"/>
    <w:lvl w:ilvl="0" w:tplc="438A7612">
      <w:start w:val="1"/>
      <w:numFmt w:val="bullet"/>
      <w:pStyle w:val="Dotpoin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092580"/>
    <w:multiLevelType w:val="hybridMultilevel"/>
    <w:tmpl w:val="0DD85A52"/>
    <w:lvl w:ilvl="0" w:tplc="5ECC2054">
      <w:start w:val="1"/>
      <w:numFmt w:val="bullet"/>
      <w:pStyle w:val="Dashpoint"/>
      <w:lvlText w:val=""/>
      <w:lvlJc w:val="left"/>
      <w:pPr>
        <w:ind w:left="1840" w:hanging="360"/>
      </w:pPr>
      <w:rPr>
        <w:rFonts w:ascii="Symbol" w:hAnsi="Symbol" w:hint="default"/>
        <w:sz w:val="18"/>
      </w:rPr>
    </w:lvl>
    <w:lvl w:ilvl="1" w:tplc="0C090003" w:tentative="1">
      <w:start w:val="1"/>
      <w:numFmt w:val="bullet"/>
      <w:lvlText w:val="o"/>
      <w:lvlJc w:val="left"/>
      <w:pPr>
        <w:ind w:left="2560" w:hanging="360"/>
      </w:pPr>
      <w:rPr>
        <w:rFonts w:ascii="Courier New" w:hAnsi="Courier New" w:cs="Courier New" w:hint="default"/>
      </w:rPr>
    </w:lvl>
    <w:lvl w:ilvl="2" w:tplc="0C090005" w:tentative="1">
      <w:start w:val="1"/>
      <w:numFmt w:val="bullet"/>
      <w:lvlText w:val=""/>
      <w:lvlJc w:val="left"/>
      <w:pPr>
        <w:ind w:left="3280" w:hanging="360"/>
      </w:pPr>
      <w:rPr>
        <w:rFonts w:ascii="Wingdings" w:hAnsi="Wingdings" w:hint="default"/>
      </w:rPr>
    </w:lvl>
    <w:lvl w:ilvl="3" w:tplc="0C090001" w:tentative="1">
      <w:start w:val="1"/>
      <w:numFmt w:val="bullet"/>
      <w:lvlText w:val=""/>
      <w:lvlJc w:val="left"/>
      <w:pPr>
        <w:ind w:left="4000" w:hanging="360"/>
      </w:pPr>
      <w:rPr>
        <w:rFonts w:ascii="Symbol" w:hAnsi="Symbol" w:hint="default"/>
      </w:rPr>
    </w:lvl>
    <w:lvl w:ilvl="4" w:tplc="0C090003" w:tentative="1">
      <w:start w:val="1"/>
      <w:numFmt w:val="bullet"/>
      <w:lvlText w:val="o"/>
      <w:lvlJc w:val="left"/>
      <w:pPr>
        <w:ind w:left="4720" w:hanging="360"/>
      </w:pPr>
      <w:rPr>
        <w:rFonts w:ascii="Courier New" w:hAnsi="Courier New" w:cs="Courier New" w:hint="default"/>
      </w:rPr>
    </w:lvl>
    <w:lvl w:ilvl="5" w:tplc="0C090005" w:tentative="1">
      <w:start w:val="1"/>
      <w:numFmt w:val="bullet"/>
      <w:lvlText w:val=""/>
      <w:lvlJc w:val="left"/>
      <w:pPr>
        <w:ind w:left="5440" w:hanging="360"/>
      </w:pPr>
      <w:rPr>
        <w:rFonts w:ascii="Wingdings" w:hAnsi="Wingdings" w:hint="default"/>
      </w:rPr>
    </w:lvl>
    <w:lvl w:ilvl="6" w:tplc="0C090001" w:tentative="1">
      <w:start w:val="1"/>
      <w:numFmt w:val="bullet"/>
      <w:lvlText w:val=""/>
      <w:lvlJc w:val="left"/>
      <w:pPr>
        <w:ind w:left="6160" w:hanging="360"/>
      </w:pPr>
      <w:rPr>
        <w:rFonts w:ascii="Symbol" w:hAnsi="Symbol" w:hint="default"/>
      </w:rPr>
    </w:lvl>
    <w:lvl w:ilvl="7" w:tplc="0C090003" w:tentative="1">
      <w:start w:val="1"/>
      <w:numFmt w:val="bullet"/>
      <w:lvlText w:val="o"/>
      <w:lvlJc w:val="left"/>
      <w:pPr>
        <w:ind w:left="6880" w:hanging="360"/>
      </w:pPr>
      <w:rPr>
        <w:rFonts w:ascii="Courier New" w:hAnsi="Courier New" w:cs="Courier New" w:hint="default"/>
      </w:rPr>
    </w:lvl>
    <w:lvl w:ilvl="8" w:tplc="0C090005" w:tentative="1">
      <w:start w:val="1"/>
      <w:numFmt w:val="bullet"/>
      <w:lvlText w:val=""/>
      <w:lvlJc w:val="left"/>
      <w:pPr>
        <w:ind w:left="7600" w:hanging="360"/>
      </w:pPr>
      <w:rPr>
        <w:rFonts w:ascii="Wingdings" w:hAnsi="Wingdings" w:hint="default"/>
      </w:rPr>
    </w:lvl>
  </w:abstractNum>
  <w:abstractNum w:abstractNumId="4" w15:restartNumberingAfterBreak="0">
    <w:nsid w:val="505D4C64"/>
    <w:multiLevelType w:val="hybridMultilevel"/>
    <w:tmpl w:val="A82E85BC"/>
    <w:lvl w:ilvl="0" w:tplc="B3682188">
      <w:start w:val="1"/>
      <w:numFmt w:val="bullet"/>
      <w:pStyle w:val="BP1DashPoint-Boxed"/>
      <w:lvlText w:val=""/>
      <w:lvlJc w:val="left"/>
      <w:pPr>
        <w:ind w:left="1856" w:hanging="360"/>
      </w:pPr>
      <w:rPr>
        <w:rFonts w:ascii="Symbol" w:hAnsi="Symbol" w:hint="default"/>
      </w:rPr>
    </w:lvl>
    <w:lvl w:ilvl="1" w:tplc="0C090003" w:tentative="1">
      <w:start w:val="1"/>
      <w:numFmt w:val="bullet"/>
      <w:lvlText w:val="o"/>
      <w:lvlJc w:val="left"/>
      <w:pPr>
        <w:ind w:left="2576" w:hanging="360"/>
      </w:pPr>
      <w:rPr>
        <w:rFonts w:ascii="Courier New" w:hAnsi="Courier New" w:cs="Courier New" w:hint="default"/>
      </w:rPr>
    </w:lvl>
    <w:lvl w:ilvl="2" w:tplc="0C090005" w:tentative="1">
      <w:start w:val="1"/>
      <w:numFmt w:val="bullet"/>
      <w:lvlText w:val=""/>
      <w:lvlJc w:val="left"/>
      <w:pPr>
        <w:ind w:left="3296" w:hanging="360"/>
      </w:pPr>
      <w:rPr>
        <w:rFonts w:ascii="Wingdings" w:hAnsi="Wingdings" w:hint="default"/>
      </w:rPr>
    </w:lvl>
    <w:lvl w:ilvl="3" w:tplc="0C090001" w:tentative="1">
      <w:start w:val="1"/>
      <w:numFmt w:val="bullet"/>
      <w:lvlText w:val=""/>
      <w:lvlJc w:val="left"/>
      <w:pPr>
        <w:ind w:left="4016" w:hanging="360"/>
      </w:pPr>
      <w:rPr>
        <w:rFonts w:ascii="Symbol" w:hAnsi="Symbol" w:hint="default"/>
      </w:rPr>
    </w:lvl>
    <w:lvl w:ilvl="4" w:tplc="0C090003" w:tentative="1">
      <w:start w:val="1"/>
      <w:numFmt w:val="bullet"/>
      <w:lvlText w:val="o"/>
      <w:lvlJc w:val="left"/>
      <w:pPr>
        <w:ind w:left="4736" w:hanging="360"/>
      </w:pPr>
      <w:rPr>
        <w:rFonts w:ascii="Courier New" w:hAnsi="Courier New" w:cs="Courier New" w:hint="default"/>
      </w:rPr>
    </w:lvl>
    <w:lvl w:ilvl="5" w:tplc="0C090005" w:tentative="1">
      <w:start w:val="1"/>
      <w:numFmt w:val="bullet"/>
      <w:lvlText w:val=""/>
      <w:lvlJc w:val="left"/>
      <w:pPr>
        <w:ind w:left="5456" w:hanging="360"/>
      </w:pPr>
      <w:rPr>
        <w:rFonts w:ascii="Wingdings" w:hAnsi="Wingdings" w:hint="default"/>
      </w:rPr>
    </w:lvl>
    <w:lvl w:ilvl="6" w:tplc="0C090001" w:tentative="1">
      <w:start w:val="1"/>
      <w:numFmt w:val="bullet"/>
      <w:lvlText w:val=""/>
      <w:lvlJc w:val="left"/>
      <w:pPr>
        <w:ind w:left="6176" w:hanging="360"/>
      </w:pPr>
      <w:rPr>
        <w:rFonts w:ascii="Symbol" w:hAnsi="Symbol" w:hint="default"/>
      </w:rPr>
    </w:lvl>
    <w:lvl w:ilvl="7" w:tplc="0C090003" w:tentative="1">
      <w:start w:val="1"/>
      <w:numFmt w:val="bullet"/>
      <w:lvlText w:val="o"/>
      <w:lvlJc w:val="left"/>
      <w:pPr>
        <w:ind w:left="6896" w:hanging="360"/>
      </w:pPr>
      <w:rPr>
        <w:rFonts w:ascii="Courier New" w:hAnsi="Courier New" w:cs="Courier New" w:hint="default"/>
      </w:rPr>
    </w:lvl>
    <w:lvl w:ilvl="8" w:tplc="0C090005" w:tentative="1">
      <w:start w:val="1"/>
      <w:numFmt w:val="bullet"/>
      <w:lvlText w:val=""/>
      <w:lvlJc w:val="left"/>
      <w:pPr>
        <w:ind w:left="7616" w:hanging="360"/>
      </w:pPr>
      <w:rPr>
        <w:rFonts w:ascii="Wingdings" w:hAnsi="Wingdings" w:hint="default"/>
      </w:rPr>
    </w:lvl>
  </w:abstractNum>
  <w:num w:numId="1" w16cid:durableId="338046714">
    <w:abstractNumId w:val="2"/>
  </w:num>
  <w:num w:numId="2" w16cid:durableId="1672444441">
    <w:abstractNumId w:val="3"/>
  </w:num>
  <w:num w:numId="3" w16cid:durableId="1422724084">
    <w:abstractNumId w:val="1"/>
  </w:num>
  <w:num w:numId="4" w16cid:durableId="1772047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9639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6782278">
    <w:abstractNumId w:val="0"/>
    <w:lvlOverride w:ilvl="0">
      <w:startOverride w:val="1"/>
    </w:lvlOverride>
  </w:num>
  <w:num w:numId="7" w16cid:durableId="683097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2034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410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3338923">
    <w:abstractNumId w:val="4"/>
  </w:num>
  <w:num w:numId="11" w16cid:durableId="460998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9782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534852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KnrZd9CqUcv8f6lHrttc3MSBbCCQj+q4jr/xfnZl953FDJ7yz/Nq2QbOlyio7jPcZ9WUJKsYpAS+iUfdDjig8g==" w:salt="CekW5ljoAXLqGZ58vDRB4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95"/>
    <w:rsid w:val="00000FAB"/>
    <w:rsid w:val="000165CE"/>
    <w:rsid w:val="00027285"/>
    <w:rsid w:val="000356B1"/>
    <w:rsid w:val="00035CE7"/>
    <w:rsid w:val="00046E81"/>
    <w:rsid w:val="00051136"/>
    <w:rsid w:val="00076654"/>
    <w:rsid w:val="00076A2E"/>
    <w:rsid w:val="000853C8"/>
    <w:rsid w:val="00086EB1"/>
    <w:rsid w:val="00087CBF"/>
    <w:rsid w:val="000A4000"/>
    <w:rsid w:val="000A59A0"/>
    <w:rsid w:val="000C3751"/>
    <w:rsid w:val="000C4043"/>
    <w:rsid w:val="000C419E"/>
    <w:rsid w:val="000F2367"/>
    <w:rsid w:val="00110876"/>
    <w:rsid w:val="00126C4E"/>
    <w:rsid w:val="001462EF"/>
    <w:rsid w:val="00146DFC"/>
    <w:rsid w:val="001732D5"/>
    <w:rsid w:val="00181BCB"/>
    <w:rsid w:val="00182642"/>
    <w:rsid w:val="00185FDC"/>
    <w:rsid w:val="001A2D7F"/>
    <w:rsid w:val="001A7A30"/>
    <w:rsid w:val="001B10C2"/>
    <w:rsid w:val="001B4640"/>
    <w:rsid w:val="001B5757"/>
    <w:rsid w:val="001B7A46"/>
    <w:rsid w:val="001D07CE"/>
    <w:rsid w:val="001D486A"/>
    <w:rsid w:val="001E3033"/>
    <w:rsid w:val="001E6124"/>
    <w:rsid w:val="002021A5"/>
    <w:rsid w:val="0021299B"/>
    <w:rsid w:val="002155B8"/>
    <w:rsid w:val="00223B60"/>
    <w:rsid w:val="00232062"/>
    <w:rsid w:val="0023217C"/>
    <w:rsid w:val="002412D5"/>
    <w:rsid w:val="00285491"/>
    <w:rsid w:val="00293199"/>
    <w:rsid w:val="002A0827"/>
    <w:rsid w:val="002A1984"/>
    <w:rsid w:val="002A4D3E"/>
    <w:rsid w:val="002A52EA"/>
    <w:rsid w:val="002A5EBC"/>
    <w:rsid w:val="002B2098"/>
    <w:rsid w:val="002B699A"/>
    <w:rsid w:val="002B6C2F"/>
    <w:rsid w:val="002D0AE1"/>
    <w:rsid w:val="002D6DD2"/>
    <w:rsid w:val="002F097F"/>
    <w:rsid w:val="002F3D20"/>
    <w:rsid w:val="00306AC3"/>
    <w:rsid w:val="003175CD"/>
    <w:rsid w:val="00324205"/>
    <w:rsid w:val="00336D8C"/>
    <w:rsid w:val="0034213B"/>
    <w:rsid w:val="00351A3F"/>
    <w:rsid w:val="003611B3"/>
    <w:rsid w:val="00362A4B"/>
    <w:rsid w:val="00374C2B"/>
    <w:rsid w:val="00386654"/>
    <w:rsid w:val="00394E0D"/>
    <w:rsid w:val="003C69E8"/>
    <w:rsid w:val="003D594D"/>
    <w:rsid w:val="003E3D97"/>
    <w:rsid w:val="003F0830"/>
    <w:rsid w:val="003F0A2E"/>
    <w:rsid w:val="00414BA5"/>
    <w:rsid w:val="00416F8B"/>
    <w:rsid w:val="00434AE9"/>
    <w:rsid w:val="00435D4F"/>
    <w:rsid w:val="00441D2A"/>
    <w:rsid w:val="00442D8C"/>
    <w:rsid w:val="004435F1"/>
    <w:rsid w:val="0044365A"/>
    <w:rsid w:val="00445160"/>
    <w:rsid w:val="00451E54"/>
    <w:rsid w:val="004708AE"/>
    <w:rsid w:val="004735D5"/>
    <w:rsid w:val="00493A0B"/>
    <w:rsid w:val="004B3C86"/>
    <w:rsid w:val="004D0D91"/>
    <w:rsid w:val="004E6FD3"/>
    <w:rsid w:val="005072B5"/>
    <w:rsid w:val="00513DDA"/>
    <w:rsid w:val="005170EE"/>
    <w:rsid w:val="005202FF"/>
    <w:rsid w:val="00520984"/>
    <w:rsid w:val="00521F83"/>
    <w:rsid w:val="005226EB"/>
    <w:rsid w:val="00534CC9"/>
    <w:rsid w:val="00543CF5"/>
    <w:rsid w:val="0054513D"/>
    <w:rsid w:val="00561F02"/>
    <w:rsid w:val="00583A85"/>
    <w:rsid w:val="0058721B"/>
    <w:rsid w:val="005A11F6"/>
    <w:rsid w:val="005A34B8"/>
    <w:rsid w:val="005A4B41"/>
    <w:rsid w:val="005B0A90"/>
    <w:rsid w:val="005B2324"/>
    <w:rsid w:val="005B35C1"/>
    <w:rsid w:val="005B5585"/>
    <w:rsid w:val="005D745B"/>
    <w:rsid w:val="005E3260"/>
    <w:rsid w:val="005E51E4"/>
    <w:rsid w:val="005F7211"/>
    <w:rsid w:val="00606E69"/>
    <w:rsid w:val="00610DEE"/>
    <w:rsid w:val="006217F0"/>
    <w:rsid w:val="00621CE1"/>
    <w:rsid w:val="00631BE9"/>
    <w:rsid w:val="006367A3"/>
    <w:rsid w:val="00644957"/>
    <w:rsid w:val="00646F96"/>
    <w:rsid w:val="0065472F"/>
    <w:rsid w:val="00656D5B"/>
    <w:rsid w:val="00667B2C"/>
    <w:rsid w:val="0067456E"/>
    <w:rsid w:val="0067532E"/>
    <w:rsid w:val="00690563"/>
    <w:rsid w:val="00695016"/>
    <w:rsid w:val="006B0DD1"/>
    <w:rsid w:val="006C2058"/>
    <w:rsid w:val="006D327D"/>
    <w:rsid w:val="006E4A48"/>
    <w:rsid w:val="00710DA5"/>
    <w:rsid w:val="00720D86"/>
    <w:rsid w:val="0072222F"/>
    <w:rsid w:val="00745A3B"/>
    <w:rsid w:val="0075067E"/>
    <w:rsid w:val="0075367B"/>
    <w:rsid w:val="00762D40"/>
    <w:rsid w:val="00763483"/>
    <w:rsid w:val="00764B19"/>
    <w:rsid w:val="00780EEC"/>
    <w:rsid w:val="00787F19"/>
    <w:rsid w:val="0079532A"/>
    <w:rsid w:val="007971E8"/>
    <w:rsid w:val="007A6756"/>
    <w:rsid w:val="007D50E9"/>
    <w:rsid w:val="007E644D"/>
    <w:rsid w:val="007F529D"/>
    <w:rsid w:val="00801537"/>
    <w:rsid w:val="00802163"/>
    <w:rsid w:val="00822FA1"/>
    <w:rsid w:val="00846212"/>
    <w:rsid w:val="00857451"/>
    <w:rsid w:val="00863267"/>
    <w:rsid w:val="0087443D"/>
    <w:rsid w:val="00876AAB"/>
    <w:rsid w:val="00881B26"/>
    <w:rsid w:val="008B689D"/>
    <w:rsid w:val="008C26DA"/>
    <w:rsid w:val="008D13A3"/>
    <w:rsid w:val="008F1281"/>
    <w:rsid w:val="00900E52"/>
    <w:rsid w:val="00923FDC"/>
    <w:rsid w:val="00943510"/>
    <w:rsid w:val="00947F22"/>
    <w:rsid w:val="009537D4"/>
    <w:rsid w:val="00955414"/>
    <w:rsid w:val="00955508"/>
    <w:rsid w:val="00955899"/>
    <w:rsid w:val="0096078B"/>
    <w:rsid w:val="00964183"/>
    <w:rsid w:val="009750BC"/>
    <w:rsid w:val="009760B8"/>
    <w:rsid w:val="0098066B"/>
    <w:rsid w:val="00995636"/>
    <w:rsid w:val="009A6167"/>
    <w:rsid w:val="009B5C81"/>
    <w:rsid w:val="009B5D68"/>
    <w:rsid w:val="009C2D16"/>
    <w:rsid w:val="009C37EA"/>
    <w:rsid w:val="009F42F8"/>
    <w:rsid w:val="00A02F82"/>
    <w:rsid w:val="00A032C5"/>
    <w:rsid w:val="00A14212"/>
    <w:rsid w:val="00A15C8D"/>
    <w:rsid w:val="00A16067"/>
    <w:rsid w:val="00A16CE9"/>
    <w:rsid w:val="00A24CCF"/>
    <w:rsid w:val="00A32EBF"/>
    <w:rsid w:val="00A37B8D"/>
    <w:rsid w:val="00A411E8"/>
    <w:rsid w:val="00A518AE"/>
    <w:rsid w:val="00A55B90"/>
    <w:rsid w:val="00A56683"/>
    <w:rsid w:val="00A5749E"/>
    <w:rsid w:val="00A831C5"/>
    <w:rsid w:val="00A93A2D"/>
    <w:rsid w:val="00AA5706"/>
    <w:rsid w:val="00AB230F"/>
    <w:rsid w:val="00AB35EE"/>
    <w:rsid w:val="00AC27C4"/>
    <w:rsid w:val="00AD62A7"/>
    <w:rsid w:val="00AE2BB5"/>
    <w:rsid w:val="00AF5A11"/>
    <w:rsid w:val="00AF61DF"/>
    <w:rsid w:val="00B039E1"/>
    <w:rsid w:val="00B04159"/>
    <w:rsid w:val="00B15167"/>
    <w:rsid w:val="00B20D82"/>
    <w:rsid w:val="00B2279E"/>
    <w:rsid w:val="00B36B9C"/>
    <w:rsid w:val="00B40170"/>
    <w:rsid w:val="00B45F96"/>
    <w:rsid w:val="00B47C86"/>
    <w:rsid w:val="00B54C11"/>
    <w:rsid w:val="00B551C6"/>
    <w:rsid w:val="00B64F54"/>
    <w:rsid w:val="00B80DE1"/>
    <w:rsid w:val="00B85DF8"/>
    <w:rsid w:val="00B91FCA"/>
    <w:rsid w:val="00BD3B4F"/>
    <w:rsid w:val="00BD3F3B"/>
    <w:rsid w:val="00BD7DDA"/>
    <w:rsid w:val="00BE43E9"/>
    <w:rsid w:val="00BF3E5A"/>
    <w:rsid w:val="00BF4CA2"/>
    <w:rsid w:val="00C044AD"/>
    <w:rsid w:val="00C11484"/>
    <w:rsid w:val="00C1342A"/>
    <w:rsid w:val="00C167C5"/>
    <w:rsid w:val="00C21449"/>
    <w:rsid w:val="00C26D59"/>
    <w:rsid w:val="00C37D8E"/>
    <w:rsid w:val="00C44E0B"/>
    <w:rsid w:val="00C67119"/>
    <w:rsid w:val="00C74D70"/>
    <w:rsid w:val="00C82E50"/>
    <w:rsid w:val="00C83512"/>
    <w:rsid w:val="00C8354D"/>
    <w:rsid w:val="00C9030D"/>
    <w:rsid w:val="00C95BB0"/>
    <w:rsid w:val="00CA60CD"/>
    <w:rsid w:val="00CB5C62"/>
    <w:rsid w:val="00CB6253"/>
    <w:rsid w:val="00CC0EDC"/>
    <w:rsid w:val="00CC289A"/>
    <w:rsid w:val="00CD17C9"/>
    <w:rsid w:val="00CD415C"/>
    <w:rsid w:val="00CD7389"/>
    <w:rsid w:val="00CF3012"/>
    <w:rsid w:val="00D14B09"/>
    <w:rsid w:val="00D35118"/>
    <w:rsid w:val="00D36B1A"/>
    <w:rsid w:val="00D47CB8"/>
    <w:rsid w:val="00D60195"/>
    <w:rsid w:val="00D61458"/>
    <w:rsid w:val="00D73016"/>
    <w:rsid w:val="00D737B6"/>
    <w:rsid w:val="00D80FA8"/>
    <w:rsid w:val="00D924A4"/>
    <w:rsid w:val="00DA3AA9"/>
    <w:rsid w:val="00DC0CBC"/>
    <w:rsid w:val="00DC12B0"/>
    <w:rsid w:val="00DC4402"/>
    <w:rsid w:val="00DD03AB"/>
    <w:rsid w:val="00DE3FE3"/>
    <w:rsid w:val="00DF55D1"/>
    <w:rsid w:val="00E040E1"/>
    <w:rsid w:val="00E06868"/>
    <w:rsid w:val="00E20C97"/>
    <w:rsid w:val="00E23A6A"/>
    <w:rsid w:val="00E27F5E"/>
    <w:rsid w:val="00E3753A"/>
    <w:rsid w:val="00E45400"/>
    <w:rsid w:val="00E4559C"/>
    <w:rsid w:val="00E45F62"/>
    <w:rsid w:val="00E53FCF"/>
    <w:rsid w:val="00E644A8"/>
    <w:rsid w:val="00E77578"/>
    <w:rsid w:val="00E86AE3"/>
    <w:rsid w:val="00E902C8"/>
    <w:rsid w:val="00E9078A"/>
    <w:rsid w:val="00EA0FC8"/>
    <w:rsid w:val="00EC608B"/>
    <w:rsid w:val="00ED1467"/>
    <w:rsid w:val="00EE2FBD"/>
    <w:rsid w:val="00EE7965"/>
    <w:rsid w:val="00EF1C1A"/>
    <w:rsid w:val="00F01471"/>
    <w:rsid w:val="00F018E1"/>
    <w:rsid w:val="00F07EF2"/>
    <w:rsid w:val="00F16421"/>
    <w:rsid w:val="00F25302"/>
    <w:rsid w:val="00F31322"/>
    <w:rsid w:val="00F37C44"/>
    <w:rsid w:val="00F521B4"/>
    <w:rsid w:val="00F5263E"/>
    <w:rsid w:val="00F722D1"/>
    <w:rsid w:val="00F826A2"/>
    <w:rsid w:val="00F92A65"/>
    <w:rsid w:val="00F951FF"/>
    <w:rsid w:val="00FA0125"/>
    <w:rsid w:val="00FA0A3E"/>
    <w:rsid w:val="00FA5A77"/>
    <w:rsid w:val="00FA7777"/>
    <w:rsid w:val="00FC45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261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83"/>
  </w:style>
  <w:style w:type="paragraph" w:styleId="Heading1">
    <w:name w:val="heading 1"/>
    <w:next w:val="Heading2"/>
    <w:link w:val="Heading1Char"/>
    <w:uiPriority w:val="9"/>
    <w:qFormat/>
    <w:rsid w:val="00964183"/>
    <w:pPr>
      <w:keepNext/>
      <w:keepLines/>
      <w:pageBreakBefore/>
      <w:pBdr>
        <w:bottom w:val="single" w:sz="6" w:space="1" w:color="auto"/>
      </w:pBdr>
      <w:tabs>
        <w:tab w:val="left" w:pos="1418"/>
      </w:tabs>
      <w:spacing w:before="120" w:after="600" w:line="900" w:lineRule="atLeast"/>
      <w:ind w:left="1418" w:hanging="1418"/>
      <w:outlineLvl w:val="0"/>
    </w:pPr>
    <w:rPr>
      <w:rFonts w:ascii="Gill Sans MT" w:eastAsiaTheme="majorEastAsia" w:hAnsi="Gill Sans MT" w:cstheme="majorBidi"/>
      <w:smallCaps/>
      <w:kern w:val="32"/>
      <w:sz w:val="72"/>
      <w:szCs w:val="32"/>
    </w:rPr>
  </w:style>
  <w:style w:type="paragraph" w:styleId="Heading2">
    <w:name w:val="heading 2"/>
    <w:next w:val="Body"/>
    <w:link w:val="Heading2Char"/>
    <w:uiPriority w:val="9"/>
    <w:qFormat/>
    <w:rsid w:val="00964183"/>
    <w:pPr>
      <w:keepNext/>
      <w:keepLines/>
      <w:spacing w:before="300" w:after="140" w:line="400" w:lineRule="atLeast"/>
      <w:outlineLvl w:val="1"/>
    </w:pPr>
    <w:rPr>
      <w:rFonts w:ascii="Gill Sans MT" w:eastAsiaTheme="majorEastAsia" w:hAnsi="Gill Sans MT" w:cstheme="majorBidi"/>
      <w:smallCaps/>
      <w:sz w:val="48"/>
      <w:szCs w:val="26"/>
    </w:rPr>
  </w:style>
  <w:style w:type="paragraph" w:styleId="Heading3">
    <w:name w:val="heading 3"/>
    <w:next w:val="Body"/>
    <w:link w:val="Heading3Char"/>
    <w:uiPriority w:val="9"/>
    <w:qFormat/>
    <w:rsid w:val="00964183"/>
    <w:pPr>
      <w:keepNext/>
      <w:keepLines/>
      <w:tabs>
        <w:tab w:val="left" w:pos="0"/>
      </w:tabs>
      <w:spacing w:before="300" w:after="200" w:line="276" w:lineRule="auto"/>
      <w:ind w:left="2914" w:hanging="2914"/>
      <w:outlineLvl w:val="2"/>
    </w:pPr>
    <w:rPr>
      <w:rFonts w:ascii="Gill Sans MT" w:eastAsiaTheme="majorEastAsia" w:hAnsi="Gill Sans MT" w:cstheme="majorBidi"/>
      <w:sz w:val="36"/>
      <w:szCs w:val="24"/>
    </w:rPr>
  </w:style>
  <w:style w:type="paragraph" w:styleId="Heading4">
    <w:name w:val="heading 4"/>
    <w:next w:val="Body"/>
    <w:link w:val="Heading4Char"/>
    <w:uiPriority w:val="9"/>
    <w:qFormat/>
    <w:rsid w:val="00964183"/>
    <w:pPr>
      <w:keepNext/>
      <w:keepLines/>
      <w:tabs>
        <w:tab w:val="left" w:pos="0"/>
      </w:tabs>
      <w:spacing w:before="240" w:after="140" w:line="300" w:lineRule="atLeast"/>
      <w:ind w:left="425" w:hanging="425"/>
      <w:outlineLvl w:val="3"/>
    </w:pPr>
    <w:rPr>
      <w:rFonts w:ascii="Gill Sans MT" w:eastAsiaTheme="majorEastAsia" w:hAnsi="Gill Sans MT" w:cstheme="majorBidi"/>
      <w:i/>
      <w:iCs/>
      <w:sz w:val="28"/>
    </w:rPr>
  </w:style>
  <w:style w:type="paragraph" w:styleId="Heading5">
    <w:name w:val="heading 5"/>
    <w:next w:val="Body"/>
    <w:link w:val="Heading5Char"/>
    <w:uiPriority w:val="9"/>
    <w:qFormat/>
    <w:rsid w:val="00964183"/>
    <w:pPr>
      <w:keepNext/>
      <w:keepLines/>
      <w:spacing w:before="240" w:after="120" w:line="300" w:lineRule="atLeast"/>
      <w:outlineLvl w:val="4"/>
    </w:pPr>
    <w:rPr>
      <w:rFonts w:ascii="Gill Sans MT" w:eastAsiaTheme="majorEastAsia" w:hAnsi="Gill Sans MT" w:cstheme="majorBidi"/>
      <w:i/>
      <w:sz w:val="24"/>
    </w:rPr>
  </w:style>
  <w:style w:type="paragraph" w:styleId="Heading6">
    <w:name w:val="heading 6"/>
    <w:next w:val="Body"/>
    <w:link w:val="Heading6Char"/>
    <w:uiPriority w:val="9"/>
    <w:qFormat/>
    <w:rsid w:val="00964183"/>
    <w:pPr>
      <w:keepNext/>
      <w:keepLines/>
      <w:tabs>
        <w:tab w:val="left" w:pos="1985"/>
      </w:tabs>
      <w:spacing w:before="300" w:after="40" w:line="240" w:lineRule="auto"/>
      <w:ind w:left="1985" w:hanging="1985"/>
      <w:outlineLvl w:val="5"/>
    </w:pPr>
    <w:rPr>
      <w:rFonts w:ascii="Gill Sans MT" w:eastAsiaTheme="majorEastAsia" w:hAnsi="Gill Sans MT" w:cstheme="majorBidi"/>
      <w:sz w:val="30"/>
    </w:rPr>
  </w:style>
  <w:style w:type="paragraph" w:styleId="Heading7">
    <w:name w:val="heading 7"/>
    <w:basedOn w:val="Heading4"/>
    <w:next w:val="Body"/>
    <w:link w:val="Heading7Char"/>
    <w:uiPriority w:val="9"/>
    <w:qFormat/>
    <w:rsid w:val="00E53FCF"/>
    <w:pPr>
      <w:spacing w:after="120"/>
      <w:outlineLvl w:val="6"/>
    </w:pPr>
    <w:rPr>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83"/>
    <w:rPr>
      <w:rFonts w:ascii="Gill Sans MT" w:eastAsiaTheme="majorEastAsia" w:hAnsi="Gill Sans MT" w:cstheme="majorBidi"/>
      <w:smallCaps/>
      <w:kern w:val="32"/>
      <w:sz w:val="72"/>
      <w:szCs w:val="32"/>
    </w:rPr>
  </w:style>
  <w:style w:type="character" w:customStyle="1" w:styleId="Heading2Char">
    <w:name w:val="Heading 2 Char"/>
    <w:basedOn w:val="DefaultParagraphFont"/>
    <w:link w:val="Heading2"/>
    <w:uiPriority w:val="9"/>
    <w:rsid w:val="00964183"/>
    <w:rPr>
      <w:rFonts w:ascii="Gill Sans MT" w:eastAsiaTheme="majorEastAsia" w:hAnsi="Gill Sans MT" w:cstheme="majorBidi"/>
      <w:smallCaps/>
      <w:sz w:val="48"/>
      <w:szCs w:val="26"/>
    </w:rPr>
  </w:style>
  <w:style w:type="character" w:customStyle="1" w:styleId="Heading3Char">
    <w:name w:val="Heading 3 Char"/>
    <w:basedOn w:val="DefaultParagraphFont"/>
    <w:link w:val="Heading3"/>
    <w:uiPriority w:val="9"/>
    <w:rsid w:val="00964183"/>
    <w:rPr>
      <w:rFonts w:ascii="Gill Sans MT" w:eastAsiaTheme="majorEastAsia" w:hAnsi="Gill Sans MT" w:cstheme="majorBidi"/>
      <w:sz w:val="36"/>
      <w:szCs w:val="24"/>
    </w:rPr>
  </w:style>
  <w:style w:type="character" w:customStyle="1" w:styleId="Heading4Char">
    <w:name w:val="Heading 4 Char"/>
    <w:basedOn w:val="DefaultParagraphFont"/>
    <w:link w:val="Heading4"/>
    <w:uiPriority w:val="9"/>
    <w:rsid w:val="00964183"/>
    <w:rPr>
      <w:rFonts w:ascii="Gill Sans MT" w:eastAsiaTheme="majorEastAsia" w:hAnsi="Gill Sans MT" w:cstheme="majorBidi"/>
      <w:i/>
      <w:iCs/>
      <w:sz w:val="28"/>
    </w:rPr>
  </w:style>
  <w:style w:type="character" w:customStyle="1" w:styleId="Heading5Char">
    <w:name w:val="Heading 5 Char"/>
    <w:basedOn w:val="DefaultParagraphFont"/>
    <w:link w:val="Heading5"/>
    <w:uiPriority w:val="9"/>
    <w:rsid w:val="00964183"/>
    <w:rPr>
      <w:rFonts w:ascii="Gill Sans MT" w:eastAsiaTheme="majorEastAsia" w:hAnsi="Gill Sans MT" w:cstheme="majorBidi"/>
      <w:i/>
      <w:sz w:val="24"/>
    </w:rPr>
  </w:style>
  <w:style w:type="character" w:customStyle="1" w:styleId="Heading6Char">
    <w:name w:val="Heading 6 Char"/>
    <w:basedOn w:val="DefaultParagraphFont"/>
    <w:link w:val="Heading6"/>
    <w:uiPriority w:val="9"/>
    <w:rsid w:val="00964183"/>
    <w:rPr>
      <w:rFonts w:ascii="Gill Sans MT" w:eastAsiaTheme="majorEastAsia" w:hAnsi="Gill Sans MT" w:cstheme="majorBidi"/>
      <w:sz w:val="30"/>
    </w:rPr>
  </w:style>
  <w:style w:type="paragraph" w:customStyle="1" w:styleId="Body">
    <w:name w:val="Body"/>
    <w:link w:val="BodyChar"/>
    <w:qFormat/>
    <w:rsid w:val="00964183"/>
    <w:pPr>
      <w:spacing w:after="140" w:line="300" w:lineRule="atLeast"/>
      <w:jc w:val="both"/>
    </w:pPr>
    <w:rPr>
      <w:rFonts w:ascii="Gill Sans MT" w:hAnsi="Gill Sans MT"/>
    </w:rPr>
  </w:style>
  <w:style w:type="paragraph" w:customStyle="1" w:styleId="Dotpoint">
    <w:name w:val="Dot point"/>
    <w:basedOn w:val="Normal"/>
    <w:link w:val="DotpointChar"/>
    <w:qFormat/>
    <w:rsid w:val="00964183"/>
    <w:pPr>
      <w:numPr>
        <w:numId w:val="1"/>
      </w:numPr>
      <w:tabs>
        <w:tab w:val="left" w:pos="284"/>
      </w:tabs>
      <w:spacing w:line="300" w:lineRule="atLeast"/>
      <w:ind w:left="284" w:hanging="284"/>
      <w:jc w:val="both"/>
    </w:pPr>
    <w:rPr>
      <w:rFonts w:ascii="Gill Sans MT" w:hAnsi="Gill Sans MT"/>
    </w:rPr>
  </w:style>
  <w:style w:type="character" w:customStyle="1" w:styleId="DotpointChar">
    <w:name w:val="Dot point Char"/>
    <w:basedOn w:val="DefaultParagraphFont"/>
    <w:link w:val="Dotpoint"/>
    <w:locked/>
    <w:rsid w:val="00964183"/>
    <w:rPr>
      <w:rFonts w:ascii="Gill Sans MT" w:hAnsi="Gill Sans MT"/>
    </w:rPr>
  </w:style>
  <w:style w:type="paragraph" w:customStyle="1" w:styleId="Notes0">
    <w:name w:val="Notes"/>
    <w:link w:val="NotesChar"/>
    <w:qFormat/>
    <w:rsid w:val="00964183"/>
    <w:pPr>
      <w:numPr>
        <w:numId w:val="6"/>
      </w:numPr>
      <w:tabs>
        <w:tab w:val="left" w:pos="284"/>
      </w:tabs>
      <w:spacing w:after="0" w:line="240" w:lineRule="auto"/>
      <w:ind w:left="284" w:hanging="284"/>
      <w:jc w:val="both"/>
    </w:pPr>
    <w:rPr>
      <w:rFonts w:ascii="Gill Sans MT" w:hAnsi="Gill Sans MT"/>
      <w:sz w:val="18"/>
    </w:rPr>
  </w:style>
  <w:style w:type="paragraph" w:customStyle="1" w:styleId="NotesHeading">
    <w:name w:val="Notes Heading"/>
    <w:next w:val="Notes0"/>
    <w:link w:val="NotesHeadingChar"/>
    <w:qFormat/>
    <w:rsid w:val="00964183"/>
    <w:pPr>
      <w:spacing w:after="0" w:line="240" w:lineRule="auto"/>
    </w:pPr>
    <w:rPr>
      <w:rFonts w:ascii="Gill Sans MT" w:hAnsi="Gill Sans MT"/>
      <w:sz w:val="18"/>
    </w:rPr>
  </w:style>
  <w:style w:type="paragraph" w:customStyle="1" w:styleId="Dashpoint">
    <w:name w:val="Dash point"/>
    <w:qFormat/>
    <w:rsid w:val="00964183"/>
    <w:pPr>
      <w:numPr>
        <w:numId w:val="2"/>
      </w:numPr>
      <w:tabs>
        <w:tab w:val="left" w:pos="482"/>
      </w:tabs>
      <w:spacing w:after="140" w:line="300" w:lineRule="atLeast"/>
      <w:ind w:left="511" w:hanging="227"/>
      <w:jc w:val="both"/>
    </w:pPr>
    <w:rPr>
      <w:rFonts w:ascii="Gill Sans MT" w:hAnsi="Gill Sans MT"/>
    </w:rPr>
  </w:style>
  <w:style w:type="paragraph" w:customStyle="1" w:styleId="Footer-Even">
    <w:name w:val="Footer - Even"/>
    <w:qFormat/>
    <w:rsid w:val="00964183"/>
    <w:pPr>
      <w:pBdr>
        <w:top w:val="single" w:sz="6" w:space="1" w:color="auto"/>
      </w:pBdr>
      <w:tabs>
        <w:tab w:val="left" w:pos="709"/>
      </w:tabs>
      <w:spacing w:after="0" w:line="240" w:lineRule="auto"/>
    </w:pPr>
    <w:rPr>
      <w:rFonts w:ascii="Gill Sans MT" w:hAnsi="Gill Sans MT"/>
      <w:i/>
      <w:sz w:val="20"/>
    </w:rPr>
  </w:style>
  <w:style w:type="paragraph" w:customStyle="1" w:styleId="Footer-Odd">
    <w:name w:val="Footer - Odd"/>
    <w:link w:val="Footer-OddChar"/>
    <w:qFormat/>
    <w:rsid w:val="00964183"/>
    <w:pPr>
      <w:pBdr>
        <w:top w:val="single" w:sz="6" w:space="1" w:color="auto"/>
      </w:pBdr>
      <w:tabs>
        <w:tab w:val="right" w:pos="8789"/>
      </w:tabs>
      <w:spacing w:after="0" w:line="240" w:lineRule="auto"/>
      <w:jc w:val="right"/>
    </w:pPr>
    <w:rPr>
      <w:rFonts w:ascii="Gill Sans MT" w:hAnsi="Gill Sans MT"/>
      <w:i/>
      <w:sz w:val="20"/>
    </w:rPr>
  </w:style>
  <w:style w:type="paragraph" w:customStyle="1" w:styleId="TableLeftHeadingItalicised">
    <w:name w:val="Table Left Heading Italicised"/>
    <w:basedOn w:val="TableLeftHeading"/>
    <w:next w:val="Normal"/>
    <w:link w:val="TableLeftHeadingItalicisedChar"/>
    <w:qFormat/>
    <w:rsid w:val="00964183"/>
    <w:rPr>
      <w:i/>
    </w:rPr>
  </w:style>
  <w:style w:type="paragraph" w:customStyle="1" w:styleId="TableLeft">
    <w:name w:val="Table Left"/>
    <w:next w:val="Normal"/>
    <w:link w:val="TableLeftChar"/>
    <w:qFormat/>
    <w:rsid w:val="00964183"/>
    <w:pPr>
      <w:spacing w:after="0" w:line="300" w:lineRule="atLeast"/>
      <w:ind w:left="170" w:hanging="170"/>
    </w:pPr>
    <w:rPr>
      <w:rFonts w:ascii="Gill Sans MT" w:eastAsia="Calibri" w:hAnsi="Gill Sans MT" w:cs="Times New Roman"/>
      <w:sz w:val="18"/>
      <w:szCs w:val="18"/>
    </w:rPr>
  </w:style>
  <w:style w:type="paragraph" w:customStyle="1" w:styleId="TableLeftHeading">
    <w:name w:val="Table Left Heading"/>
    <w:next w:val="Normal"/>
    <w:link w:val="TableLeftHeadingChar"/>
    <w:qFormat/>
    <w:rsid w:val="00964183"/>
    <w:pPr>
      <w:spacing w:after="0"/>
      <w:ind w:left="170" w:hanging="170"/>
    </w:pPr>
    <w:rPr>
      <w:rFonts w:ascii="Gill Sans MT" w:eastAsia="Calibri" w:hAnsi="Gill Sans MT" w:cs="Times New Roman"/>
      <w:b/>
      <w:sz w:val="18"/>
      <w:szCs w:val="18"/>
    </w:rPr>
  </w:style>
  <w:style w:type="paragraph" w:customStyle="1" w:styleId="TableRight">
    <w:name w:val="Table Right"/>
    <w:link w:val="TableRightChar"/>
    <w:qFormat/>
    <w:rsid w:val="00964183"/>
    <w:pPr>
      <w:spacing w:after="0" w:line="280" w:lineRule="atLeast"/>
      <w:jc w:val="right"/>
    </w:pPr>
    <w:rPr>
      <w:rFonts w:ascii="Gill Sans MT" w:eastAsia="Calibri" w:hAnsi="Gill Sans MT" w:cs="Times New Roman"/>
      <w:sz w:val="18"/>
      <w:szCs w:val="18"/>
    </w:rPr>
  </w:style>
  <w:style w:type="paragraph" w:customStyle="1" w:styleId="TableRightHeading">
    <w:name w:val="Table Right Heading"/>
    <w:basedOn w:val="TableRight"/>
    <w:link w:val="TableRightHeadingChar"/>
    <w:qFormat/>
    <w:rsid w:val="00964183"/>
    <w:rPr>
      <w:b/>
    </w:rPr>
  </w:style>
  <w:style w:type="paragraph" w:customStyle="1" w:styleId="TableIndent">
    <w:name w:val="Table Indent"/>
    <w:next w:val="Normal"/>
    <w:link w:val="TableIndentChar1"/>
    <w:qFormat/>
    <w:rsid w:val="00964183"/>
    <w:pPr>
      <w:spacing w:after="0" w:line="300" w:lineRule="atLeast"/>
      <w:ind w:left="454" w:hanging="284"/>
    </w:pPr>
    <w:rPr>
      <w:rFonts w:ascii="Gill Sans MT" w:eastAsia="Calibri" w:hAnsi="Gill Sans MT" w:cs="Times New Roman"/>
      <w:sz w:val="18"/>
      <w:szCs w:val="18"/>
    </w:rPr>
  </w:style>
  <w:style w:type="paragraph" w:customStyle="1" w:styleId="TableIndent2">
    <w:name w:val="Table Indent 2"/>
    <w:basedOn w:val="TableIndent"/>
    <w:next w:val="Normal"/>
    <w:link w:val="TableIndent2Char1"/>
    <w:qFormat/>
    <w:rsid w:val="00964183"/>
    <w:pPr>
      <w:ind w:left="510"/>
    </w:pPr>
  </w:style>
  <w:style w:type="character" w:customStyle="1" w:styleId="TableLeftChar">
    <w:name w:val="Table Left Char"/>
    <w:link w:val="TableLeft"/>
    <w:rsid w:val="00964183"/>
    <w:rPr>
      <w:rFonts w:ascii="Gill Sans MT" w:eastAsia="Calibri" w:hAnsi="Gill Sans MT" w:cs="Times New Roman"/>
      <w:sz w:val="18"/>
      <w:szCs w:val="18"/>
    </w:rPr>
  </w:style>
  <w:style w:type="character" w:customStyle="1" w:styleId="TableRightHeadingChar">
    <w:name w:val="Table Right Heading Char"/>
    <w:link w:val="TableRightHeading"/>
    <w:rsid w:val="00964183"/>
    <w:rPr>
      <w:rFonts w:ascii="Gill Sans MT" w:eastAsia="Calibri" w:hAnsi="Gill Sans MT" w:cs="Times New Roman"/>
      <w:b/>
      <w:sz w:val="18"/>
      <w:szCs w:val="18"/>
    </w:rPr>
  </w:style>
  <w:style w:type="character" w:customStyle="1" w:styleId="TableRightChar">
    <w:name w:val="Table Right Char"/>
    <w:link w:val="TableRight"/>
    <w:rsid w:val="00964183"/>
    <w:rPr>
      <w:rFonts w:ascii="Gill Sans MT" w:eastAsia="Calibri" w:hAnsi="Gill Sans MT" w:cs="Times New Roman"/>
      <w:sz w:val="18"/>
      <w:szCs w:val="18"/>
    </w:rPr>
  </w:style>
  <w:style w:type="character" w:customStyle="1" w:styleId="TableIndentChar1">
    <w:name w:val="Table Indent Char1"/>
    <w:link w:val="TableIndent"/>
    <w:rsid w:val="00964183"/>
    <w:rPr>
      <w:rFonts w:ascii="Gill Sans MT" w:eastAsia="Calibri" w:hAnsi="Gill Sans MT" w:cs="Times New Roman"/>
      <w:sz w:val="18"/>
      <w:szCs w:val="18"/>
    </w:rPr>
  </w:style>
  <w:style w:type="character" w:customStyle="1" w:styleId="TableLeftHeadingChar">
    <w:name w:val="Table Left Heading Char"/>
    <w:link w:val="TableLeftHeading"/>
    <w:rsid w:val="00964183"/>
    <w:rPr>
      <w:rFonts w:ascii="Gill Sans MT" w:eastAsia="Calibri" w:hAnsi="Gill Sans MT" w:cs="Times New Roman"/>
      <w:b/>
      <w:sz w:val="18"/>
      <w:szCs w:val="18"/>
    </w:rPr>
  </w:style>
  <w:style w:type="character" w:customStyle="1" w:styleId="TableLeftHeadingItalicisedChar">
    <w:name w:val="Table Left Heading Italicised Char"/>
    <w:link w:val="TableLeftHeadingItalicised"/>
    <w:rsid w:val="00964183"/>
    <w:rPr>
      <w:rFonts w:ascii="Gill Sans MT" w:eastAsia="Calibri" w:hAnsi="Gill Sans MT" w:cs="Times New Roman"/>
      <w:b/>
      <w:i/>
      <w:sz w:val="18"/>
      <w:szCs w:val="18"/>
    </w:rPr>
  </w:style>
  <w:style w:type="character" w:customStyle="1" w:styleId="TableIndent2Char1">
    <w:name w:val="Table Indent 2 Char1"/>
    <w:basedOn w:val="TableIndentChar1"/>
    <w:link w:val="TableIndent2"/>
    <w:rsid w:val="00964183"/>
    <w:rPr>
      <w:rFonts w:ascii="Gill Sans MT" w:eastAsia="Calibri" w:hAnsi="Gill Sans MT" w:cs="Times New Roman"/>
      <w:sz w:val="18"/>
      <w:szCs w:val="18"/>
    </w:rPr>
  </w:style>
  <w:style w:type="character" w:customStyle="1" w:styleId="Heading6Superscipt">
    <w:name w:val="Heading 6 Superscipt"/>
    <w:uiPriority w:val="1"/>
    <w:qFormat/>
    <w:rsid w:val="00964183"/>
    <w:rPr>
      <w:rFonts w:ascii="Gill Sans MT" w:hAnsi="Gill Sans MT"/>
      <w:position w:val="6"/>
      <w:sz w:val="30"/>
    </w:rPr>
  </w:style>
  <w:style w:type="character" w:customStyle="1" w:styleId="BodyChar">
    <w:name w:val="Body Char"/>
    <w:basedOn w:val="DefaultParagraphFont"/>
    <w:link w:val="Body"/>
    <w:rsid w:val="00964183"/>
    <w:rPr>
      <w:rFonts w:ascii="Gill Sans MT" w:hAnsi="Gill Sans MT"/>
    </w:rPr>
  </w:style>
  <w:style w:type="character" w:customStyle="1" w:styleId="FooterNumber-Odd">
    <w:name w:val="Footer Number - Odd"/>
    <w:basedOn w:val="DefaultParagraphFont"/>
    <w:uiPriority w:val="1"/>
    <w:qFormat/>
    <w:rsid w:val="00964183"/>
    <w:rPr>
      <w:rFonts w:ascii="Gill Sans MT" w:hAnsi="Gill Sans MT"/>
      <w:b/>
      <w:i/>
      <w:sz w:val="20"/>
    </w:rPr>
  </w:style>
  <w:style w:type="character" w:customStyle="1" w:styleId="FooterNumber-Even">
    <w:name w:val="Footer Number - Even"/>
    <w:basedOn w:val="DefaultParagraphFont"/>
    <w:uiPriority w:val="1"/>
    <w:qFormat/>
    <w:rsid w:val="00964183"/>
    <w:rPr>
      <w:rFonts w:ascii="Gill Sans MT" w:hAnsi="Gill Sans MT"/>
      <w:b/>
      <w:i/>
      <w:sz w:val="20"/>
    </w:rPr>
  </w:style>
  <w:style w:type="paragraph" w:customStyle="1" w:styleId="NumberedList">
    <w:name w:val="Numbered List"/>
    <w:qFormat/>
    <w:rsid w:val="00964183"/>
    <w:pPr>
      <w:numPr>
        <w:numId w:val="3"/>
      </w:numPr>
    </w:pPr>
    <w:rPr>
      <w:rFonts w:ascii="Gill Sans MT" w:hAnsi="Gill Sans MT"/>
    </w:rPr>
  </w:style>
  <w:style w:type="character" w:customStyle="1" w:styleId="NotesChar">
    <w:name w:val="Notes Char"/>
    <w:basedOn w:val="DefaultParagraphFont"/>
    <w:link w:val="Notes0"/>
    <w:locked/>
    <w:rsid w:val="00964183"/>
    <w:rPr>
      <w:rFonts w:ascii="Gill Sans MT" w:hAnsi="Gill Sans MT"/>
      <w:sz w:val="18"/>
    </w:rPr>
  </w:style>
  <w:style w:type="character" w:customStyle="1" w:styleId="NotesHeadingChar">
    <w:name w:val="Notes Heading Char"/>
    <w:basedOn w:val="DefaultParagraphFont"/>
    <w:link w:val="NotesHeading"/>
    <w:locked/>
    <w:rsid w:val="00964183"/>
    <w:rPr>
      <w:rFonts w:ascii="Gill Sans MT" w:hAnsi="Gill Sans MT"/>
      <w:sz w:val="18"/>
    </w:rPr>
  </w:style>
  <w:style w:type="character" w:customStyle="1" w:styleId="AnyText-Italics">
    <w:name w:val="Any Text - Italics"/>
    <w:basedOn w:val="BodyChar"/>
    <w:uiPriority w:val="1"/>
    <w:qFormat/>
    <w:rsid w:val="00964183"/>
    <w:rPr>
      <w:rFonts w:ascii="Gill Sans MT" w:hAnsi="Gill Sans MT"/>
      <w:i/>
    </w:rPr>
  </w:style>
  <w:style w:type="character" w:customStyle="1" w:styleId="AnyText-Bold">
    <w:name w:val="Any Text - Bold"/>
    <w:basedOn w:val="BodyChar"/>
    <w:uiPriority w:val="1"/>
    <w:rsid w:val="00E53FCF"/>
    <w:rPr>
      <w:rFonts w:ascii="Gill Sans MT" w:hAnsi="Gill Sans MT"/>
      <w:b/>
    </w:rPr>
  </w:style>
  <w:style w:type="numbering" w:customStyle="1" w:styleId="NOTES">
    <w:name w:val="NOTES"/>
    <w:basedOn w:val="NoList"/>
    <w:uiPriority w:val="99"/>
    <w:rsid w:val="00964183"/>
    <w:pPr>
      <w:numPr>
        <w:numId w:val="13"/>
      </w:numPr>
    </w:pPr>
  </w:style>
  <w:style w:type="character" w:customStyle="1" w:styleId="AnyText-Highlight">
    <w:name w:val="Any Text - Highlight"/>
    <w:basedOn w:val="BodyChar"/>
    <w:uiPriority w:val="1"/>
    <w:qFormat/>
    <w:rsid w:val="00E53FCF"/>
    <w:rPr>
      <w:rFonts w:ascii="Gill Sans MT" w:hAnsi="Gill Sans MT"/>
      <w:color w:val="auto"/>
      <w:bdr w:val="none" w:sz="0" w:space="0" w:color="auto"/>
      <w:shd w:val="clear" w:color="auto" w:fill="FFFF00"/>
    </w:rPr>
  </w:style>
  <w:style w:type="paragraph" w:customStyle="1" w:styleId="BP1FirstPageBoxedIntro">
    <w:name w:val="BP1 First Page Boxed Intro"/>
    <w:basedOn w:val="Body"/>
    <w:next w:val="BP1DotPoint-Boxed"/>
    <w:qFormat/>
    <w:rsid w:val="00E53FCF"/>
    <w:pPr>
      <w:pBdr>
        <w:top w:val="single" w:sz="6" w:space="1" w:color="auto"/>
        <w:left w:val="single" w:sz="6" w:space="4" w:color="auto"/>
        <w:bottom w:val="single" w:sz="6" w:space="8" w:color="auto"/>
        <w:right w:val="single" w:sz="6" w:space="4" w:color="auto"/>
      </w:pBdr>
      <w:jc w:val="center"/>
    </w:pPr>
    <w:rPr>
      <w:i/>
    </w:rPr>
  </w:style>
  <w:style w:type="paragraph" w:customStyle="1" w:styleId="BP1DotPoint-Boxed">
    <w:name w:val="BP1 Dot Point - Boxed"/>
    <w:basedOn w:val="Dotpoint"/>
    <w:qFormat/>
    <w:rsid w:val="00E53FCF"/>
    <w:pPr>
      <w:pBdr>
        <w:top w:val="single" w:sz="6" w:space="1" w:color="auto"/>
        <w:left w:val="single" w:sz="6" w:space="4" w:color="auto"/>
        <w:bottom w:val="single" w:sz="6" w:space="8" w:color="auto"/>
        <w:right w:val="single" w:sz="6" w:space="4" w:color="auto"/>
      </w:pBdr>
    </w:pPr>
  </w:style>
  <w:style w:type="character" w:customStyle="1" w:styleId="TableSuperscriptChar">
    <w:name w:val="Table Superscript Char"/>
    <w:rsid w:val="00964183"/>
    <w:rPr>
      <w:rFonts w:ascii="Gill Sans MT" w:eastAsia="Calibri" w:hAnsi="Gill Sans MT" w:cs="Times New Roman"/>
      <w:position w:val="6"/>
      <w:sz w:val="18"/>
      <w:szCs w:val="18"/>
    </w:rPr>
  </w:style>
  <w:style w:type="paragraph" w:customStyle="1" w:styleId="BodyItalics">
    <w:name w:val="Body Italics"/>
    <w:basedOn w:val="Body"/>
    <w:next w:val="Body"/>
    <w:link w:val="BodyItalicsChar"/>
    <w:rsid w:val="00964183"/>
    <w:rPr>
      <w:i/>
      <w:iCs/>
    </w:rPr>
  </w:style>
  <w:style w:type="paragraph" w:customStyle="1" w:styleId="BodyBold">
    <w:name w:val="Body Bold"/>
    <w:basedOn w:val="Body"/>
    <w:next w:val="Body"/>
    <w:link w:val="BodyBoldChar"/>
    <w:rsid w:val="00E53FCF"/>
    <w:rPr>
      <w:b/>
      <w:bCs/>
    </w:rPr>
  </w:style>
  <w:style w:type="character" w:customStyle="1" w:styleId="BodyBoldChar">
    <w:name w:val="Body Bold Char"/>
    <w:basedOn w:val="BodyChar"/>
    <w:link w:val="BodyBold"/>
    <w:rsid w:val="00964183"/>
    <w:rPr>
      <w:rFonts w:ascii="Gill Sans MT" w:hAnsi="Gill Sans MT"/>
      <w:b/>
      <w:bCs/>
    </w:rPr>
  </w:style>
  <w:style w:type="character" w:customStyle="1" w:styleId="BodyItalicsChar">
    <w:name w:val="Body Italics Char"/>
    <w:basedOn w:val="BodyChar"/>
    <w:link w:val="BodyItalics"/>
    <w:rsid w:val="00964183"/>
    <w:rPr>
      <w:rFonts w:ascii="Gill Sans MT" w:hAnsi="Gill Sans MT"/>
      <w:i/>
      <w:iCs/>
    </w:rPr>
  </w:style>
  <w:style w:type="character" w:customStyle="1" w:styleId="Footer-OddChar">
    <w:name w:val="Footer - Odd Char"/>
    <w:basedOn w:val="DefaultParagraphFont"/>
    <w:link w:val="Footer-Odd"/>
    <w:rsid w:val="00D60195"/>
    <w:rPr>
      <w:rFonts w:ascii="Gill Sans MT" w:hAnsi="Gill Sans MT"/>
      <w:i/>
      <w:sz w:val="20"/>
    </w:rPr>
  </w:style>
  <w:style w:type="character" w:styleId="CommentReference">
    <w:name w:val="annotation reference"/>
    <w:basedOn w:val="DefaultParagraphFont"/>
    <w:uiPriority w:val="99"/>
    <w:semiHidden/>
    <w:unhideWhenUsed/>
    <w:rsid w:val="00964183"/>
    <w:rPr>
      <w:sz w:val="16"/>
      <w:szCs w:val="16"/>
    </w:rPr>
  </w:style>
  <w:style w:type="paragraph" w:styleId="Revision">
    <w:name w:val="Revision"/>
    <w:hidden/>
    <w:uiPriority w:val="99"/>
    <w:semiHidden/>
    <w:rsid w:val="00964183"/>
    <w:pPr>
      <w:spacing w:after="0" w:line="240" w:lineRule="auto"/>
    </w:pPr>
  </w:style>
  <w:style w:type="character" w:customStyle="1" w:styleId="Heading7Char">
    <w:name w:val="Heading 7 Char"/>
    <w:basedOn w:val="DefaultParagraphFont"/>
    <w:link w:val="Heading7"/>
    <w:uiPriority w:val="9"/>
    <w:rsid w:val="00E53FCF"/>
    <w:rPr>
      <w:rFonts w:ascii="Gill Sans MT" w:eastAsiaTheme="majorEastAsia" w:hAnsi="Gill Sans MT" w:cstheme="majorBidi"/>
      <w:i/>
    </w:rPr>
  </w:style>
  <w:style w:type="paragraph" w:customStyle="1" w:styleId="TableCentred">
    <w:name w:val="Table Centred"/>
    <w:link w:val="TableCentredChar"/>
    <w:qFormat/>
    <w:rsid w:val="00964183"/>
    <w:pPr>
      <w:spacing w:after="0" w:line="300" w:lineRule="atLeast"/>
      <w:jc w:val="center"/>
    </w:pPr>
    <w:rPr>
      <w:rFonts w:ascii="Gill Sans MT" w:eastAsia="Calibri" w:hAnsi="Gill Sans MT" w:cs="Times New Roman"/>
      <w:sz w:val="18"/>
      <w:szCs w:val="18"/>
    </w:rPr>
  </w:style>
  <w:style w:type="paragraph" w:customStyle="1" w:styleId="TableCentredHeading">
    <w:name w:val="Table Centred Heading"/>
    <w:link w:val="TableCentredHeadingChar"/>
    <w:qFormat/>
    <w:rsid w:val="00964183"/>
    <w:pPr>
      <w:spacing w:after="0" w:line="280" w:lineRule="atLeast"/>
      <w:jc w:val="center"/>
    </w:pPr>
    <w:rPr>
      <w:rFonts w:ascii="Gill Sans MT" w:eastAsia="Calibri" w:hAnsi="Gill Sans MT" w:cs="Times New Roman"/>
      <w:b/>
      <w:sz w:val="18"/>
      <w:szCs w:val="18"/>
    </w:rPr>
  </w:style>
  <w:style w:type="character" w:customStyle="1" w:styleId="TableCentredChar">
    <w:name w:val="Table Centred Char"/>
    <w:link w:val="TableCentred"/>
    <w:rsid w:val="00964183"/>
    <w:rPr>
      <w:rFonts w:ascii="Gill Sans MT" w:eastAsia="Calibri" w:hAnsi="Gill Sans MT" w:cs="Times New Roman"/>
      <w:sz w:val="18"/>
      <w:szCs w:val="18"/>
    </w:rPr>
  </w:style>
  <w:style w:type="character" w:customStyle="1" w:styleId="TableCentredHeadingChar">
    <w:name w:val="Table Centred Heading Char"/>
    <w:link w:val="TableCentredHeading"/>
    <w:rsid w:val="00964183"/>
    <w:rPr>
      <w:rFonts w:ascii="Gill Sans MT" w:eastAsia="Calibri" w:hAnsi="Gill Sans MT" w:cs="Times New Roman"/>
      <w:b/>
      <w:sz w:val="18"/>
      <w:szCs w:val="18"/>
    </w:rPr>
  </w:style>
  <w:style w:type="paragraph" w:styleId="Header">
    <w:name w:val="header"/>
    <w:basedOn w:val="Normal"/>
    <w:link w:val="HeaderChar"/>
    <w:uiPriority w:val="99"/>
    <w:unhideWhenUsed/>
    <w:rsid w:val="00964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183"/>
  </w:style>
  <w:style w:type="paragraph" w:styleId="Footer">
    <w:name w:val="footer"/>
    <w:basedOn w:val="Normal"/>
    <w:link w:val="FooterChar"/>
    <w:uiPriority w:val="99"/>
    <w:unhideWhenUsed/>
    <w:rsid w:val="00964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183"/>
  </w:style>
  <w:style w:type="character" w:customStyle="1" w:styleId="TableSuperscript">
    <w:name w:val="Table Superscript"/>
    <w:basedOn w:val="DefaultParagraphFont"/>
    <w:uiPriority w:val="1"/>
    <w:qFormat/>
    <w:rsid w:val="00964183"/>
    <w:rPr>
      <w:rFonts w:ascii="Gill Sans MT" w:eastAsia="Calibri" w:hAnsi="Gill Sans MT" w:cs="Times New Roman"/>
      <w:position w:val="6"/>
      <w:sz w:val="18"/>
      <w:szCs w:val="18"/>
    </w:rPr>
  </w:style>
  <w:style w:type="paragraph" w:customStyle="1" w:styleId="Source">
    <w:name w:val="Source"/>
    <w:link w:val="SourceChar"/>
    <w:qFormat/>
    <w:rsid w:val="00964183"/>
    <w:pPr>
      <w:spacing w:after="0"/>
      <w:ind w:left="601" w:hanging="601"/>
    </w:pPr>
    <w:rPr>
      <w:rFonts w:ascii="Gill Sans MT" w:hAnsi="Gill Sans MT"/>
      <w:sz w:val="18"/>
    </w:rPr>
  </w:style>
  <w:style w:type="paragraph" w:customStyle="1" w:styleId="SourceItalicised">
    <w:name w:val="Source Italicised"/>
    <w:basedOn w:val="Source"/>
    <w:link w:val="SourceItalicisedChar"/>
    <w:rsid w:val="00964183"/>
    <w:rPr>
      <w:i/>
      <w:iCs/>
    </w:rPr>
  </w:style>
  <w:style w:type="character" w:customStyle="1" w:styleId="SourceChar">
    <w:name w:val="Source Char"/>
    <w:basedOn w:val="DefaultParagraphFont"/>
    <w:link w:val="Source"/>
    <w:rsid w:val="00964183"/>
    <w:rPr>
      <w:rFonts w:ascii="Gill Sans MT" w:hAnsi="Gill Sans MT"/>
      <w:sz w:val="18"/>
    </w:rPr>
  </w:style>
  <w:style w:type="character" w:customStyle="1" w:styleId="SourceItalicisedChar">
    <w:name w:val="Source Italicised Char"/>
    <w:basedOn w:val="SourceChar"/>
    <w:link w:val="SourceItalicised"/>
    <w:rsid w:val="00964183"/>
    <w:rPr>
      <w:rFonts w:ascii="Gill Sans MT" w:hAnsi="Gill Sans MT"/>
      <w:i/>
      <w:iCs/>
      <w:sz w:val="18"/>
    </w:rPr>
  </w:style>
  <w:style w:type="paragraph" w:customStyle="1" w:styleId="TableLeftItalicised">
    <w:name w:val="Table Left Italicised"/>
    <w:basedOn w:val="TableLeft"/>
    <w:next w:val="TableIndent"/>
    <w:rsid w:val="00964183"/>
    <w:rPr>
      <w:i/>
      <w:iCs/>
    </w:rPr>
  </w:style>
  <w:style w:type="paragraph" w:customStyle="1" w:styleId="TableLeftHeadingIndent">
    <w:name w:val="Table Left Heading Indent"/>
    <w:basedOn w:val="TableIndent"/>
    <w:rsid w:val="00964183"/>
    <w:rPr>
      <w:b/>
      <w:bCs/>
    </w:rPr>
  </w:style>
  <w:style w:type="paragraph" w:styleId="BalloonText">
    <w:name w:val="Balloon Text"/>
    <w:basedOn w:val="Normal"/>
    <w:link w:val="BalloonTextChar"/>
    <w:uiPriority w:val="99"/>
    <w:semiHidden/>
    <w:unhideWhenUsed/>
    <w:rsid w:val="00E53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FCF"/>
    <w:rPr>
      <w:rFonts w:ascii="Segoe UI" w:hAnsi="Segoe UI" w:cs="Segoe UI"/>
      <w:sz w:val="18"/>
      <w:szCs w:val="18"/>
    </w:rPr>
  </w:style>
  <w:style w:type="paragraph" w:styleId="CommentText">
    <w:name w:val="annotation text"/>
    <w:basedOn w:val="Normal"/>
    <w:link w:val="CommentTextChar"/>
    <w:uiPriority w:val="99"/>
    <w:unhideWhenUsed/>
    <w:rsid w:val="00964183"/>
    <w:pPr>
      <w:spacing w:line="240" w:lineRule="auto"/>
    </w:pPr>
    <w:rPr>
      <w:sz w:val="20"/>
      <w:szCs w:val="20"/>
    </w:rPr>
  </w:style>
  <w:style w:type="character" w:customStyle="1" w:styleId="CommentTextChar">
    <w:name w:val="Comment Text Char"/>
    <w:basedOn w:val="DefaultParagraphFont"/>
    <w:link w:val="CommentText"/>
    <w:uiPriority w:val="99"/>
    <w:rsid w:val="00964183"/>
    <w:rPr>
      <w:sz w:val="20"/>
      <w:szCs w:val="20"/>
    </w:rPr>
  </w:style>
  <w:style w:type="paragraph" w:styleId="CommentSubject">
    <w:name w:val="annotation subject"/>
    <w:basedOn w:val="CommentText"/>
    <w:next w:val="CommentText"/>
    <w:link w:val="CommentSubjectChar"/>
    <w:uiPriority w:val="99"/>
    <w:semiHidden/>
    <w:unhideWhenUsed/>
    <w:rsid w:val="00964183"/>
    <w:rPr>
      <w:b/>
      <w:bCs/>
    </w:rPr>
  </w:style>
  <w:style w:type="character" w:customStyle="1" w:styleId="CommentSubjectChar">
    <w:name w:val="Comment Subject Char"/>
    <w:basedOn w:val="CommentTextChar"/>
    <w:link w:val="CommentSubject"/>
    <w:uiPriority w:val="99"/>
    <w:semiHidden/>
    <w:rsid w:val="00964183"/>
    <w:rPr>
      <w:b/>
      <w:bCs/>
      <w:sz w:val="20"/>
      <w:szCs w:val="20"/>
    </w:rPr>
  </w:style>
  <w:style w:type="paragraph" w:customStyle="1" w:styleId="BP1AppendixHeading1">
    <w:name w:val="BP 1 Appendix Heading 1"/>
    <w:basedOn w:val="Heading1"/>
    <w:next w:val="BP1FirstPageBoxedIntro"/>
    <w:qFormat/>
    <w:rsid w:val="00E53FCF"/>
    <w:pPr>
      <w:ind w:left="0" w:firstLine="0"/>
    </w:pPr>
  </w:style>
  <w:style w:type="table" w:styleId="TableGrid">
    <w:name w:val="Table Grid"/>
    <w:basedOn w:val="TableNormal"/>
    <w:uiPriority w:val="39"/>
    <w:rsid w:val="00E5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1ManualTablesBold">
    <w:name w:val="BP1 Manual Tables Bold"/>
    <w:basedOn w:val="Body"/>
    <w:qFormat/>
    <w:rsid w:val="00E53FCF"/>
    <w:pPr>
      <w:spacing w:after="0"/>
      <w:jc w:val="left"/>
    </w:pPr>
    <w:rPr>
      <w:b/>
    </w:rPr>
  </w:style>
  <w:style w:type="paragraph" w:customStyle="1" w:styleId="TableCaps">
    <w:name w:val="Table Caps"/>
    <w:basedOn w:val="TableLeftHeading"/>
    <w:qFormat/>
    <w:rsid w:val="00E53FCF"/>
    <w:rPr>
      <w:caps/>
    </w:rPr>
  </w:style>
  <w:style w:type="paragraph" w:customStyle="1" w:styleId="Dotpoints-Indent">
    <w:name w:val="Dot points - Indent"/>
    <w:basedOn w:val="Dotpoint"/>
    <w:qFormat/>
    <w:rsid w:val="00E53FCF"/>
    <w:pPr>
      <w:ind w:left="709" w:hanging="425"/>
    </w:pPr>
  </w:style>
  <w:style w:type="paragraph" w:customStyle="1" w:styleId="TableIndent3">
    <w:name w:val="Table Indent 3"/>
    <w:basedOn w:val="TableIndent2"/>
    <w:qFormat/>
    <w:rsid w:val="00E53FCF"/>
    <w:pPr>
      <w:ind w:left="681"/>
    </w:pPr>
  </w:style>
  <w:style w:type="paragraph" w:customStyle="1" w:styleId="TableIndent4">
    <w:name w:val="Table Indent 4"/>
    <w:basedOn w:val="TableIndent3"/>
    <w:qFormat/>
    <w:rsid w:val="00E53FCF"/>
    <w:pPr>
      <w:ind w:left="794"/>
    </w:pPr>
  </w:style>
  <w:style w:type="paragraph" w:customStyle="1" w:styleId="TableLeftHeadingIndent2">
    <w:name w:val="Table Left Heading Indent 2"/>
    <w:basedOn w:val="TableLeftHeadingIndent"/>
    <w:qFormat/>
    <w:rsid w:val="00E53FCF"/>
    <w:pPr>
      <w:ind w:left="568"/>
    </w:pPr>
  </w:style>
  <w:style w:type="paragraph" w:customStyle="1" w:styleId="TableLeftHeadingIndent3">
    <w:name w:val="Table Left Heading Indent 3"/>
    <w:basedOn w:val="TableLeftHeadingIndent2"/>
    <w:qFormat/>
    <w:rsid w:val="00E53FCF"/>
    <w:pPr>
      <w:ind w:left="681"/>
    </w:pPr>
  </w:style>
  <w:style w:type="character" w:styleId="IntenseReference">
    <w:name w:val="Intense Reference"/>
    <w:basedOn w:val="DefaultParagraphFont"/>
    <w:uiPriority w:val="32"/>
    <w:qFormat/>
    <w:rsid w:val="00E53FCF"/>
    <w:rPr>
      <w:b/>
      <w:bCs/>
      <w:smallCaps/>
      <w:color w:val="4472C4" w:themeColor="accent1"/>
      <w:spacing w:val="5"/>
    </w:rPr>
  </w:style>
  <w:style w:type="paragraph" w:customStyle="1" w:styleId="BP1DashPoint-Boxed">
    <w:name w:val="BP1 Dash Point - Boxed"/>
    <w:basedOn w:val="BP1DotPoint-Boxed"/>
    <w:next w:val="BP1DotPoint-Boxed"/>
    <w:qFormat/>
    <w:rsid w:val="00E53FCF"/>
    <w:pPr>
      <w:numPr>
        <w:numId w:val="10"/>
      </w:numPr>
      <w:tabs>
        <w:tab w:val="left" w:pos="482"/>
      </w:tabs>
      <w:ind w:left="284" w:hanging="284"/>
    </w:pPr>
  </w:style>
  <w:style w:type="character" w:styleId="UnresolvedMention">
    <w:name w:val="Unresolved Mention"/>
    <w:basedOn w:val="DefaultParagraphFont"/>
    <w:uiPriority w:val="99"/>
    <w:unhideWhenUsed/>
    <w:rsid w:val="00964183"/>
    <w:rPr>
      <w:color w:val="605E5C"/>
      <w:shd w:val="clear" w:color="auto" w:fill="E1DFDD"/>
    </w:rPr>
  </w:style>
  <w:style w:type="character" w:styleId="Mention">
    <w:name w:val="Mention"/>
    <w:basedOn w:val="DefaultParagraphFont"/>
    <w:uiPriority w:val="99"/>
    <w:unhideWhenUsed/>
    <w:rsid w:val="0098066B"/>
    <w:rPr>
      <w:color w:val="2B579A"/>
      <w:shd w:val="clear" w:color="auto" w:fill="E1DFDD"/>
    </w:rPr>
  </w:style>
  <w:style w:type="paragraph" w:customStyle="1" w:styleId="DashPointIndent">
    <w:name w:val="Dash Point Indent"/>
    <w:basedOn w:val="Dashpoint"/>
    <w:qFormat/>
    <w:rsid w:val="00964183"/>
    <w:pPr>
      <w:tabs>
        <w:tab w:val="clear" w:pos="482"/>
        <w:tab w:val="left" w:pos="794"/>
      </w:tabs>
      <w:ind w:left="794"/>
    </w:pPr>
  </w:style>
  <w:style w:type="paragraph" w:customStyle="1" w:styleId="DashPointBoxed">
    <w:name w:val="Dash Point Boxed"/>
    <w:basedOn w:val="Dashpoint"/>
    <w:qFormat/>
    <w:rsid w:val="00964183"/>
    <w:pPr>
      <w:pBdr>
        <w:top w:val="single" w:sz="4" w:space="1" w:color="auto"/>
        <w:left w:val="single" w:sz="4" w:space="4" w:color="auto"/>
        <w:bottom w:val="single" w:sz="4" w:space="1" w:color="auto"/>
        <w:right w:val="single" w:sz="4" w:space="4" w:color="auto"/>
      </w:pBdr>
    </w:pPr>
  </w:style>
  <w:style w:type="paragraph" w:customStyle="1" w:styleId="DashPointIndentBoxed">
    <w:name w:val="Dash Point Indent Boxed"/>
    <w:basedOn w:val="DashPointIndent"/>
    <w:qFormat/>
    <w:rsid w:val="00964183"/>
    <w:pPr>
      <w:pBdr>
        <w:top w:val="single" w:sz="4" w:space="1" w:color="auto"/>
        <w:left w:val="single" w:sz="4" w:space="4" w:color="auto"/>
        <w:bottom w:val="single" w:sz="4" w:space="1" w:color="auto"/>
        <w:right w:val="single" w:sz="4" w:space="4" w:color="auto"/>
      </w:pBdr>
    </w:pPr>
  </w:style>
  <w:style w:type="character" w:customStyle="1" w:styleId="Italic">
    <w:name w:val="Italic"/>
    <w:uiPriority w:val="1"/>
    <w:qFormat/>
    <w:rsid w:val="00964183"/>
    <w:rPr>
      <w:rFonts w:ascii="Gill Sans MT" w:hAnsi="Gill Sans MT" w:cs="Arial"/>
      <w:i/>
      <w:szCs w:val="20"/>
    </w:rPr>
  </w:style>
  <w:style w:type="character" w:customStyle="1" w:styleId="TableWhiteBracket">
    <w:name w:val="Table White Bracket"/>
    <w:basedOn w:val="DefaultParagraphFont"/>
    <w:rsid w:val="00964183"/>
    <w:rPr>
      <w:rFonts w:ascii="Arial" w:hAnsi="Arial"/>
      <w:color w:val="FFFFFF"/>
      <w:sz w:val="18"/>
      <w:lang w:val="en-US"/>
    </w:rPr>
  </w:style>
  <w:style w:type="character" w:styleId="Hyperlink">
    <w:name w:val="Hyperlink"/>
    <w:basedOn w:val="DefaultParagraphFont"/>
    <w:uiPriority w:val="99"/>
    <w:unhideWhenUsed/>
    <w:rsid w:val="00964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116">
      <w:bodyDiv w:val="1"/>
      <w:marLeft w:val="0"/>
      <w:marRight w:val="0"/>
      <w:marTop w:val="0"/>
      <w:marBottom w:val="0"/>
      <w:divBdr>
        <w:top w:val="none" w:sz="0" w:space="0" w:color="auto"/>
        <w:left w:val="none" w:sz="0" w:space="0" w:color="auto"/>
        <w:bottom w:val="none" w:sz="0" w:space="0" w:color="auto"/>
        <w:right w:val="none" w:sz="0" w:space="0" w:color="auto"/>
      </w:divBdr>
    </w:div>
    <w:div w:id="302201554">
      <w:bodyDiv w:val="1"/>
      <w:marLeft w:val="0"/>
      <w:marRight w:val="0"/>
      <w:marTop w:val="0"/>
      <w:marBottom w:val="0"/>
      <w:divBdr>
        <w:top w:val="none" w:sz="0" w:space="0" w:color="auto"/>
        <w:left w:val="none" w:sz="0" w:space="0" w:color="auto"/>
        <w:bottom w:val="none" w:sz="0" w:space="0" w:color="auto"/>
        <w:right w:val="none" w:sz="0" w:space="0" w:color="auto"/>
      </w:divBdr>
    </w:div>
    <w:div w:id="870846578">
      <w:bodyDiv w:val="1"/>
      <w:marLeft w:val="0"/>
      <w:marRight w:val="0"/>
      <w:marTop w:val="0"/>
      <w:marBottom w:val="0"/>
      <w:divBdr>
        <w:top w:val="none" w:sz="0" w:space="0" w:color="auto"/>
        <w:left w:val="none" w:sz="0" w:space="0" w:color="auto"/>
        <w:bottom w:val="none" w:sz="0" w:space="0" w:color="auto"/>
        <w:right w:val="none" w:sz="0" w:space="0" w:color="auto"/>
      </w:divBdr>
    </w:div>
    <w:div w:id="984512361">
      <w:bodyDiv w:val="1"/>
      <w:marLeft w:val="0"/>
      <w:marRight w:val="0"/>
      <w:marTop w:val="0"/>
      <w:marBottom w:val="0"/>
      <w:divBdr>
        <w:top w:val="none" w:sz="0" w:space="0" w:color="auto"/>
        <w:left w:val="none" w:sz="0" w:space="0" w:color="auto"/>
        <w:bottom w:val="none" w:sz="0" w:space="0" w:color="auto"/>
        <w:right w:val="none" w:sz="0" w:space="0" w:color="auto"/>
      </w:divBdr>
    </w:div>
    <w:div w:id="1101487658">
      <w:bodyDiv w:val="1"/>
      <w:marLeft w:val="0"/>
      <w:marRight w:val="0"/>
      <w:marTop w:val="0"/>
      <w:marBottom w:val="0"/>
      <w:divBdr>
        <w:top w:val="none" w:sz="0" w:space="0" w:color="auto"/>
        <w:left w:val="none" w:sz="0" w:space="0" w:color="auto"/>
        <w:bottom w:val="none" w:sz="0" w:space="0" w:color="auto"/>
        <w:right w:val="none" w:sz="0" w:space="0" w:color="auto"/>
      </w:divBdr>
    </w:div>
    <w:div w:id="1195927088">
      <w:bodyDiv w:val="1"/>
      <w:marLeft w:val="0"/>
      <w:marRight w:val="0"/>
      <w:marTop w:val="0"/>
      <w:marBottom w:val="0"/>
      <w:divBdr>
        <w:top w:val="none" w:sz="0" w:space="0" w:color="auto"/>
        <w:left w:val="none" w:sz="0" w:space="0" w:color="auto"/>
        <w:bottom w:val="none" w:sz="0" w:space="0" w:color="auto"/>
        <w:right w:val="none" w:sz="0" w:space="0" w:color="auto"/>
      </w:divBdr>
    </w:div>
    <w:div w:id="16206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K a p i s h F i l e n a m e T o U r i M a p p i n g s   x m l n s : x s d = " h t t p : / / w w w . w 3 . o r g / 2 0 0 1 / X M L S c h e m a "   x m l n s : x s i = " h t t p : / / w w w . w 3 . o r g / 2 0 0 1 / X M L S c h e m a - i n s t a n c 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Web Document" ma:contentTypeID="0x01010093DD6E61BDE0CF4D861E0F9ADCD69F1A00DC2202B22511434195B3B927B284F9C6" ma:contentTypeVersion="80" ma:contentTypeDescription="" ma:contentTypeScope="" ma:versionID="b01a3846b4df7463b44550f1e323e481">
  <xsd:schema xmlns:xsd="http://www.w3.org/2001/XMLSchema" xmlns:xs="http://www.w3.org/2001/XMLSchema" xmlns:p="http://schemas.microsoft.com/office/2006/metadata/properties" xmlns:ns1="http://schemas.microsoft.com/sharepoint/v3" xmlns:ns2="1aa06f68-033e-4ae0-9a8c-f91949898e6b" targetNamespace="http://schemas.microsoft.com/office/2006/metadata/properties" ma:root="true" ma:fieldsID="20697f8dc2b834374b80db3a969dc7c9" ns1:_="" ns2:_="">
    <xsd:import namespace="http://schemas.microsoft.com/sharepoint/v3"/>
    <xsd:import namespace="1aa06f68-033e-4ae0-9a8c-f91949898e6b"/>
    <xsd:element name="properties">
      <xsd:complexType>
        <xsd:sequence>
          <xsd:element name="documentManagement">
            <xsd:complexType>
              <xsd:all>
                <xsd:element ref="ns2:PageDescription"/>
                <xsd:element ref="ns2:PageContact" minOccurs="0"/>
                <xsd:element ref="ns2:Volume" minOccurs="0"/>
                <xsd:element ref="ns2:ISBN" minOccurs="0"/>
                <xsd:element ref="ns2:CopyrightDate" minOccurs="0"/>
                <xsd:element ref="ns2:DocumentCover" minOccurs="0"/>
                <xsd:element ref="ns2:storsurl" minOccurs="0"/>
                <xsd:element ref="ns1:PublishingPageContent" minOccurs="0"/>
                <xsd:element ref="ns2:OldUrl" minOccurs="0"/>
                <xsd:element ref="ns2:ResourceId" minOccurs="0"/>
                <xsd:element ref="ns2:TaxCatchAll" minOccurs="0"/>
                <xsd:element ref="ns2:TaxCatchAllLabel" minOccurs="0"/>
                <xsd:element ref="ns2:p793b2dbe9d34571ba693d0b07e3de43" minOccurs="0"/>
                <xsd:element ref="ns2:n614f2973e3c4702bcfb2c461a3f5db2" minOccurs="0"/>
                <xsd:element ref="ns1:PublishingStartDate" minOccurs="0"/>
                <xsd:element ref="ns1:PublishingExpirationDate" minOccurs="0"/>
                <xsd:element ref="ns2:Archived" minOccurs="0"/>
                <xsd:element ref="ns2:ApprovalHistory"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PageContent" ma:index="12"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PublishingStartDate" ma:index="2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06f68-033e-4ae0-9a8c-f91949898e6b" elementFormDefault="qualified">
    <xsd:import namespace="http://schemas.microsoft.com/office/2006/documentManagement/types"/>
    <xsd:import namespace="http://schemas.microsoft.com/office/infopath/2007/PartnerControls"/>
    <xsd:element name="PageDescription" ma:index="2" ma:displayName="Document Description" ma:description="Short description of this page. Will show in some menus under the page title, and used by search engines to rank results." ma:internalName="PageDescription" ma:readOnly="false">
      <xsd:simpleType>
        <xsd:restriction base="dms:Note"/>
      </xsd:simpleType>
    </xsd:element>
    <xsd:element name="PageContact" ma:index="5" nillable="true" ma:displayName="Page Contact" ma:description="Contacts to show as list at bottom of page" ma:list="{1ca6400e-871f-4a00-992e-cf884cd3ddda}" ma:internalName="PageContact" ma:showField="Title" ma:web="1aa06f68-033e-4ae0-9a8c-f91949898e6b">
      <xsd:complexType>
        <xsd:complexContent>
          <xsd:extension base="dms:MultiChoiceLookup">
            <xsd:sequence>
              <xsd:element name="Value" type="dms:Lookup" maxOccurs="unbounded" minOccurs="0" nillable="true"/>
            </xsd:sequence>
          </xsd:extension>
        </xsd:complexContent>
      </xsd:complexType>
    </xsd:element>
    <xsd:element name="Volume" ma:index="6" nillable="true" ma:displayName="Volume / Issue Number" ma:internalName="Volume" ma:readOnly="false">
      <xsd:simpleType>
        <xsd:restriction base="dms:Text">
          <xsd:maxLength value="255"/>
        </xsd:restriction>
      </xsd:simpleType>
    </xsd:element>
    <xsd:element name="ISBN" ma:index="7" nillable="true" ma:displayName="ISBN / ISSN" ma:internalName="ISBN" ma:readOnly="false">
      <xsd:simpleType>
        <xsd:restriction base="dms:Text">
          <xsd:maxLength value="255"/>
        </xsd:restriction>
      </xsd:simpleType>
    </xsd:element>
    <xsd:element name="CopyrightDate" ma:index="8" nillable="true" ma:displayName="Copyright / Date" ma:internalName="CopyrightDate" ma:readOnly="false">
      <xsd:simpleType>
        <xsd:restriction base="dms:Text">
          <xsd:maxLength value="255"/>
        </xsd:restriction>
      </xsd:simpleType>
    </xsd:element>
    <xsd:element name="DocumentCover" ma:index="10" nillable="true" ma:displayName="Document Cover" ma:description="An image of the publication's cover" ma:internalName="DocumentCover" ma:readOnly="false">
      <xsd:simpleType>
        <xsd:restriction base="dms:Unknown"/>
      </xsd:simpleType>
    </xsd:element>
    <xsd:element name="storsurl" ma:index="11" nillable="true" ma:displayName="STORS URL" ma:description="URL to a STORS link for this document" ma:format="Hyperlink" ma:internalName="stors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OldUrl" ma:index="13" nillable="true" ma:displayName="OldUrl" ma:description="Old URL from ConMan" ma:internalName="OldUrl">
      <xsd:simpleType>
        <xsd:restriction base="dms:Text">
          <xsd:maxLength value="255"/>
        </xsd:restriction>
      </xsd:simpleType>
    </xsd:element>
    <xsd:element name="ResourceId" ma:index="14" nillable="true" ma:displayName="ResourceId" ma:description="ResourceId from ConMan" ma:internalName="ResourceId">
      <xsd:simpleType>
        <xsd:restriction base="dms:Text">
          <xsd:maxLength value="255"/>
        </xsd:restriction>
      </xsd:simpleType>
    </xsd:element>
    <xsd:element name="TaxCatchAll" ma:index="17" nillable="true" ma:displayName="Taxonomy Catch All Column" ma:hidden="true" ma:list="{e78a274c-6f6f-4565-b715-6a5fcc1790ec}" ma:internalName="TaxCatchAll" ma:showField="CatchAllData" ma:web="1aa06f68-033e-4ae0-9a8c-f91949898e6b">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e78a274c-6f6f-4565-b715-6a5fcc1790ec}" ma:internalName="TaxCatchAllLabel" ma:readOnly="true" ma:showField="CatchAllDataLabel" ma:web="1aa06f68-033e-4ae0-9a8c-f91949898e6b">
      <xsd:complexType>
        <xsd:complexContent>
          <xsd:extension base="dms:MultiChoiceLookup">
            <xsd:sequence>
              <xsd:element name="Value" type="dms:Lookup" maxOccurs="unbounded" minOccurs="0" nillable="true"/>
            </xsd:sequence>
          </xsd:extension>
        </xsd:complexContent>
      </xsd:complexType>
    </xsd:element>
    <xsd:element name="p793b2dbe9d34571ba693d0b07e3de43" ma:index="20" nillable="true" ma:taxonomy="true" ma:internalName="p793b2dbe9d34571ba693d0b07e3de43" ma:taxonomyFieldName="OrganisationalUnit" ma:displayName="Organisational Unit" ma:default="" ma:fieldId="{9793b2db-e9d3-4571-ba69-3d0b07e3de43}" ma:taxonomyMulti="true" ma:sspId="f3b034dd-dc77-47a8-a94a-3ca026e2f4e6" ma:termSetId="d29ff30a-f7da-4fc4-a59b-730b447510a0" ma:anchorId="00000000-0000-0000-0000-000000000000" ma:open="false" ma:isKeyword="false">
      <xsd:complexType>
        <xsd:sequence>
          <xsd:element ref="pc:Terms" minOccurs="0" maxOccurs="1"/>
        </xsd:sequence>
      </xsd:complexType>
    </xsd:element>
    <xsd:element name="n614f2973e3c4702bcfb2c461a3f5db2" ma:index="22" nillable="true" ma:taxonomy="true" ma:internalName="n614f2973e3c4702bcfb2c461a3f5db2" ma:taxonomyFieldName="DocumentType" ma:displayName="Document Type" ma:default="" ma:fieldId="{7614f297-3e3c-4702-bcfb-2c461a3f5db2}" ma:taxonomyMulti="true" ma:sspId="f3b034dd-dc77-47a8-a94a-3ca026e2f4e6" ma:termSetId="5fab60ee-35ee-4545-91e3-225c4b9d3f6c" ma:anchorId="00000000-0000-0000-0000-000000000000" ma:open="false" ma:isKeyword="false">
      <xsd:complexType>
        <xsd:sequence>
          <xsd:element ref="pc:Terms" minOccurs="0" maxOccurs="1"/>
        </xsd:sequence>
      </xsd:complexType>
    </xsd:element>
    <xsd:element name="Archived" ma:index="28" nillable="true" ma:displayName="Archived" ma:default="0" ma:description="Is this page archived?" ma:indexed="true" ma:internalName="Archived">
      <xsd:simpleType>
        <xsd:restriction base="dms:Boolean"/>
      </xsd:simpleType>
    </xsd:element>
    <xsd:element name="ApprovalHistory" ma:index="29" nillable="true" ma:displayName="Approval History" ma:description="Tracks approval and review history" ma:internalName="ApprovalHistory">
      <xsd:simpleType>
        <xsd:restriction base="dms:Note"/>
      </xsd:simpleType>
    </xsd:element>
    <xsd:element name="SharedWithUsers" ma:index="3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ldUrl xmlns="1aa06f68-033e-4ae0-9a8c-f91949898e6b" xsi:nil="true"/>
    <PublishingPageContent xmlns="http://schemas.microsoft.com/sharepoint/v3" xsi:nil="true"/>
    <ISBN xmlns="1aa06f68-033e-4ae0-9a8c-f91949898e6b" xsi:nil="true"/>
    <storsurl xmlns="1aa06f68-033e-4ae0-9a8c-f91949898e6b">
      <Url xsi:nil="true"/>
      <Description xsi:nil="true"/>
    </storsurl>
    <n614f2973e3c4702bcfb2c461a3f5db2 xmlns="1aa06f68-033e-4ae0-9a8c-f91949898e6b">
      <Terms xmlns="http://schemas.microsoft.com/office/infopath/2007/PartnerControls"/>
    </n614f2973e3c4702bcfb2c461a3f5db2>
    <Archived xmlns="1aa06f68-033e-4ae0-9a8c-f91949898e6b">false</Archived>
    <p793b2dbe9d34571ba693d0b07e3de43 xmlns="1aa06f68-033e-4ae0-9a8c-f91949898e6b">
      <Terms xmlns="http://schemas.microsoft.com/office/infopath/2007/PartnerControls"/>
    </p793b2dbe9d34571ba693d0b07e3de43>
    <PublishingStartDate xmlns="http://schemas.microsoft.com/sharepoint/v3" xsi:nil="true"/>
    <PageDescription xmlns="1aa06f68-033e-4ae0-9a8c-f91949898e6b">2023-24 Budget Paper 1 - Chapter 7 - Assets and Liabilities</PageDescription>
    <TaxCatchAll xmlns="1aa06f68-033e-4ae0-9a8c-f91949898e6b"/>
    <DocumentCover xmlns="1aa06f68-033e-4ae0-9a8c-f91949898e6b" xsi:nil="true"/>
    <CopyrightDate xmlns="1aa06f68-033e-4ae0-9a8c-f91949898e6b" xsi:nil="true"/>
    <ApprovalHistory xmlns="1aa06f68-033e-4ae0-9a8c-f91949898e6b" xsi:nil="true"/>
    <ResourceId xmlns="1aa06f68-033e-4ae0-9a8c-f91949898e6b" xsi:nil="true"/>
    <PublishingExpirationDate xmlns="http://schemas.microsoft.com/sharepoint/v3" xsi:nil="true"/>
    <Volume xmlns="1aa06f68-033e-4ae0-9a8c-f91949898e6b" xsi:nil="true"/>
    <PageContact xmlns="1aa06f68-033e-4ae0-9a8c-f91949898e6b"/>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78EB6-1F6F-4952-AE29-2EB46B3C4858}">
  <ds:schemaRefs>
    <ds:schemaRef ds:uri="http://www.w3.org/2001/XMLSchema"/>
  </ds:schemaRefs>
</ds:datastoreItem>
</file>

<file path=customXml/itemProps2.xml><?xml version="1.0" encoding="utf-8"?>
<ds:datastoreItem xmlns:ds="http://schemas.openxmlformats.org/officeDocument/2006/customXml" ds:itemID="{D3FB6A90-EA50-4950-8BF0-36A2196946F4}">
  <ds:schemaRefs>
    <ds:schemaRef ds:uri="http://schemas.openxmlformats.org/officeDocument/2006/bibliography"/>
  </ds:schemaRefs>
</ds:datastoreItem>
</file>

<file path=customXml/itemProps3.xml><?xml version="1.0" encoding="utf-8"?>
<ds:datastoreItem xmlns:ds="http://schemas.openxmlformats.org/officeDocument/2006/customXml" ds:itemID="{B2DB6DF9-7549-4F75-8EB9-E2875494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06f68-033e-4ae0-9a8c-f91949898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3968C-7E24-4860-96D2-6906BA72FAA3}">
  <ds:schemaRefs>
    <ds:schemaRef ds:uri="http://schemas.microsoft.com/office/2006/metadata/properties"/>
    <ds:schemaRef ds:uri="http://schemas.microsoft.com/office/infopath/2007/PartnerControls"/>
    <ds:schemaRef ds:uri="1aa06f68-033e-4ae0-9a8c-f91949898e6b"/>
    <ds:schemaRef ds:uri="http://schemas.microsoft.com/sharepoint/v3"/>
  </ds:schemaRefs>
</ds:datastoreItem>
</file>

<file path=customXml/itemProps5.xml><?xml version="1.0" encoding="utf-8"?>
<ds:datastoreItem xmlns:ds="http://schemas.openxmlformats.org/officeDocument/2006/customXml" ds:itemID="{C31FF4DC-7237-4EC9-A64F-7199548D6B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5950</Words>
  <Characters>33920</Characters>
  <Application>Microsoft Office Word</Application>
  <DocSecurity>8</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2023-24 Budget Paper 1 - Chapter 7 - Assets and Liabilities</dc:title>
  <dc:subject/>
  <dc:creator/>
  <cp:keywords/>
  <dc:description/>
  <cp:lastModifiedBy/>
  <cp:revision>1</cp:revision>
  <dcterms:created xsi:type="dcterms:W3CDTF">2023-09-26T10:27:00Z</dcterms:created>
  <dcterms:modified xsi:type="dcterms:W3CDTF">2023-09-26T10:27:00Z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0x01010093DD6E61BDE0CF4D861E0F9ADCD69F1A00DC2202B22511434195B3B927B284F9C6</vt:lpwstr>
  </property>
  <property fmtid="{D5CDD505-2E9C-101B-9397-08002B2CF9AE}" pid="3" name="OrganisationalUnit">
    <vt:lpwstr/>
  </property>
  <property fmtid="{D5CDD505-2E9C-101B-9397-08002B2CF9AE}" pid="4" name="DocumentType">
    <vt:lpwstr/>
  </property>
</Properties>
</file>