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en-US"/>
        </w:rPr>
        <w:t xml:space="preserve">When Should an Electric Ride-Hailing Driver Charge?</w:t>
      </w:r>
    </w:p>
    <w:p>
      <w:pPr>
        <w:pStyle w:val="Subtitle"/>
      </w:pPr>
      <w:r>
        <w:rPr>
          <w:lang w:val="en-US"/>
        </w:rPr>
        <w:t xml:space="preserve">Optimal Intra-Day Charging under Stochastic Order Demand and Time-of-Use Pricing</w:t>
      </w:r>
    </w:p>
    <w:p>
      <w:pPr>
        <w:pStyle w:val="Author"/>
      </w:pPr>
      <w:r>
        <w:rPr>
          <w:lang w:val="en-US"/>
        </w:rPr>
        <w:t xml:space="preserve">Ruixi Liang </w:t>
      </w:r>
      <w:r>
        <w:rPr>
          <w:rFonts w:hint="eastAsia"/>
          <w:lang w:val="en-US"/>
        </w:rPr>
        <w:t xml:space="preserve">(梁睿希),</w:t>
      </w:r>
      <w:r>
        <w:rPr>
          <w:lang w:val="en-US"/>
        </w:rPr>
        <w:t xml:space="preserve"> Student ID 202464870791</w:t>
      </w:r>
    </w:p>
    <w:p>
      <w:pPr>
        <w:pStyle w:val="Author"/>
      </w:pPr>
      <w:r>
        <w:rPr>
          <w:lang w:val="en-US"/>
        </w:rPr>
        <w:t xml:space="preserve">School of Future Technology, South China University of Technology, Big Data Class 1</w:t>
      </w:r>
    </w:p>
    <w:p>
      <w:pPr>
        <w:pStyle w:val="Author"/>
      </w:pPr>
      <w:r>
        <w:rPr>
          <w:lang w:val="en-US"/>
        </w:rPr>
        <w:t xml:space="preserve">Course: Optimization Methods (084100551) | Supervisor: Zhenhong Lin</w:t>
      </w:r>
    </w:p>
    <w:p>
      <w:pPr>
        <w:pStyle w:val="Date"/>
      </w:pPr>
      <w:r>
        <w:rPr>
          <w:lang w:val="en-US"/>
        </w:rPr>
        <w:t xml:space="preserve">Draft, 24 October 2026</w:t>
      </w:r>
    </w:p>
    <w:p>
      <w:pPr>
        <w:pStyle w:val="Abstract"/>
      </w:pPr>
      <w:r>
        <w:rPr>
          <w:b/>
          <w:bCs/>
          <w:lang w:val="en-US"/>
        </w:rPr>
        <w:t xml:space="preserve">Abstract.</w:t>
      </w:r>
      <w:r>
        <w:rPr>
          <w:lang w:val="en-US"/>
        </w:rPr>
        <w:t xml:space="preserve"> </w:t>
      </w:r>
      <w:r>
        <w:rPr>
          <w:lang w:val="en-US"/>
        </w:rPr>
        <w:t xml:space="preserve">Electric ride-hailing platforms are electrifying their fleets, turning charging from a fuel stop into a scheduling decision paid for in foregone fares rather than in minutes. This paper studies the single-driver case: when should one electric ride-hailing driver charge during a working day to maximise net earnings? We build a discrete-time model of one driver over a 24-hour horizon of 96 fifteen-minute slots, where the state is the state of charge and each slot’s action is to drive, charge or idle. Orders arrive as a Poisson process whose rate is estimated from 2,739,936 real New York yellow-taxi trips; charging is billed per charger slot under a time-of-use tariff; and the pack obeys a constant-current/constant-voltage taper. We solve it exactly by dynamic programming and by a Markov decision process that sums the Poisson arrival count out in closed form, over 8,256 states. Three findings follow. First, on 74.4% of simulated working days the optimal policy charges at least once outside the cheapest tariff window, because off-peak hours offer cheap electricity and almost no fares at the same time. Second, the time-of-use price spread is nearly irrelevant: widening the peak-to-valley spread from 0x to 2x changes the gain over a tariff-following rule by only 1.3%, so opportunity cost, not price, drives the decision. Third, a cyclic multi-day formulation shows that the optimal start-of-day state of charge is 36.8% rather than 100%, and prices cross-day stored energy at $0.2414/kWh, between the valley and peak tariffs. We also show that a single-day model overstates earnings by 2.4% because it treats a full battery as free.</w:t>
      </w:r>
    </w:p>
    <w:p>
      <w:pPr>
        <w:pStyle w:val="Abstract"/>
      </w:pPr>
      <w:r>
        <w:rPr>
          <w:b/>
          <w:bCs/>
          <w:lang w:val="en-US"/>
        </w:rPr>
        <w:t xml:space="preserve">Keywords:</w:t>
      </w:r>
      <w:r>
        <w:rPr>
          <w:lang w:val="en-US"/>
        </w:rPr>
        <w:t xml:space="preserve"> </w:t>
      </w:r>
      <w:r>
        <w:rPr>
          <w:lang w:val="en-US"/>
        </w:rPr>
        <w:t xml:space="preserve">electric ride-hailing; charging scheduling; dynamic programming; Markov decision process; time-of-use pricing; opportunity cost; value of time</w:t>
      </w:r>
    </w:p>
    <w:bookmarkStart w:id="21" w:name="introduction"/>
    <w:p>
      <w:pPr>
        <w:pStyle w:val="Heading1"/>
      </w:pPr>
      <w:r>
        <w:rPr>
          <w:lang w:val="en-US"/>
        </w:rPr>
        <w:t xml:space="preserve">1. Introduction</w:t>
      </w:r>
    </w:p>
    <w:bookmarkStart w:id="18" w:name="background-and-motivation"/>
    <w:p>
      <w:pPr>
        <w:pStyle w:val="Heading2"/>
      </w:pPr>
      <w:r>
        <w:rPr>
          <w:lang w:val="en-US"/>
        </w:rPr>
        <w:t xml:space="preserve">1.1 Background and motivation</w:t>
      </w:r>
    </w:p>
    <w:p>
      <w:pPr>
        <w:pStyle w:val="FirstParagraph"/>
      </w:pPr>
      <w:r>
        <w:rPr>
          <w:lang w:val="en-US"/>
        </w:rPr>
        <w:t xml:space="preserve">Ride-hailing platforms are replacing fleets with electric vehicles for reasons that are ultimately economic rather than environmental, and the operating economics of an electric taxi differ from those of an internal-combustion one in one decisive respect: charging takes time, and for a driver, time spent not carrying a passenger produces no revenue. A typical electric vehicle needs roughly fifty minutes of 50 kW direct-current fast charging to move from a low state of charge to 80%, against a few minutes at a petrol pump. For an ordinary private car this is an inconvenience; for a ride-hailing driver it is a direct revenue loss. Ma [1] decomposes the cost of an electric dial-a-ride charging episode into three components — vehicle access time, charging time and waiting time — and reports large reductions in waiting time and charging duration from coordinated scheduling, which confirms that charging time is treated in the literature as a first-class cost rather than a side issue.</w:t>
      </w:r>
    </w:p>
    <w:p>
      <w:pPr>
        <w:pStyle w:val="BodyText"/>
      </w:pPr>
      <w:r>
        <w:rPr>
          <w:lang w:val="en-US"/>
        </w:rPr>
        <w:t xml:space="preserve">The intuitive answer to</w:t>
      </w:r>
      <w:r>
        <w:rPr>
          <w:lang w:val="en-US"/>
        </w:rPr>
        <w:t xml:space="preserve"> </w:t>
      </w:r>
      <w:r>
        <w:rPr>
          <w:lang w:val="en-US"/>
        </w:rPr>
        <w:t xml:space="preserve">“when should I charge?”</w:t>
      </w:r>
      <w:r>
        <w:rPr>
          <w:lang w:val="en-US"/>
        </w:rPr>
        <w:t xml:space="preserve"> </w:t>
      </w:r>
      <w:r>
        <w:rPr>
          <w:lang w:val="en-US"/>
        </w:rPr>
        <w:t xml:space="preserve">is to consult the time-of-use (TOU) tariff and charge when electricity is cheapest. This answer is roughly right when a fleet of vehicles concentrates its charging in a depot, where the binding constraint is transformer capacity and demand charges. It is wrong for an individual driver, and the reason is structural rather than a matter of calibration. A driver is simultaneously a consumer of electricity and an instrument of production: the same fifteen minutes cannot both be spent buying cheap power and earning fares. Which of the two dominates depends on how many orders are available at that time of day, and the intra-day distribution of demand is extremely uneven.</w:t>
      </w:r>
    </w:p>
    <w:p>
      <w:pPr>
        <w:pStyle w:val="BodyText"/>
      </w:pPr>
      <w:r>
        <w:rPr>
          <w:lang w:val="en-US"/>
        </w:rPr>
        <w:t xml:space="preserve">We quantify this on real data. From 2,739,936 cleaned trip records covering 30 complete working days of New York City yellow-taxi operation in January 2024 [2], the citywide order arrival rate varies by a factor of 18.5 within a single day, from 91 orders per fifteen minutes at 03:00 to 1,684 at 18:00. Off-peak hours are therefore cheap</w:t>
      </w:r>
      <w:r>
        <w:rPr>
          <w:lang w:val="en-US"/>
        </w:rPr>
        <w:t xml:space="preserve"> </w:t>
      </w:r>
      <w:r>
        <w:rPr>
          <w:i/>
          <w:iCs/>
          <w:lang w:val="en-US"/>
        </w:rPr>
        <w:t xml:space="preserve">and</w:t>
      </w:r>
      <w:r>
        <w:rPr>
          <w:lang w:val="en-US"/>
        </w:rPr>
        <w:t xml:space="preserve"> </w:t>
      </w:r>
      <w:r>
        <w:rPr>
          <w:lang w:val="en-US"/>
        </w:rPr>
        <w:t xml:space="preserve">empty at the same time, and the two effects do not cancel: deferring a charge from the valley into a shoulder period costs a small amount of additional electricity but recovers a large amount of foregone fare revenue. The cheapest kWh is not the last kWh a driver should buy.</w:t>
      </w:r>
    </w:p>
    <w:bookmarkEnd w:id="18"/>
    <w:bookmarkStart w:id="19" w:name="literature-review"/>
    <w:p>
      <w:pPr>
        <w:pStyle w:val="Heading2"/>
      </w:pPr>
      <w:r>
        <w:rPr>
          <w:lang w:val="en-US"/>
        </w:rPr>
        <w:t xml:space="preserve">1.2 Literature review</w:t>
      </w:r>
    </w:p>
    <w:p>
      <w:pPr>
        <w:pStyle w:val="FirstParagraph"/>
      </w:pPr>
      <w:r>
        <w:rPr>
          <w:lang w:val="en-US"/>
        </w:rPr>
        <w:t xml:space="preserve">Existing work on electric ride-hailing charging can be organised by who makes the decision, and this partition is more informative than a partition by topic because it exposes where the open cells are.</w:t>
      </w:r>
    </w:p>
    <w:p>
      <w:pPr>
        <w:pStyle w:val="BodyText"/>
      </w:pPr>
      <w:r>
        <w:rPr>
          <w:lang w:val="en-US"/>
        </w:rPr>
        <w:t xml:space="preserve">At the platform and market-equilibrium level, Ke et al. [3] model the working and recharging schedules of drivers in a ride-sourcing market with electric and gasoline vehicles, using a time-expanded network and user equilibrium. Their decision set is wider than ours, since a driver may also choose whether to work at all, and their central observation — that Beijing taxis average 241 km per day against a safe electric range of 200 km, so charging is unavoidable</w:t>
      </w:r>
      <w:r>
        <w:rPr>
          <w:lang w:val="en-US"/>
        </w:rPr>
        <w:t xml:space="preserve"> </w:t>
      </w:r>
      <w:r>
        <w:rPr>
          <w:i/>
          <w:iCs/>
          <w:lang w:val="en-US"/>
        </w:rPr>
        <w:t xml:space="preserve">within</w:t>
      </w:r>
      <w:r>
        <w:rPr>
          <w:lang w:val="en-US"/>
        </w:rPr>
        <w:t xml:space="preserve"> </w:t>
      </w:r>
      <w:r>
        <w:rPr>
          <w:lang w:val="en-US"/>
        </w:rPr>
        <w:t xml:space="preserve">a shift — motivates our own choice of a 40 kWh pack. Liu et al. [4] extend this line by introducing driving fatigue, and report that drivers’ charging behaviour synchronises with their resting behaviour, i.e. charging need not be a pure loss. Qin et al. [5] analyse charging patterns and infrastructure deployment from real electric-vehicle trajectories and battery data in Shanghai.</w:t>
      </w:r>
    </w:p>
    <w:p>
      <w:pPr>
        <w:pStyle w:val="BodyText"/>
      </w:pPr>
      <w:r>
        <w:rPr>
          <w:lang w:val="en-US"/>
        </w:rPr>
        <w:t xml:space="preserve">At the fleet-scheduling level, Ma [1] proposes a two-stage scheme for dynamic electric dial-a-ride services, combining a daily charging plan with an online vehicle-to-charger assignment that accounts for charger queueing, solved by Lagrangian relaxation. Ma [6] applies a rolling-horizon scheme with a hybrid LSTM predictor of charger occupancy to an electric demand-responsive transport case in Dundee. Ma, Connors and Viti [7] — the closest work to ours — formulate congestion-aware charging coordination for electric ride-hailing fleets under stochastic demand as a sequential mixed-integer program with a day-ahead plan and an online coordination stage, using the same New York yellow-taxi dataset and the same stochastic-demand assumption, and report a profit improvement of 3.91% over their strongest baseline. Alam and Guo [8] study charging infrastructure planning for ride-sourcing electric vehicles with an explicit value-of-time term.</w:t>
      </w:r>
    </w:p>
    <w:p>
      <w:pPr>
        <w:pStyle w:val="BodyText"/>
      </w:pPr>
      <w:r>
        <w:rPr>
          <w:lang w:val="en-US"/>
        </w:rPr>
        <w:t xml:space="preserve">A third line formulates joint charging and dispatch as a Markov decision process solved by deep reinforcement learning; Ma et al. [9] criticise the existing literature for treating charging and dispatch separately and for assuming that the nearest charger is always optimal. We deliberately do not follow this line. Our state space contains only 8,256 states, so the analytic DP and MDP solutions are both exact and immediate, and they align directly with the dynamic-programming content of the course. This is a conscious trade-off, not an oversight.</w:t>
      </w:r>
    </w:p>
    <w:p>
      <w:pPr>
        <w:pStyle w:val="BodyText"/>
      </w:pPr>
      <w:r>
        <w:rPr>
          <w:lang w:val="en-US"/>
        </w:rPr>
        <w:t xml:space="preserve">Finally, a small but decisive body of work measures the value of time (VOT) empirically, which we use as an external calibration anchor. Mehditabrizi, Namadi and Cirillo [10] estimate a VOT of $15.20 per hour for refuelling and charging transitions; Dorsey, Langer and McRae [11] estimate $27.54 per hour, equal to 89% of local median wage, and note that the US Department of Transportation convention of 50% of wage systematically understates it; and Sunada and Xia [12] report a charging VOT of 27% of average wage from Shanghai telemetry.</w:t>
      </w:r>
    </w:p>
    <w:p>
      <w:pPr>
        <w:pStyle w:val="BodyText"/>
      </w:pPr>
      <w:r>
        <w:rPr>
          <w:lang w:val="en-US"/>
        </w:rPr>
        <w:t xml:space="preserve">The existing body of work therefore operates predominantly at the fleet or market level: it jointly optimises fleet charging plans and charger assignment [1,6,7], or characterises equilibria of driver work-and-charge schedules [3,4]. Such models take demand or capacity as given, or grow a state space with the number of vehicles. We stop deliberately at the level of a single driver. This is a reduction in scale, not a filling of a gap, and we state it as such: it buys an exact closed-form solution and the freedom to embed stochastic arrivals and a charging-power taper directly in the model, at the cost of ignoring charger congestion and inter-driver competition.</w:t>
      </w:r>
    </w:p>
    <w:bookmarkEnd w:id="19"/>
    <w:bookmarkStart w:id="20" w:name="research-question-and-contribution"/>
    <w:p>
      <w:pPr>
        <w:pStyle w:val="Heading2"/>
      </w:pPr>
      <w:r>
        <w:rPr>
          <w:lang w:val="en-US"/>
        </w:rPr>
        <w:t xml:space="preserve">1.3 Research question and contribution</w:t>
      </w:r>
    </w:p>
    <w:p>
      <w:pPr>
        <w:pStyle w:val="FirstParagraph"/>
      </w:pPr>
      <w:r>
        <w:rPr>
          <w:b/>
          <w:bCs/>
          <w:lang w:val="en-US"/>
        </w:rPr>
        <w:t xml:space="preserve">Research question.</w:t>
      </w:r>
      <w:r>
        <w:rPr>
          <w:lang w:val="en-US"/>
        </w:rPr>
        <w:t xml:space="preserve"> </w:t>
      </w:r>
      <w:r>
        <w:rPr>
          <w:lang w:val="en-US"/>
        </w:rPr>
        <w:t xml:space="preserve">For a single electric ride-hailing driver facing a time-of-use electricity tariff and a Poisson arrival process of orders, what intra-day charging schedule maximises net earnings over a working day?</w:t>
      </w:r>
    </w:p>
    <w:p>
      <w:pPr>
        <w:pStyle w:val="BodyText"/>
      </w:pPr>
      <w:r>
        <w:rPr>
          <w:lang w:val="en-US"/>
        </w:rPr>
        <w:t xml:space="preserve">The contributions are five.</w:t>
      </w:r>
    </w:p>
    <w:p>
      <w:pPr>
        <w:numPr>
          <w:ilvl w:val="0"/>
          <w:numId w:val="1001"/>
        </w:numPr>
      </w:pPr>
      <w:r>
        <w:rPr>
          <w:b/>
          <w:bCs/>
          <w:lang w:val="en-US"/>
        </w:rPr>
        <w:t xml:space="preserve">A data-grounded single-driver model.</w:t>
      </w:r>
      <w:r>
        <w:rPr>
          <w:lang w:val="en-US"/>
        </w:rPr>
        <w:t xml:space="preserve"> </w:t>
      </w:r>
      <w:r>
        <w:rPr>
          <w:lang w:val="en-US"/>
        </w:rPr>
        <w:t xml:space="preserve">Demand rates, fares and per-trip energy consumption are estimated from 2,739,936 real New York TLC trip records rather than assumed. The model also exposes the structural fact that a citywide order rate cannot be used directly as a per-driver rate: one driver can serve at most 1.01 trips per fifteen minutes, whereas the citywide peak rate is 1,684.</w:t>
      </w:r>
    </w:p>
    <w:p>
      <w:pPr>
        <w:numPr>
          <w:ilvl w:val="0"/>
          <w:numId w:val="1001"/>
        </w:numPr>
      </w:pPr>
      <w:r>
        <w:rPr>
          <w:b/>
          <w:bCs/>
          <w:lang w:val="en-US"/>
        </w:rPr>
        <w:t xml:space="preserve">Exact solution by DP and MDP rather than MILP.</w:t>
      </w:r>
      <w:r>
        <w:rPr>
          <w:lang w:val="en-US"/>
        </w:rPr>
        <w:t xml:space="preserve"> </w:t>
      </w:r>
      <w:r>
        <w:rPr>
          <w:lang w:val="en-US"/>
        </w:rPr>
        <w:t xml:space="preserve">Fleet-scale formulations need sequential MILP or Lagrangian heuristics; at the single-driver level the state space is 96 x 86 = 8,256 and both the expected-value DP and the Poisson MDP have closed-form solutions computed in milliseconds in pure NumPy.</w:t>
      </w:r>
    </w:p>
    <w:p>
      <w:pPr>
        <w:numPr>
          <w:ilvl w:val="0"/>
          <w:numId w:val="1001"/>
        </w:numPr>
      </w:pPr>
      <w:r>
        <w:rPr>
          <w:b/>
          <w:bCs/>
          <w:lang w:val="en-US"/>
        </w:rPr>
        <w:t xml:space="preserve">A robust counter-intuitive result.</w:t>
      </w:r>
      <w:r>
        <w:rPr>
          <w:lang w:val="en-US"/>
        </w:rPr>
        <w:t xml:space="preserve"> </w:t>
      </w:r>
      <w:r>
        <w:rPr>
          <w:lang w:val="en-US"/>
        </w:rPr>
        <w:t xml:space="preserve">The optimal charging schedule lies outside the cheapest tariff window on 74.4% of simulated working days, and the conclusion survives a 3.4-fold rescaling of the implied value of time to the range measured in the literature.</w:t>
      </w:r>
    </w:p>
    <w:p>
      <w:pPr>
        <w:numPr>
          <w:ilvl w:val="0"/>
          <w:numId w:val="1001"/>
        </w:numPr>
      </w:pPr>
      <w:r>
        <w:rPr>
          <w:b/>
          <w:bCs/>
          <w:lang w:val="en-US"/>
        </w:rPr>
        <w:t xml:space="preserve">A negative result with direct managerial implications.</w:t>
      </w:r>
      <w:r>
        <w:rPr>
          <w:lang w:val="en-US"/>
        </w:rPr>
        <w:t xml:space="preserve"> </w:t>
      </w:r>
      <w:r>
        <w:rPr>
          <w:lang w:val="en-US"/>
        </w:rPr>
        <w:t xml:space="preserve">Widening the TOU spread from flat to twice the base spread changes the value of optimisation by only 1.3%. Opportunity cost, not price, drives the charging decision, which is why fleet-level conclusions about load shifting cannot be transplanted to individual ride-hailing drivers.</w:t>
      </w:r>
    </w:p>
    <w:p>
      <w:pPr>
        <w:numPr>
          <w:ilvl w:val="0"/>
          <w:numId w:val="1001"/>
        </w:numPr>
      </w:pPr>
      <w:r>
        <w:rPr>
          <w:b/>
          <w:bCs/>
          <w:lang w:val="en-US"/>
        </w:rPr>
        <w:t xml:space="preserve">A cross-day extension.</w:t>
      </w:r>
      <w:r>
        <w:rPr>
          <w:lang w:val="en-US"/>
        </w:rPr>
        <w:t xml:space="preserve"> </w:t>
      </w:r>
      <w:r>
        <w:rPr>
          <w:lang w:val="en-US"/>
        </w:rPr>
        <w:t xml:space="preserve">Formulating the day as a cyclic problem yields an optimal start-of-day state of charge of 36.8% rather than 100%, prices cross-day stored energy at $0.2414/kWh — between the valley and peak tariffs — and shows that a single-day model overstates earnings by 2.4%.</w:t>
      </w:r>
    </w:p>
    <w:bookmarkEnd w:id="20"/>
    <w:bookmarkEnd w:id="21"/>
    <w:bookmarkStart w:id="37" w:name="problem-formulation-and-methodology"/>
    <w:p>
      <w:pPr>
        <w:pStyle w:val="Heading1"/>
      </w:pPr>
      <w:r>
        <w:rPr>
          <w:lang w:val="en-US"/>
        </w:rPr>
        <w:t xml:space="preserve">2. Problem Formulation and Methodology</w:t>
      </w:r>
    </w:p>
    <w:bookmarkStart w:id="26" w:name="Xb1db3ac7d35e50d16873eb628f33aafe0d81fd5"/>
    <w:p>
      <w:pPr>
        <w:pStyle w:val="Heading2"/>
      </w:pPr>
      <w:r>
        <w:rPr>
          <w:lang w:val="en-US"/>
        </w:rPr>
        <w:t xml:space="preserve">2.1 Problem definition and optimization model</w:t>
      </w:r>
    </w:p>
    <w:bookmarkStart w:id="22" w:name="horizon-state-and-actions"/>
    <w:p>
      <w:pPr>
        <w:pStyle w:val="Heading3"/>
      </w:pPr>
      <w:r>
        <w:rPr>
          <w:lang w:val="en-US"/>
        </w:rPr>
        <w:t xml:space="preserve">2.1.1 Horizon, state and actions</w:t>
      </w:r>
    </w:p>
    <w:p>
      <w:pPr>
        <w:pStyle w:val="FirstParagraph"/>
      </w:pPr>
      <w:r>
        <w:rPr>
          <w:lang w:val="en-US"/>
        </w:rPr>
        <w:t xml:space="preserve">A working day is discretised into</w:t>
      </w:r>
      <w:r>
        <w:rPr>
          <w:lang w:val="en-US"/>
        </w:rPr>
        <w:t xml:space="preserve"> </w:t>
      </w:r>
      <m:oMath>
        <m:r>
          <m:t>T</m:t>
        </m:r>
        <m:r>
          <m:rPr>
            <m:sty m:val="p"/>
          </m:rPr>
          <m:t>=</m:t>
        </m:r>
        <m:r>
          <m:t>96</m:t>
        </m:r>
      </m:oMath>
      <w:r>
        <w:rPr>
          <w:lang w:val="en-US"/>
        </w:rPr>
        <w:t xml:space="preserve"> </w:t>
      </w:r>
      <w:r>
        <w:rPr>
          <w:lang w:val="en-US"/>
        </w:rPr>
        <w:t xml:space="preserve">slots of</w:t>
      </w:r>
      <w:r>
        <w:rPr>
          <w:lang w:val="en-US"/>
        </w:rPr>
        <w:t xml:space="preserve"> </w:t>
      </w:r>
      <m:oMath>
        <m:r>
          <m:rPr>
            <m:sty m:val="p"/>
          </m:rPr>
          <m:t>Δ</m:t>
        </m:r>
        <m:r>
          <m:t>t</m:t>
        </m:r>
        <m:r>
          <m:rPr>
            <m:sty m:val="p"/>
          </m:rPr>
          <m:t>=</m:t>
        </m:r>
        <m:r>
          <m:t>15</m:t>
        </m:r>
      </m:oMath>
      <w:r>
        <w:rPr>
          <w:lang w:val="en-US"/>
        </w:rPr>
        <w:t xml:space="preserve"> </w:t>
      </w:r>
      <w:r>
        <w:rPr>
          <w:lang w:val="en-US"/>
        </w:rPr>
        <w:t xml:space="preserve">minutes. The state is the pair</w:t>
      </w:r>
      <w:r>
        <w:rPr>
          <w:lang w:val="en-US"/>
        </w:rPr>
        <w:t xml:space="preserve"> </w:t>
      </w:r>
      <m:oMath>
        <m:r>
          <m:rPr>
            <m:sty m:val="p"/>
          </m:rPr>
          <m:t>(</m:t>
        </m:r>
        <m:r>
          <m:t>t</m:t>
        </m:r>
        <m:r>
          <m:rPr>
            <m:sty m:val="p"/>
          </m:rPr>
          <m:t>,</m:t>
        </m:r>
        <m:r>
          <m:t>s</m:t>
        </m:r>
        <m:r>
          <m:rPr>
            <m:sty m:val="p"/>
          </m:rPr>
          <m:t>)</m:t>
        </m:r>
      </m:oMath>
      <w:r>
        <w:rPr>
          <w:lang w:val="en-US"/>
        </w:rPr>
        <w:t xml:space="preserve">, where</w:t>
      </w:r>
      <w:r>
        <w:rPr>
          <w:lang w:val="en-US"/>
        </w:rPr>
        <w:t xml:space="preserve"> </w:t>
      </w:r>
      <m:oMath>
        <m:r>
          <m:t>t</m:t>
        </m:r>
        <m:r>
          <m:rPr>
            <m:sty m:val="p"/>
          </m:rPr>
          <m:t>∈</m:t>
        </m:r>
        <m:r>
          <m:rPr>
            <m:sty m:val="p"/>
          </m:rPr>
          <m:t>{</m:t>
        </m:r>
        <m:r>
          <m:t>0</m:t>
        </m:r>
        <m:r>
          <m:rPr>
            <m:sty m:val="p"/>
          </m:rPr>
          <m:t>,</m:t>
        </m:r>
        <m:r>
          <m:rPr>
            <m:sty m:val="p"/>
          </m:rPr>
          <m:t>…</m:t>
        </m:r>
        <m:r>
          <m:rPr>
            <m:sty m:val="p"/>
          </m:rPr>
          <m:t>,</m:t>
        </m:r>
        <m:r>
          <m:t>95</m:t>
        </m:r>
        <m:r>
          <m:rPr>
            <m:sty m:val="p"/>
          </m:rPr>
          <m:t>}</m:t>
        </m:r>
      </m:oMath>
      <w:r>
        <w:rPr>
          <w:lang w:val="en-US"/>
        </w:rPr>
        <w:t xml:space="preserve"> </w:t>
      </w:r>
      <w:r>
        <w:rPr>
          <w:lang w:val="en-US"/>
        </w:rPr>
        <w:t xml:space="preserve">is the slot index and</w:t>
      </w:r>
      <w:r>
        <w:rPr>
          <w:lang w:val="en-US"/>
        </w:rPr>
        <w:t xml:space="preserve"> </w:t>
      </w:r>
      <m:oMath>
        <m:r>
          <m:t>s</m:t>
        </m:r>
        <m:r>
          <m:rPr>
            <m:sty m:val="p"/>
          </m:rPr>
          <m:t>∈</m:t>
        </m:r>
        <m:r>
          <m:rPr>
            <m:sty m:val="p"/>
          </m:rPr>
          <m:t>{</m:t>
        </m:r>
        <m:r>
          <m:t>0.15</m:t>
        </m:r>
        <m:r>
          <m:rPr>
            <m:sty m:val="p"/>
          </m:rPr>
          <m:t>,</m:t>
        </m:r>
        <m:r>
          <m:t>0.16</m:t>
        </m:r>
        <m:r>
          <m:rPr>
            <m:sty m:val="p"/>
          </m:rPr>
          <m:t>,</m:t>
        </m:r>
        <m:r>
          <m:rPr>
            <m:sty m:val="p"/>
          </m:rPr>
          <m:t>…</m:t>
        </m:r>
        <m:r>
          <m:rPr>
            <m:sty m:val="p"/>
          </m:rPr>
          <m:t>,</m:t>
        </m:r>
        <m:r>
          <m:t>1.00</m:t>
        </m:r>
        <m:r>
          <m:rPr>
            <m:sty m:val="p"/>
          </m:rPr>
          <m:t>}</m:t>
        </m:r>
      </m:oMath>
      <w:r>
        <w:rPr>
          <w:lang w:val="en-US"/>
        </w:rPr>
        <w:t xml:space="preserve"> </w:t>
      </w:r>
      <w:r>
        <w:rPr>
          <w:lang w:val="en-US"/>
        </w:rPr>
        <w:t xml:space="preserve">is the state of charge as a fraction of the usable pack capacity</w:t>
      </w:r>
      <w:r>
        <w:rPr>
          <w:lang w:val="en-US"/>
        </w:rPr>
        <w:t xml:space="preserve"> </w:t>
      </w:r>
      <m:oMath>
        <m:r>
          <m:t>Q</m:t>
        </m:r>
        <m:r>
          <m:rPr>
            <m:sty m:val="p"/>
          </m:rPr>
          <m:t>=</m:t>
        </m:r>
        <m:r>
          <m:t>40</m:t>
        </m:r>
      </m:oMath>
      <w:r>
        <w:rPr>
          <w:lang w:val="en-US"/>
        </w:rPr>
        <w:t xml:space="preserve"> </w:t>
      </w:r>
      <w:r>
        <w:rPr>
          <w:lang w:val="en-US"/>
        </w:rPr>
        <w:t xml:space="preserve">kWh, discretised on an 86-point grid at 1% resolution. The decision variable in each slot is the action</w:t>
      </w:r>
    </w:p>
    <w:p>
      <w:pPr>
        <w:pStyle w:val="BodyText"/>
      </w:pPr>
      <m:oMathPara>
        <m:oMathParaPr>
          <m:jc m:val="center"/>
        </m:oMathParaPr>
        <m:oMath>
          <m:sSub>
            <m:e>
              <m:r>
                <m:t>a</m:t>
              </m:r>
            </m:e>
            <m:sub>
              <m:r>
                <m:t>t</m:t>
              </m:r>
            </m:sub>
          </m:sSub>
          <m:r>
            <m:rPr>
              <m:sty m:val="p"/>
            </m:rPr>
            <m:t>∈</m:t>
          </m:r>
          <m:r>
            <m:rPr>
              <m:sty m:val="p"/>
            </m:rPr>
            <m:t>{</m:t>
          </m:r>
          <m:r>
            <m:rPr>
              <m:nor/>
              <m:scr m:val="sans-serif"/>
              <m:sty m:val="p"/>
            </m:rPr>
            <m:t>DRIVE</m:t>
          </m:r>
          <m:r>
            <m:rPr>
              <m:sty m:val="p"/>
            </m:rPr>
            <m:t>,</m:t>
          </m:r>
          <m:r>
            <m:t> </m:t>
          </m:r>
          <m:r>
            <m:rPr>
              <m:nor/>
              <m:scr m:val="sans-serif"/>
              <m:sty m:val="p"/>
            </m:rPr>
            <m:t>CHARGE</m:t>
          </m:r>
          <m:r>
            <m:rPr>
              <m:sty m:val="p"/>
            </m:rPr>
            <m:t>,</m:t>
          </m:r>
          <m:r>
            <m:t> </m:t>
          </m:r>
          <m:r>
            <m:rPr>
              <m:nor/>
              <m:scr m:val="sans-serif"/>
              <m:sty m:val="p"/>
            </m:rPr>
            <m:t>IDLE</m:t>
          </m:r>
          <m:r>
            <m:rPr>
              <m:sty m:val="p"/>
            </m:rPr>
            <m:t>}</m:t>
          </m:r>
          <m:r>
            <m:rPr>
              <m:sty m:val="p"/>
            </m:rPr>
            <m:t>,</m:t>
          </m:r>
          <m:r>
            <m:t>  </m:t>
          </m:r>
          <m:r>
            <m:t>t</m:t>
          </m:r>
          <m:r>
            <m:rPr>
              <m:sty m:val="p"/>
            </m:rPr>
            <m:t>=</m:t>
          </m:r>
          <m:r>
            <m:t>0</m:t>
          </m:r>
          <m:r>
            <m:rPr>
              <m:sty m:val="p"/>
            </m:rPr>
            <m:t>,</m:t>
          </m:r>
          <m:r>
            <m:t>1</m:t>
          </m:r>
          <m:r>
            <m:rPr>
              <m:sty m:val="p"/>
            </m:rPr>
            <m:t>,</m:t>
          </m:r>
          <m:r>
            <m:rPr>
              <m:sty m:val="p"/>
            </m:rPr>
            <m:t>…</m:t>
          </m:r>
          <m:r>
            <m:rPr>
              <m:sty m:val="p"/>
            </m:rPr>
            <m:t>,</m:t>
          </m:r>
          <m:r>
            <m:t>95</m:t>
          </m:r>
          <m:r>
            <m:rPr>
              <m:sty m:val="p"/>
            </m:rPr>
            <m:t>.</m:t>
          </m:r>
          <m:r>
            <m:t>  </m:t>
          </m:r>
          <m:r>
            <m:t>  </m:t>
          </m:r>
          <m:r>
            <m:rPr>
              <m:sty m:val="p"/>
            </m:rPr>
            <m:t>(</m:t>
          </m:r>
          <m:r>
            <m:t>1</m:t>
          </m:r>
          <m:r>
            <m:rPr>
              <m:sty m:val="p"/>
            </m:rPr>
            <m:t>)</m:t>
          </m:r>
        </m:oMath>
      </m:oMathPara>
    </w:p>
    <w:p>
      <w:pPr>
        <w:pStyle w:val="FirstParagraph"/>
      </w:pPr>
      <w:r>
        <w:rPr>
          <w:lang w:val="en-US"/>
        </w:rPr>
        <w:t xml:space="preserve">A full schedule is a sequence of 96 actions, so the policy space has cardinality</w:t>
      </w:r>
      <w:r>
        <w:rPr>
          <w:lang w:val="en-US"/>
        </w:rPr>
        <w:t xml:space="preserve"> </w:t>
      </w:r>
      <m:oMath>
        <m:sSup>
          <m:e>
            <m:r>
              <m:t>3</m:t>
            </m:r>
          </m:e>
          <m:sup>
            <m:r>
              <m:t>96</m:t>
            </m:r>
          </m:sup>
        </m:sSup>
      </m:oMath>
      <w:r>
        <w:rPr>
          <w:lang w:val="en-US"/>
        </w:rPr>
        <w:t xml:space="preserve">. We do</w:t>
      </w:r>
      <w:r>
        <w:rPr>
          <w:lang w:val="en-US"/>
        </w:rPr>
        <w:t xml:space="preserve"> </w:t>
      </w:r>
      <w:r>
        <w:rPr>
          <w:b/>
          <w:bCs/>
          <w:lang w:val="en-US"/>
        </w:rPr>
        <w:t xml:space="preserve">not</w:t>
      </w:r>
      <w:r>
        <w:rPr>
          <w:lang w:val="en-US"/>
        </w:rPr>
        <w:t xml:space="preserve"> </w:t>
      </w:r>
      <w:r>
        <w:rPr>
          <w:lang w:val="en-US"/>
        </w:rPr>
        <w:t xml:space="preserve">use state of charge as a decision variable: it is a state, physically determined by the actions taken, and treating it as a decision would pretend that a driver can summon charge. Nor do we use 96 binary charging indicators, which are mathematically equivalent but cannot express charging for part of a slot, since the energy stored is the product of duration and the taper function.</w:t>
      </w:r>
    </w:p>
    <w:p>
      <w:pPr>
        <w:pStyle w:val="BodyText"/>
      </w:pPr>
      <w:r>
        <w:rPr>
          <w:lang w:val="en-US"/>
        </w:rPr>
        <w:t xml:space="preserve">Because order arrival rates are strictly positive in every slot, IDLE is weakly dominated by DRIVE throughout: idling forgoes a strictly positive fare and consumes no less energy. The effective action set is therefore binary, and we state this explicitly rather than let it emerge from the solution.</w:t>
      </w:r>
    </w:p>
    <w:bookmarkEnd w:id="22"/>
    <w:bookmarkStart w:id="23" w:name="order-arrivals-and-the-driver-time-cap"/>
    <w:p>
      <w:pPr>
        <w:pStyle w:val="Heading3"/>
      </w:pPr>
      <w:r>
        <w:rPr>
          <w:lang w:val="en-US"/>
        </w:rPr>
        <w:t xml:space="preserve">2.1.2 Order arrivals and the driver time cap</w:t>
      </w:r>
    </w:p>
    <w:p>
      <w:pPr>
        <w:pStyle w:val="FirstParagraph"/>
      </w:pPr>
      <w:r>
        <w:rPr>
          <w:lang w:val="en-US"/>
        </w:rPr>
        <w:t xml:space="preserve">Order arrivals in slot</w:t>
      </w:r>
      <w:r>
        <w:rPr>
          <w:lang w:val="en-US"/>
        </w:rPr>
        <w:t xml:space="preserve"> </w:t>
      </w:r>
      <m:oMath>
        <m:r>
          <m:t>t</m:t>
        </m:r>
      </m:oMath>
      <w:r>
        <w:rPr>
          <w:lang w:val="en-US"/>
        </w:rPr>
        <w:t xml:space="preserve"> </w:t>
      </w:r>
      <w:r>
        <w:rPr>
          <w:lang w:val="en-US"/>
        </w:rPr>
        <w:t xml:space="preserve">are Poisson with rate</w:t>
      </w:r>
      <w:r>
        <w:rPr>
          <w:lang w:val="en-US"/>
        </w:rPr>
        <w:t xml:space="preserve"> </w:t>
      </w:r>
      <m:oMath>
        <m:sSub>
          <m:e>
            <m:r>
              <m:t>λ</m:t>
            </m:r>
          </m:e>
          <m:sub>
            <m:r>
              <m:t>t</m:t>
            </m:r>
          </m:sub>
        </m:sSub>
      </m:oMath>
      <w:r>
        <w:rPr>
          <w:lang w:val="en-US"/>
        </w:rPr>
        <w:t xml:space="preserve">:</w:t>
      </w:r>
    </w:p>
    <w:p>
      <w:pPr>
        <w:pStyle w:val="BodyText"/>
      </w:pPr>
      <m:oMathPara>
        <m:oMathParaPr>
          <m:jc m:val="center"/>
        </m:oMathParaPr>
        <m:oMath>
          <m:sSub>
            <m:e>
              <m:r>
                <m:t>N</m:t>
              </m:r>
            </m:e>
            <m:sub>
              <m:r>
                <m:t>t</m:t>
              </m:r>
            </m:sub>
          </m:sSub>
          <m:r>
            <m:rPr>
              <m:sty m:val="p"/>
            </m:rPr>
            <m:t>∼</m:t>
          </m:r>
          <m:r>
            <m:rPr>
              <m:nor/>
              <m:scr m:val="sans-serif"/>
              <m:sty m:val="p"/>
            </m:rPr>
            <m:t>Poisson</m:t>
          </m:r>
          <m:r>
            <m:rPr>
              <m:sty m:val="p"/>
            </m:rPr>
            <m:t>(</m:t>
          </m:r>
          <m:sSub>
            <m:e>
              <m:r>
                <m:t>λ</m:t>
              </m:r>
            </m:e>
            <m:sub>
              <m:r>
                <m:t>t</m:t>
              </m:r>
            </m:sub>
          </m:sSub>
          <m:r>
            <m:rPr>
              <m:sty m:val="p"/>
            </m:rPr>
            <m:t>)</m:t>
          </m:r>
          <m:r>
            <m:rPr>
              <m:sty m:val="p"/>
            </m:rPr>
            <m:t>.</m:t>
          </m:r>
          <m:r>
            <m:t>  </m:t>
          </m:r>
          <m:r>
            <m:t>  </m:t>
          </m:r>
          <m:r>
            <m:rPr>
              <m:sty m:val="p"/>
            </m:rPr>
            <m:t>(</m:t>
          </m:r>
          <m:r>
            <m:t>2</m:t>
          </m:r>
          <m:r>
            <m:rPr>
              <m:sty m:val="p"/>
            </m:rPr>
            <m:t>)</m:t>
          </m:r>
        </m:oMath>
      </m:oMathPara>
    </w:p>
    <w:p>
      <w:pPr>
        <w:pStyle w:val="FirstParagraph"/>
      </w:pPr>
      <w:r>
        <w:rPr>
          <w:lang w:val="en-US"/>
        </w:rPr>
        <w:t xml:space="preserve">The number of trips the driver actually completes is limited both by demand and by the driver’s own physical capacity:</w:t>
      </w:r>
    </w:p>
    <w:p>
      <w:pPr>
        <w:pStyle w:val="BodyText"/>
      </w:pPr>
      <m:oMathPara>
        <m:oMathParaPr>
          <m:jc m:val="center"/>
        </m:oMathParaPr>
        <m:oMath>
          <m:sSub>
            <m:e>
              <m:r>
                <m:t>m</m:t>
              </m:r>
            </m:e>
            <m:sub>
              <m:r>
                <m:t>t</m:t>
              </m:r>
            </m:sub>
          </m:sSub>
          <m:r>
            <m:rPr>
              <m:sty m:val="p"/>
            </m:rPr>
            <m:t>=</m:t>
          </m:r>
          <m:r>
            <m:rPr>
              <m:sty m:val="p"/>
            </m:rPr>
            <m:t>min</m:t>
          </m:r>
          <m:d>
            <m:dPr>
              <m:begChr m:val="("/>
              <m:sepChr m:val=""/>
              <m:endChr m:val=")"/>
              <m:grow/>
            </m:dPr>
            <m:e>
              <m:sSub>
                <m:e>
                  <m:r>
                    <m:t>N</m:t>
                  </m:r>
                </m:e>
                <m:sub>
                  <m:r>
                    <m:t>t</m:t>
                  </m:r>
                </m:sub>
              </m:sSub>
              <m:r>
                <m:rPr>
                  <m:sty m:val="p"/>
                </m:rPr>
                <m:t>,</m:t>
              </m:r>
              <m:r>
                <m:t> </m:t>
              </m:r>
              <m:r>
                <m:rPr>
                  <m:nor/>
                  <m:scr m:val="sans-serif"/>
                  <m:sty m:val="p"/>
                </m:rPr>
                <m:t>CAP</m:t>
              </m:r>
            </m:e>
          </m:d>
          <m:r>
            <m:rPr>
              <m:sty m:val="p"/>
            </m:rPr>
            <m:t>,</m:t>
          </m:r>
          <m:r>
            <m:t>  </m:t>
          </m:r>
          <m:r>
            <m:rPr>
              <m:nor/>
              <m:scr m:val="sans-serif"/>
              <m:sty m:val="p"/>
            </m:rPr>
            <m:t>CAP</m:t>
          </m:r>
          <m:r>
            <m:rPr>
              <m:sty m:val="p"/>
            </m:rPr>
            <m:t>=</m:t>
          </m:r>
          <m:r>
            <m:t>1.01</m:t>
          </m:r>
          <m:r>
            <m:rPr>
              <m:nor/>
              <m:sty m:val="p"/>
            </m:rPr>
            <m:t> trips per 15 minutes</m:t>
          </m:r>
          <m:r>
            <m:rPr>
              <m:sty m:val="p"/>
            </m:rPr>
            <m:t>.</m:t>
          </m:r>
          <m:r>
            <m:t>  </m:t>
          </m:r>
          <m:r>
            <m:t>  </m:t>
          </m:r>
          <m:r>
            <m:rPr>
              <m:sty m:val="p"/>
            </m:rPr>
            <m:t>(</m:t>
          </m:r>
          <m:r>
            <m:t>3</m:t>
          </m:r>
          <m:r>
            <m:rPr>
              <m:sty m:val="p"/>
            </m:rPr>
            <m:t>)</m:t>
          </m:r>
        </m:oMath>
      </m:oMathPara>
    </w:p>
    <w:p>
      <w:pPr>
        <w:pStyle w:val="FirstParagraph"/>
      </w:pPr>
      <w:r>
        <w:rPr>
          <w:lang w:val="en-US"/>
        </w:rPr>
        <w:t xml:space="preserve">The value</w:t>
      </w:r>
      <w:r>
        <w:rPr>
          <w:lang w:val="en-US"/>
        </w:rPr>
        <w:t xml:space="preserve"> </w:t>
      </w:r>
      <m:oMath>
        <m:r>
          <m:rPr>
            <m:nor/>
            <m:scr m:val="sans-serif"/>
            <m:sty m:val="p"/>
          </m:rPr>
          <m:t>CAP</m:t>
        </m:r>
        <m:r>
          <m:rPr>
            <m:sty m:val="p"/>
          </m:rPr>
          <m:t>=</m:t>
        </m:r>
        <m:r>
          <m:t>1.01</m:t>
        </m:r>
      </m:oMath>
      <w:r>
        <w:rPr>
          <w:lang w:val="en-US"/>
        </w:rPr>
        <w:t xml:space="preserve"> </w:t>
      </w:r>
      <w:r>
        <w:rPr>
          <w:lang w:val="en-US"/>
        </w:rPr>
        <w:t xml:space="preserve">is derived from the observed mean trip duration of 14.8 minutes in the trip record data. This cap is the constraint that makes peak hours scarce: a driver cannot monetise a lucky evening peak beyond 1.01 trips per slot, so a peak hour lost to charging cannot be recovered later. It is important to be precise about its role, because it is easily overstated. After calibration, the</w:t>
      </w:r>
      <w:r>
        <w:rPr>
          <w:lang w:val="en-US"/>
        </w:rPr>
        <w:t xml:space="preserve"> </w:t>
      </w:r>
      <w:r>
        <w:rPr>
          <w:i/>
          <w:iCs/>
          <w:lang w:val="en-US"/>
        </w:rPr>
        <w:t xml:space="preserve">mean</w:t>
      </w:r>
      <w:r>
        <w:rPr>
          <w:lang w:val="en-US"/>
        </w:rPr>
        <w:t xml:space="preserve"> </w:t>
      </w:r>
      <w:r>
        <w:rPr>
          <w:lang w:val="en-US"/>
        </w:rPr>
        <w:t xml:space="preserve">per-driver demand ranges from 0.046 to 0.855 trips per slot and never exceeds</w:t>
      </w:r>
      <w:r>
        <w:rPr>
          <w:lang w:val="en-US"/>
        </w:rPr>
        <w:t xml:space="preserve"> </w:t>
      </w:r>
      <m:oMath>
        <m:r>
          <m:rPr>
            <m:nor/>
            <m:scr m:val="sans-serif"/>
            <m:sty m:val="p"/>
          </m:rPr>
          <m:t>CAP</m:t>
        </m:r>
      </m:oMath>
      <w:r>
        <w:rPr>
          <w:lang w:val="en-US"/>
        </w:rPr>
        <w:t xml:space="preserve">, so the cap does not bind on the mean profile at all; what it truncates is the upper tail of the Poisson realisation. The effect is nonetheless substantial, and Section 3.3 quantifies it.</w:t>
      </w:r>
    </w:p>
    <w:bookmarkEnd w:id="23"/>
    <w:bookmarkStart w:id="24" w:name="X5330b07773e863470055d6859ba46db1b8feeaf"/>
    <w:p>
      <w:pPr>
        <w:pStyle w:val="Heading3"/>
      </w:pPr>
      <w:r>
        <w:rPr>
          <w:lang w:val="en-US"/>
        </w:rPr>
        <w:t xml:space="preserve">2.1.3 Energy balance, reserve floor and the charging taper</w:t>
      </w:r>
    </w:p>
    <w:p>
      <w:pPr>
        <w:pStyle w:val="FirstParagraph"/>
      </w:pPr>
      <w:r>
        <w:rPr>
          <w:lang w:val="en-US"/>
        </w:rPr>
        <w:t xml:space="preserve">The state of charge evolves deterministically given the action. Driving consumes energy proportional to the trips served:</w:t>
      </w:r>
    </w:p>
    <w:p>
      <w:pPr>
        <w:pStyle w:val="BodyText"/>
      </w:pPr>
      <m:oMathPara>
        <m:oMathParaPr>
          <m:jc m:val="center"/>
        </m:oMathParaPr>
        <m:oMath>
          <m:sSub>
            <m:e>
              <m:r>
                <m:t>s</m:t>
              </m:r>
            </m:e>
            <m:sub>
              <m:r>
                <m:t>t</m:t>
              </m:r>
              <m:r>
                <m:rPr>
                  <m:sty m:val="p"/>
                </m:rPr>
                <m:t>+</m:t>
              </m:r>
              <m:r>
                <m:t>1</m:t>
              </m:r>
            </m:sub>
          </m:sSub>
          <m:r>
            <m:rPr>
              <m:sty m:val="p"/>
            </m:rPr>
            <m:t>=</m:t>
          </m:r>
          <m:sSub>
            <m:e>
              <m:r>
                <m:t>s</m:t>
              </m:r>
            </m:e>
            <m:sub>
              <m:r>
                <m:t>t</m:t>
              </m:r>
            </m:sub>
          </m:sSub>
          <m:r>
            <m:rPr>
              <m:sty m:val="p"/>
            </m:rPr>
            <m:t>−</m:t>
          </m:r>
          <m:f>
            <m:fPr>
              <m:type m:val="bar"/>
            </m:fPr>
            <m:num>
              <m:sSub>
                <m:e>
                  <m:r>
                    <m:t>m</m:t>
                  </m:r>
                </m:e>
                <m:sub>
                  <m:r>
                    <m:t>t</m:t>
                  </m:r>
                </m:sub>
              </m:sSub>
              <m:r>
                <m:t> </m:t>
              </m:r>
              <m:sSub>
                <m:e>
                  <m:r>
                    <m:t>e</m:t>
                  </m:r>
                </m:e>
                <m:sub>
                  <m:r>
                    <m:t>t</m:t>
                  </m:r>
                </m:sub>
              </m:sSub>
            </m:num>
            <m:den>
              <m:r>
                <m:t>Q</m:t>
              </m:r>
            </m:den>
          </m:f>
          <m:r>
            <m:t>  </m:t>
          </m:r>
          <m:r>
            <m:rPr>
              <m:sty m:val="p"/>
            </m:rPr>
            <m:t>(</m:t>
          </m:r>
          <m:r>
            <m:rPr>
              <m:nor/>
              <m:scr m:val="sans-serif"/>
              <m:sty m:val="p"/>
            </m:rPr>
            <m:t>DRIVE</m:t>
          </m:r>
          <m:r>
            <m:rPr>
              <m:sty m:val="p"/>
            </m:rPr>
            <m:t>)</m:t>
          </m:r>
          <m:r>
            <m:rPr>
              <m:sty m:val="p"/>
            </m:rPr>
            <m:t>,</m:t>
          </m:r>
          <m:r>
            <m:t>  </m:t>
          </m:r>
          <m:r>
            <m:t>  </m:t>
          </m:r>
          <m:r>
            <m:rPr>
              <m:sty m:val="p"/>
            </m:rPr>
            <m:t>(</m:t>
          </m:r>
          <m:r>
            <m:t>4</m:t>
          </m:r>
          <m:r>
            <m:rPr>
              <m:sty m:val="p"/>
            </m:rPr>
            <m:t>)</m:t>
          </m:r>
        </m:oMath>
      </m:oMathPara>
    </w:p>
    <w:p>
      <w:pPr>
        <w:pStyle w:val="FirstParagraph"/>
      </w:pPr>
      <w:r>
        <w:rPr>
          <w:lang w:val="en-US"/>
        </w:rPr>
        <w:t xml:space="preserve">where</w:t>
      </w:r>
      <w:r>
        <w:rPr>
          <w:lang w:val="en-US"/>
        </w:rPr>
        <w:t xml:space="preserve"> </w:t>
      </w:r>
      <m:oMath>
        <m:sSub>
          <m:e>
            <m:r>
              <m:t>e</m:t>
            </m:r>
          </m:e>
          <m:sub>
            <m:r>
              <m:t>t</m:t>
            </m:r>
          </m:sub>
        </m:sSub>
        <m:r>
          <m:rPr>
            <m:sty m:val="p"/>
          </m:rPr>
          <m:t>=</m:t>
        </m:r>
        <m:sSub>
          <m:e>
            <m:acc>
              <m:accPr>
                <m:chr m:val="‾"/>
              </m:accPr>
              <m:e>
                <m:r>
                  <m:t>d</m:t>
                </m:r>
              </m:e>
            </m:acc>
          </m:e>
          <m:sub>
            <m:r>
              <m:t>t</m:t>
            </m:r>
          </m:sub>
        </m:sSub>
        <m:r>
          <m:rPr>
            <m:sty m:val="p"/>
          </m:rPr>
          <m:t>×</m:t>
        </m:r>
        <m:r>
          <m:rPr>
            <m:nor/>
            <m:scr m:val="sans-serif"/>
            <m:sty m:val="p"/>
          </m:rPr>
          <m:t>kWh/km</m:t>
        </m:r>
      </m:oMath>
      <w:r>
        <w:rPr>
          <w:lang w:val="en-US"/>
        </w:rPr>
        <w:t xml:space="preserve"> </w:t>
      </w:r>
      <w:r>
        <w:rPr>
          <w:lang w:val="en-US"/>
        </w:rPr>
        <w:t xml:space="preserve">is the mean energy per trip in slot</w:t>
      </w:r>
      <w:r>
        <w:rPr>
          <w:lang w:val="en-US"/>
        </w:rPr>
        <w:t xml:space="preserve"> </w:t>
      </w:r>
      <m:oMath>
        <m:r>
          <m:t>t</m:t>
        </m:r>
      </m:oMath>
      <w:r>
        <w:rPr>
          <w:lang w:val="en-US"/>
        </w:rPr>
        <w:t xml:space="preserve">. Charging adds energy at a rate that depends on the current state of charge through the constant-current/constant-voltage taper</w:t>
      </w:r>
      <w:r>
        <w:rPr>
          <w:lang w:val="en-US"/>
        </w:rPr>
        <w:t xml:space="preserve"> </w:t>
      </w:r>
      <m:oMath>
        <m:r>
          <m:t>τ</m:t>
        </m:r>
      </m:oMath>
      <w:r>
        <w:rPr>
          <w:lang w:val="en-US"/>
        </w:rPr>
        <w:t xml:space="preserve">:</w:t>
      </w:r>
    </w:p>
    <w:p>
      <w:pPr>
        <w:pStyle w:val="BodyText"/>
      </w:pPr>
      <m:oMathPara>
        <m:oMathParaPr>
          <m:jc m:val="center"/>
        </m:oMathParaPr>
        <m:oMath>
          <m:sSub>
            <m:e>
              <m:r>
                <m:t>s</m:t>
              </m:r>
            </m:e>
            <m:sub>
              <m:r>
                <m:t>t</m:t>
              </m:r>
              <m:r>
                <m:rPr>
                  <m:sty m:val="p"/>
                </m:rPr>
                <m:t>+</m:t>
              </m:r>
              <m:r>
                <m:t>1</m:t>
              </m:r>
            </m:sub>
          </m:sSub>
          <m:r>
            <m:rPr>
              <m:sty m:val="p"/>
            </m:rPr>
            <m:t>=</m:t>
          </m:r>
          <m:r>
            <m:rPr>
              <m:sty m:val="p"/>
            </m:rPr>
            <m:t>min</m:t>
          </m:r>
          <m:d>
            <m:dPr>
              <m:begChr m:val="("/>
              <m:sepChr m:val=""/>
              <m:endChr m:val=")"/>
              <m:grow/>
            </m:dPr>
            <m:e>
              <m:r>
                <m:t>1</m:t>
              </m:r>
              <m:r>
                <m:rPr>
                  <m:sty m:val="p"/>
                </m:rPr>
                <m:t>,</m:t>
              </m:r>
              <m:r>
                <m:t> </m:t>
              </m:r>
              <m:sSub>
                <m:e>
                  <m:r>
                    <m:t>s</m:t>
                  </m:r>
                </m:e>
                <m:sub>
                  <m:r>
                    <m:t>t</m:t>
                  </m:r>
                </m:sub>
              </m:sSub>
              <m:r>
                <m:rPr>
                  <m:sty m:val="p"/>
                </m:rPr>
                <m:t>+</m:t>
              </m:r>
              <m:f>
                <m:fPr>
                  <m:type m:val="bar"/>
                </m:fPr>
                <m:num>
                  <m:r>
                    <m:t>P</m:t>
                  </m:r>
                  <m:r>
                    <m:t> </m:t>
                  </m:r>
                  <m:r>
                    <m:t>τ</m:t>
                  </m:r>
                  <m:r>
                    <m:rPr>
                      <m:sty m:val="p"/>
                    </m:rPr>
                    <m:t>(</m:t>
                  </m:r>
                  <m:sSub>
                    <m:e>
                      <m:r>
                        <m:t>s</m:t>
                      </m:r>
                    </m:e>
                    <m:sub>
                      <m:r>
                        <m:t>t</m:t>
                      </m:r>
                    </m:sub>
                  </m:sSub>
                  <m:r>
                    <m:rPr>
                      <m:sty m:val="p"/>
                    </m:rPr>
                    <m:t>)</m:t>
                  </m:r>
                  <m:r>
                    <m:t> </m:t>
                  </m:r>
                  <m:r>
                    <m:t>η</m:t>
                  </m:r>
                  <m:r>
                    <m:t> </m:t>
                  </m:r>
                  <m:r>
                    <m:rPr>
                      <m:sty m:val="p"/>
                    </m:rPr>
                    <m:t>Δ</m:t>
                  </m:r>
                  <m:r>
                    <m:t>t</m:t>
                  </m:r>
                </m:num>
                <m:den>
                  <m:r>
                    <m:t>Q</m:t>
                  </m:r>
                </m:den>
              </m:f>
            </m:e>
          </m:d>
          <m:r>
            <m:t>  </m:t>
          </m:r>
          <m:r>
            <m:rPr>
              <m:sty m:val="p"/>
            </m:rPr>
            <m:t>(</m:t>
          </m:r>
          <m:r>
            <m:rPr>
              <m:nor/>
              <m:scr m:val="sans-serif"/>
              <m:sty m:val="p"/>
            </m:rPr>
            <m:t>CHARGE</m:t>
          </m:r>
          <m:r>
            <m:rPr>
              <m:sty m:val="p"/>
            </m:rPr>
            <m:t>)</m:t>
          </m:r>
          <m:r>
            <m:rPr>
              <m:sty m:val="p"/>
            </m:rPr>
            <m:t>,</m:t>
          </m:r>
          <m:r>
            <m:t>  </m:t>
          </m:r>
          <m:r>
            <m:t>  </m:t>
          </m:r>
          <m:r>
            <m:rPr>
              <m:sty m:val="p"/>
            </m:rPr>
            <m:t>(</m:t>
          </m:r>
          <m:r>
            <m:t>5</m:t>
          </m:r>
          <m:r>
            <m:rPr>
              <m:sty m:val="p"/>
            </m:rPr>
            <m:t>)</m:t>
          </m:r>
        </m:oMath>
      </m:oMathPara>
    </w:p>
    <w:p>
      <w:pPr>
        <w:pStyle w:val="FirstParagraph"/>
      </w:pPr>
      <w:r>
        <w:rPr>
          <w:lang w:val="en-US"/>
        </w:rPr>
        <w:t xml:space="preserve">with rated charger power</w:t>
      </w:r>
      <w:r>
        <w:rPr>
          <w:lang w:val="en-US"/>
        </w:rPr>
        <w:t xml:space="preserve"> </w:t>
      </w:r>
      <m:oMath>
        <m:r>
          <m:t>P</m:t>
        </m:r>
        <m:r>
          <m:rPr>
            <m:sty m:val="p"/>
          </m:rPr>
          <m:t>=</m:t>
        </m:r>
        <m:r>
          <m:t>60</m:t>
        </m:r>
      </m:oMath>
      <w:r>
        <w:rPr>
          <w:lang w:val="en-US"/>
        </w:rPr>
        <w:t xml:space="preserve"> </w:t>
      </w:r>
      <w:r>
        <w:rPr>
          <w:lang w:val="en-US"/>
        </w:rPr>
        <w:t xml:space="preserve">kW, charging efficiency</w:t>
      </w:r>
      <w:r>
        <w:rPr>
          <w:lang w:val="en-US"/>
        </w:rPr>
        <w:t xml:space="preserve"> </w:t>
      </w:r>
      <m:oMath>
        <m:r>
          <m:t>η</m:t>
        </m:r>
        <m:r>
          <m:rPr>
            <m:sty m:val="p"/>
          </m:rPr>
          <m:t>=</m:t>
        </m:r>
        <m:r>
          <m:t>0.92</m:t>
        </m:r>
      </m:oMath>
      <w:r>
        <w:rPr>
          <w:lang w:val="en-US"/>
        </w:rPr>
        <w:t xml:space="preserve">, and</w:t>
      </w:r>
    </w:p>
    <w:p>
      <w:pPr>
        <w:pStyle w:val="BodyText"/>
      </w:pPr>
      <m:oMathPara>
        <m:oMathParaPr>
          <m:jc m:val="center"/>
        </m:oMathParaPr>
        <m:oMath>
          <m:r>
            <m:t>τ</m:t>
          </m:r>
          <m:r>
            <m:rPr>
              <m:sty m:val="p"/>
            </m:rPr>
            <m:t>(</m:t>
          </m:r>
          <m:r>
            <m:t>s</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1.0</m:t>
                    </m:r>
                  </m:e>
                  <m:e>
                    <m:r>
                      <m:t>s</m:t>
                    </m:r>
                    <m:r>
                      <m:rPr>
                        <m:sty m:val="p"/>
                      </m:rPr>
                      <m:t>≤</m:t>
                    </m:r>
                    <m:r>
                      <m:t>0.80</m:t>
                    </m:r>
                  </m:e>
                </m:mr>
                <m:mr>
                  <m:e>
                    <m:r>
                      <m:rPr>
                        <m:sty m:val="p"/>
                      </m:rPr>
                      <m:t>max</m:t>
                    </m:r>
                    <m:d>
                      <m:dPr>
                        <m:begChr m:val="("/>
                        <m:sepChr m:val=""/>
                        <m:endChr m:val=")"/>
                        <m:grow/>
                      </m:dPr>
                      <m:e>
                        <m:r>
                          <m:t>0.15</m:t>
                        </m:r>
                        <m:r>
                          <m:rPr>
                            <m:sty m:val="p"/>
                          </m:rPr>
                          <m:t>,</m:t>
                        </m:r>
                        <m:r>
                          <m:t> </m:t>
                        </m:r>
                        <m:r>
                          <m:t>1</m:t>
                        </m:r>
                        <m:r>
                          <m:rPr>
                            <m:sty m:val="p"/>
                          </m:rPr>
                          <m:t>−</m:t>
                        </m:r>
                        <m:r>
                          <m:t>0.85</m:t>
                        </m:r>
                        <m:r>
                          <m:t> </m:t>
                        </m:r>
                        <m:f>
                          <m:fPr>
                            <m:type m:val="bar"/>
                          </m:fPr>
                          <m:num>
                            <m:r>
                              <m:t>s</m:t>
                            </m:r>
                            <m:r>
                              <m:rPr>
                                <m:sty m:val="p"/>
                              </m:rPr>
                              <m:t>−</m:t>
                            </m:r>
                            <m:r>
                              <m:t>0.80</m:t>
                            </m:r>
                          </m:num>
                          <m:den>
                            <m:r>
                              <m:t>0.20</m:t>
                            </m:r>
                          </m:den>
                        </m:f>
                      </m:e>
                    </m:d>
                  </m:e>
                  <m:e>
                    <m:r>
                      <m:t>s</m:t>
                    </m:r>
                    <m:r>
                      <m:rPr>
                        <m:sty m:val="p"/>
                      </m:rPr>
                      <m:t>&gt;</m:t>
                    </m:r>
                    <m:r>
                      <m:t>0.80</m:t>
                    </m:r>
                    <m:r>
                      <m:rPr>
                        <m:sty m:val="p"/>
                      </m:rPr>
                      <m:t>.</m:t>
                    </m:r>
                  </m:e>
                </m:mr>
              </m:m>
            </m:e>
          </m:d>
          <m:r>
            <m:t>  </m:t>
          </m:r>
          <m:r>
            <m:t>  </m:t>
          </m:r>
          <m:r>
            <m:rPr>
              <m:sty m:val="p"/>
            </m:rPr>
            <m:t>(</m:t>
          </m:r>
          <m:r>
            <m:t>6</m:t>
          </m:r>
          <m:r>
            <m:rPr>
              <m:sty m:val="p"/>
            </m:rPr>
            <m:t>)</m:t>
          </m:r>
        </m:oMath>
      </m:oMathPara>
    </w:p>
    <w:p>
      <w:pPr>
        <w:pStyle w:val="FirstParagraph"/>
      </w:pPr>
      <w:r>
        <w:rPr>
          <w:lang w:val="en-US"/>
        </w:rPr>
        <w:t xml:space="preserve">The reserve floor</w:t>
      </w:r>
      <w:r>
        <w:rPr>
          <w:lang w:val="en-US"/>
        </w:rPr>
        <w:t xml:space="preserve"> </w:t>
      </w:r>
      <m:oMath>
        <m:r>
          <m:t>s</m:t>
        </m:r>
        <m:r>
          <m:rPr>
            <m:sty m:val="p"/>
          </m:rPr>
          <m:t>≥</m:t>
        </m:r>
        <m:sSup>
          <m:e>
            <m:r>
              <m:t>s</m:t>
            </m:r>
          </m:e>
          <m:sup>
            <m:r>
              <m:rPr>
                <m:sty m:val="p"/>
              </m:rPr>
              <m:t>min</m:t>
            </m:r>
          </m:sup>
        </m:sSup>
        <m:r>
          <m:rPr>
            <m:sty m:val="p"/>
          </m:rPr>
          <m:t>=</m:t>
        </m:r>
        <m:r>
          <m:t>0.15</m:t>
        </m:r>
      </m:oMath>
      <w:r>
        <w:rPr>
          <w:lang w:val="en-US"/>
        </w:rPr>
        <w:t xml:space="preserve"> </w:t>
      </w:r>
      <w:r>
        <w:rPr>
          <w:lang w:val="en-US"/>
        </w:rPr>
        <w:t xml:space="preserve">is a</w:t>
      </w:r>
      <w:r>
        <w:rPr>
          <w:lang w:val="en-US"/>
        </w:rPr>
        <w:t xml:space="preserve"> </w:t>
      </w:r>
      <w:r>
        <w:rPr>
          <w:b/>
          <w:bCs/>
          <w:lang w:val="en-US"/>
        </w:rPr>
        <w:t xml:space="preserve">hard</w:t>
      </w:r>
      <w:r>
        <w:rPr>
          <w:lang w:val="en-US"/>
        </w:rPr>
        <w:t xml:space="preserve"> </w:t>
      </w:r>
      <w:r>
        <w:rPr>
          <w:lang w:val="en-US"/>
        </w:rPr>
        <w:t xml:space="preserve">constraint: a slot whose work would breach the floor is infeasible, and the day is recorded as infeasible rather than being repaired. This is not a technicality. An earlier version of this model clamped the state of charge back to the lower bound when it was breached, and the resulting optimisation concluded that the driver should never charge, because a clamped battery is free. The strict floor is what makes the energy budget bind, and therefore what makes the problem non-trivial.</w:t>
      </w:r>
    </w:p>
    <w:p>
      <w:pPr>
        <w:pStyle w:val="BodyText"/>
      </w:pPr>
      <w:r>
        <w:rPr>
          <w:lang w:val="en-US"/>
        </w:rPr>
        <w:t xml:space="preserve">Under the tariff, a driver pays for the charger slot at the charger’s rated power, so the electricity cost of charging in slot</w:t>
      </w:r>
      <w:r>
        <w:rPr>
          <w:lang w:val="en-US"/>
        </w:rPr>
        <w:t xml:space="preserve"> </w:t>
      </w:r>
      <m:oMath>
        <m:r>
          <m:t>t</m:t>
        </m:r>
      </m:oMath>
      <w:r>
        <w:rPr>
          <w:lang w:val="en-US"/>
        </w:rPr>
        <w:t xml:space="preserve"> </w:t>
      </w:r>
      <w:r>
        <w:rPr>
          <w:lang w:val="en-US"/>
        </w:rPr>
        <w:t xml:space="preserve">is</w:t>
      </w:r>
      <w:r>
        <w:rPr>
          <w:lang w:val="en-US"/>
        </w:rPr>
        <w:t xml:space="preserve"> </w:t>
      </w:r>
      <m:oMath>
        <m:r>
          <m:rPr>
            <m:nor/>
            <m:sty m:val="p"/>
          </m:rPr>
          <m:t>price</m:t>
        </m:r>
        <m:r>
          <m:rPr>
            <m:sty m:val="p"/>
          </m:rPr>
          <m:t>(</m:t>
        </m:r>
        <m:r>
          <m:t>t</m:t>
        </m:r>
        <m:r>
          <m:rPr>
            <m:sty m:val="p"/>
          </m:rPr>
          <m:t>)</m:t>
        </m:r>
        <m:r>
          <m:rPr>
            <m:sty m:val="p"/>
          </m:rPr>
          <m:t>×</m:t>
        </m:r>
        <m:r>
          <m:t>P</m:t>
        </m:r>
        <m:r>
          <m:rPr>
            <m:sty m:val="p"/>
          </m:rPr>
          <m:t>×</m:t>
        </m:r>
        <m:r>
          <m:rPr>
            <m:sty m:val="p"/>
          </m:rPr>
          <m:t>Δ</m:t>
        </m:r>
        <m:r>
          <m:t>t</m:t>
        </m:r>
      </m:oMath>
      <w:r>
        <w:rPr>
          <w:lang w:val="en-US"/>
        </w:rPr>
        <w:t xml:space="preserve"> </w:t>
      </w:r>
      <w:r>
        <w:rPr>
          <w:lang w:val="en-US"/>
        </w:rPr>
        <w:t xml:space="preserve">regardless of how much energy the taper allows into the pack. The consequence is that the</w:t>
      </w:r>
      <w:r>
        <w:rPr>
          <w:lang w:val="en-US"/>
        </w:rPr>
        <w:t xml:space="preserve"> </w:t>
      </w:r>
      <w:r>
        <w:rPr>
          <w:i/>
          <w:iCs/>
          <w:lang w:val="en-US"/>
        </w:rPr>
        <w:t xml:space="preserve">marginal</w:t>
      </w:r>
      <w:r>
        <w:rPr>
          <w:lang w:val="en-US"/>
        </w:rPr>
        <w:t xml:space="preserve"> </w:t>
      </w:r>
      <w:r>
        <w:rPr>
          <w:lang w:val="en-US"/>
        </w:rPr>
        <w:t xml:space="preserve">cost of the next kWh is</w:t>
      </w:r>
    </w:p>
    <w:p>
      <w:pPr>
        <w:pStyle w:val="BodyText"/>
      </w:pPr>
      <m:oMathPara>
        <m:oMathParaPr>
          <m:jc m:val="center"/>
        </m:oMathParaPr>
        <m:oMath>
          <m:sSub>
            <m:e>
              <m:r>
                <m:t>c</m:t>
              </m:r>
            </m:e>
            <m:sub>
              <m:r>
                <m:rPr>
                  <m:nor/>
                  <m:scr m:val="sans-serif"/>
                  <m:sty m:val="p"/>
                </m:rPr>
                <m:t>marg</m:t>
              </m:r>
            </m:sub>
          </m:sSub>
          <m:r>
            <m:rPr>
              <m:sty m:val="p"/>
            </m:rPr>
            <m:t>(</m:t>
          </m:r>
          <m:r>
            <m:t>s</m:t>
          </m:r>
          <m:r>
            <m:rPr>
              <m:sty m:val="p"/>
            </m:rPr>
            <m:t>)</m:t>
          </m:r>
          <m:r>
            <m:rPr>
              <m:sty m:val="p"/>
            </m:rPr>
            <m:t>=</m:t>
          </m:r>
          <m:f>
            <m:fPr>
              <m:type m:val="bar"/>
            </m:fPr>
            <m:num>
              <m:r>
                <m:rPr>
                  <m:nor/>
                  <m:sty m:val="p"/>
                </m:rPr>
                <m:t>price</m:t>
              </m:r>
              <m:r>
                <m:rPr>
                  <m:sty m:val="p"/>
                </m:rPr>
                <m:t>(</m:t>
              </m:r>
              <m:r>
                <m:t>t</m:t>
              </m:r>
              <m:r>
                <m:rPr>
                  <m:sty m:val="p"/>
                </m:rPr>
                <m:t>)</m:t>
              </m:r>
            </m:num>
            <m:den>
              <m:r>
                <m:t>η</m:t>
              </m:r>
              <m:r>
                <m:t> </m:t>
              </m:r>
              <m:r>
                <m:t>τ</m:t>
              </m:r>
              <m:r>
                <m:rPr>
                  <m:sty m:val="p"/>
                </m:rPr>
                <m:t>(</m:t>
              </m:r>
              <m:r>
                <m:t>s</m:t>
              </m:r>
              <m:r>
                <m:rPr>
                  <m:sty m:val="p"/>
                </m:rPr>
                <m:t>)</m:t>
              </m:r>
            </m:den>
          </m:f>
          <m:r>
            <m:rPr>
              <m:sty m:val="p"/>
            </m:rPr>
            <m:t>,</m:t>
          </m:r>
          <m:r>
            <m:t>  </m:t>
          </m:r>
          <m:r>
            <m:t>  </m:t>
          </m:r>
          <m:r>
            <m:rPr>
              <m:sty m:val="p"/>
            </m:rPr>
            <m:t>(</m:t>
          </m:r>
          <m:r>
            <m:t>7</m:t>
          </m:r>
          <m:r>
            <m:rPr>
              <m:sty m:val="p"/>
            </m:rPr>
            <m:t>)</m:t>
          </m:r>
        </m:oMath>
      </m:oMathPara>
    </w:p>
    <w:p>
      <w:pPr>
        <w:pStyle w:val="FirstParagraph"/>
      </w:pPr>
      <w:r>
        <w:rPr>
          <w:lang w:val="en-US"/>
        </w:rPr>
        <w:t xml:space="preserve">which is $0.21/kWh while</w:t>
      </w:r>
      <w:r>
        <w:rPr>
          <w:lang w:val="en-US"/>
        </w:rPr>
        <w:t xml:space="preserve"> </w:t>
      </w:r>
      <m:oMath>
        <m:r>
          <m:t>s</m:t>
        </m:r>
        <m:r>
          <m:rPr>
            <m:sty m:val="p"/>
          </m:rPr>
          <m:t>≤</m:t>
        </m:r>
        <m:r>
          <m:t>0.80</m:t>
        </m:r>
      </m:oMath>
      <w:r>
        <w:rPr>
          <w:lang w:val="en-US"/>
        </w:rPr>
        <w:t xml:space="preserve"> </w:t>
      </w:r>
      <w:r>
        <w:rPr>
          <w:lang w:val="en-US"/>
        </w:rPr>
        <w:t xml:space="preserve">and rises to $1.38/kWh at</w:t>
      </w:r>
      <w:r>
        <w:rPr>
          <w:lang w:val="en-US"/>
        </w:rPr>
        <w:t xml:space="preserve"> </w:t>
      </w:r>
      <m:oMath>
        <m:r>
          <m:t>s</m:t>
        </m:r>
        <m:r>
          <m:rPr>
            <m:sty m:val="p"/>
          </m:rPr>
          <m:t>=</m:t>
        </m:r>
        <m:r>
          <m:t>1.00</m:t>
        </m:r>
      </m:oMath>
      <w:r>
        <w:rPr>
          <w:lang w:val="en-US"/>
        </w:rPr>
        <w:t xml:space="preserve"> </w:t>
      </w:r>
      <w:r>
        <w:rPr>
          <w:lang w:val="en-US"/>
        </w:rPr>
        <w:t xml:space="preserve">under the shoulder tariff — a factor of 6.6. We note in Section 3.3 that at the resolution of our time grid this structure is in fact not resolvable, and we treat that as a finding rather than concealing it.</w:t>
      </w:r>
    </w:p>
    <w:bookmarkEnd w:id="24"/>
    <w:bookmarkStart w:id="25" w:name="objective"/>
    <w:p>
      <w:pPr>
        <w:pStyle w:val="Heading3"/>
      </w:pPr>
      <w:r>
        <w:rPr>
          <w:lang w:val="en-US"/>
        </w:rPr>
        <w:t xml:space="preserve">2.1.4 Objective</w:t>
      </w:r>
    </w:p>
    <w:p>
      <w:pPr>
        <w:pStyle w:val="FirstParagraph"/>
      </w:pPr>
      <w:r>
        <w:rPr>
          <w:lang w:val="en-US"/>
        </w:rPr>
        <w:t xml:space="preserve">The driver maximises expected net earnings over the day:</w:t>
      </w:r>
    </w:p>
    <w:p>
      <w:pPr>
        <w:pStyle w:val="BodyText"/>
      </w:pPr>
      <m:oMathPara>
        <m:oMathParaPr>
          <m:jc m:val="center"/>
        </m:oMathParaPr>
        <m:oMath>
          <m:limLow>
            <m:e>
              <m:r>
                <m:rPr>
                  <m:sty m:val="p"/>
                </m:rPr>
                <m:t>max</m:t>
              </m:r>
            </m:e>
            <m:lim>
              <m:r>
                <m:t>π</m:t>
              </m:r>
            </m:lim>
          </m:limLow>
          <m:r>
            <m:t> </m:t>
          </m:r>
          <m:r>
            <m:rPr>
              <m:scr m:val="double-struck"/>
              <m:sty m:val="p"/>
            </m:rPr>
            <m:t>E</m:t>
          </m:r>
          <m:d>
            <m:dPr>
              <m:begChr m:val="["/>
              <m:sepChr m:val=""/>
              <m:endChr m:val="]"/>
              <m:grow/>
            </m:dPr>
            <m:e>
              <m:nary>
                <m:naryPr>
                  <m:chr m:val="∑"/>
                  <m:limLoc m:val="undOvr"/>
                  <m:subHide m:val="off"/>
                  <m:supHide m:val="off"/>
                </m:naryPr>
                <m:sub>
                  <m:r>
                    <m:t>t</m:t>
                  </m:r>
                  <m:r>
                    <m:rPr>
                      <m:sty m:val="p"/>
                    </m:rPr>
                    <m:t>=</m:t>
                  </m:r>
                  <m:r>
                    <m:t>0</m:t>
                  </m:r>
                </m:sub>
                <m:sup>
                  <m:r>
                    <m:t>T</m:t>
                  </m:r>
                  <m:r>
                    <m:rPr>
                      <m:sty m:val="p"/>
                    </m:rPr>
                    <m:t>−</m:t>
                  </m:r>
                  <m:r>
                    <m:t>1</m:t>
                  </m:r>
                </m:sup>
                <m:e>
                  <m:d>
                    <m:dPr>
                      <m:begChr m:val="("/>
                      <m:sepChr m:val=""/>
                      <m:endChr m:val=")"/>
                      <m:grow/>
                    </m:dPr>
                    <m:e>
                      <m:limLow>
                        <m:e>
                          <m:limLow>
                            <m:e>
                              <m:sSub>
                                <m:e>
                                  <m:r>
                                    <m:t>m</m:t>
                                  </m:r>
                                </m:e>
                                <m:sub>
                                  <m:r>
                                    <m:t>t</m:t>
                                  </m:r>
                                </m:sub>
                              </m:sSub>
                              <m:r>
                                <m:t> </m:t>
                              </m:r>
                              <m:sSub>
                                <m:e>
                                  <m:r>
                                    <m:t>f</m:t>
                                  </m:r>
                                </m:e>
                                <m:sub>
                                  <m:r>
                                    <m:t>t</m:t>
                                  </m:r>
                                </m:sub>
                              </m:sSub>
                            </m:e>
                            <m:lim>
                              <m:r>
                                <m:rPr>
                                  <m:sty m:val="p"/>
                                </m:rPr>
                                <m:t>⏟</m:t>
                              </m:r>
                            </m:lim>
                          </m:limLow>
                        </m:e>
                        <m:lim>
                          <m:r>
                            <m:rPr>
                              <m:nor/>
                              <m:scr m:val="sans-serif"/>
                              <m:sty m:val="p"/>
                            </m:rPr>
                            <m:t>fare revenue</m:t>
                          </m:r>
                        </m:lim>
                      </m:limLow>
                      <m:r>
                        <m:rPr>
                          <m:sty m:val="p"/>
                        </m:rPr>
                        <m:t>−</m:t>
                      </m:r>
                      <m:limLow>
                        <m:e>
                          <m:limLow>
                            <m:e>
                              <m:r>
                                <m:rPr>
                                  <m:nor/>
                                  <m:scr m:val="sans-serif"/>
                                  <m:sty m:val="p"/>
                                </m:rPr>
                                <m:t>price</m:t>
                              </m:r>
                              <m:r>
                                <m:rPr>
                                  <m:sty m:val="p"/>
                                </m:rPr>
                                <m:t>(</m:t>
                              </m:r>
                              <m:r>
                                <m:t>t</m:t>
                              </m:r>
                              <m:r>
                                <m:rPr>
                                  <m:sty m:val="p"/>
                                </m:rPr>
                                <m:t>)</m:t>
                              </m:r>
                              <m:r>
                                <m:t> </m:t>
                              </m:r>
                              <m:r>
                                <m:t>P</m:t>
                              </m:r>
                              <m:r>
                                <m:t> </m:t>
                              </m:r>
                              <m:r>
                                <m:rPr>
                                  <m:sty m:val="p"/>
                                </m:rPr>
                                <m:t>Δ</m:t>
                              </m:r>
                              <m:r>
                                <m:t>t</m:t>
                              </m:r>
                              <m:r>
                                <m:rPr>
                                  <m:sty m:val="p"/>
                                </m:rPr>
                                <m:t>⋅</m:t>
                              </m:r>
                              <m:r>
                                <m:rPr>
                                  <m:scr m:val="double-struck"/>
                                  <m:sty m:val="p"/>
                                </m:rPr>
                                <m:t>1</m:t>
                              </m:r>
                              <m:r>
                                <m:rPr>
                                  <m:sty m:val="p"/>
                                </m:rPr>
                                <m:t>{</m:t>
                              </m:r>
                              <m:sSub>
                                <m:e>
                                  <m:r>
                                    <m:t>a</m:t>
                                  </m:r>
                                </m:e>
                                <m:sub>
                                  <m:r>
                                    <m:t>t</m:t>
                                  </m:r>
                                </m:sub>
                              </m:sSub>
                              <m:r>
                                <m:rPr>
                                  <m:sty m:val="p"/>
                                </m:rPr>
                                <m:t>=</m:t>
                              </m:r>
                              <m:r>
                                <m:rPr>
                                  <m:nor/>
                                  <m:scr m:val="sans-serif"/>
                                  <m:sty m:val="p"/>
                                </m:rPr>
                                <m:t>CHARGE</m:t>
                              </m:r>
                              <m:r>
                                <m:rPr>
                                  <m:sty m:val="p"/>
                                </m:rPr>
                                <m:t>}</m:t>
                              </m:r>
                            </m:e>
                            <m:lim>
                              <m:r>
                                <m:rPr>
                                  <m:sty m:val="p"/>
                                </m:rPr>
                                <m:t>⏟</m:t>
                              </m:r>
                            </m:lim>
                          </m:limLow>
                        </m:e>
                        <m:lim>
                          <m:r>
                            <m:rPr>
                              <m:nor/>
                              <m:scr m:val="sans-serif"/>
                              <m:sty m:val="p"/>
                            </m:rPr>
                            <m:t>electricity cost</m:t>
                          </m:r>
                        </m:lim>
                      </m:limLow>
                    </m:e>
                  </m:d>
                </m:e>
              </m:nary>
            </m:e>
          </m:d>
          <m:r>
            <m:rPr>
              <m:sty m:val="p"/>
            </m:rPr>
            <m:t>,</m:t>
          </m:r>
          <m:r>
            <m:t>  </m:t>
          </m:r>
          <m:r>
            <m:t>  </m:t>
          </m:r>
          <m:r>
            <m:rPr>
              <m:sty m:val="p"/>
            </m:rPr>
            <m:t>(</m:t>
          </m:r>
          <m:r>
            <m:t>8</m:t>
          </m:r>
          <m:r>
            <m:rPr>
              <m:sty m:val="p"/>
            </m:rPr>
            <m:t>)</m:t>
          </m:r>
        </m:oMath>
      </m:oMathPara>
    </w:p>
    <w:p>
      <w:pPr>
        <w:pStyle w:val="FirstParagraph"/>
      </w:pPr>
      <w:r>
        <w:rPr>
          <w:lang w:val="en-US"/>
        </w:rPr>
        <w:t xml:space="preserve">subject to (1)–(6) and</w:t>
      </w:r>
      <w:r>
        <w:rPr>
          <w:lang w:val="en-US"/>
        </w:rPr>
        <w:t xml:space="preserve"> </w:t>
      </w:r>
      <m:oMath>
        <m:sSub>
          <m:e>
            <m:r>
              <m:t>s</m:t>
            </m:r>
          </m:e>
          <m:sub>
            <m:r>
              <m:t>t</m:t>
            </m:r>
          </m:sub>
        </m:sSub>
        <m:r>
          <m:rPr>
            <m:sty m:val="p"/>
          </m:rPr>
          <m:t>≥</m:t>
        </m:r>
        <m:sSup>
          <m:e>
            <m:r>
              <m:t>s</m:t>
            </m:r>
          </m:e>
          <m:sup>
            <m:r>
              <m:rPr>
                <m:sty m:val="p"/>
              </m:rPr>
              <m:t>min</m:t>
            </m:r>
          </m:sup>
        </m:sSup>
      </m:oMath>
      <w:r>
        <w:rPr>
          <w:lang w:val="en-US"/>
        </w:rPr>
        <w:t xml:space="preserve"> </w:t>
      </w:r>
      <w:r>
        <w:rPr>
          <w:lang w:val="en-US"/>
        </w:rPr>
        <w:t xml:space="preserve">for all</w:t>
      </w:r>
      <w:r>
        <w:rPr>
          <w:lang w:val="en-US"/>
        </w:rPr>
        <w:t xml:space="preserve"> </w:t>
      </w:r>
      <m:oMath>
        <m:r>
          <m:t>t</m:t>
        </m:r>
      </m:oMath>
      <w:r>
        <w:rPr>
          <w:lang w:val="en-US"/>
        </w:rPr>
        <w:t xml:space="preserve">. Note that fare revenue and electricity cost are components of the</w:t>
      </w:r>
      <w:r>
        <w:rPr>
          <w:lang w:val="en-US"/>
        </w:rPr>
        <w:t xml:space="preserve"> </w:t>
      </w:r>
      <w:r>
        <w:rPr>
          <w:b/>
          <w:bCs/>
          <w:lang w:val="en-US"/>
        </w:rPr>
        <w:t xml:space="preserve">objective</w:t>
      </w:r>
      <w:r>
        <w:rPr>
          <w:lang w:val="en-US"/>
        </w:rPr>
        <w:t xml:space="preserve">, not constraints. When a slot is driven, the driver earns a fare and pays no electricity charge; when a slot is spent charging, the driver pays and earns nothing. The entire tension in the problem is contained in that one sentence.</w:t>
      </w:r>
    </w:p>
    <w:bookmarkEnd w:id="25"/>
    <w:bookmarkEnd w:id="26"/>
    <w:bookmarkStart w:id="31" w:name="data-and-assumptions"/>
    <w:p>
      <w:pPr>
        <w:pStyle w:val="Heading2"/>
      </w:pPr>
      <w:r>
        <w:rPr>
          <w:lang w:val="en-US"/>
        </w:rPr>
        <w:t xml:space="preserve">2.2 Data and assumptions</w:t>
      </w:r>
    </w:p>
    <w:bookmarkStart w:id="27" w:name="demand-fare-and-energy-profiles"/>
    <w:p>
      <w:pPr>
        <w:pStyle w:val="Heading3"/>
      </w:pPr>
      <w:r>
        <w:rPr>
          <w:lang w:val="en-US"/>
        </w:rPr>
        <w:t xml:space="preserve">2.2.1 Demand, fare and energy profiles</w:t>
      </w:r>
    </w:p>
    <w:p>
      <w:pPr>
        <w:pStyle w:val="FirstParagraph"/>
      </w:pPr>
      <w:r>
        <w:rPr>
          <w:lang w:val="en-US"/>
        </w:rPr>
        <w:t xml:space="preserve">We use the New York City Taxi and Limousine Commission Trip Record Data for yellow taxis, January 2024 [2], downloaded from the TLC public repository. Cleaning applies six rules: discard rows with missing key fields; keep</w:t>
      </w:r>
      <w:r>
        <w:rPr>
          <w:lang w:val="en-US"/>
        </w:rPr>
        <w:t xml:space="preserve"> </w:t>
      </w:r>
      <m:oMath>
        <m:r>
          <m:t>0.3</m:t>
        </m:r>
        <m:r>
          <m:rPr>
            <m:sty m:val="p"/>
          </m:rPr>
          <m:t>&lt;</m:t>
        </m:r>
        <m:r>
          <m:rPr>
            <m:nor/>
            <m:scr m:val="sans-serif"/>
            <m:sty m:val="p"/>
          </m:rPr>
          <m:t>trip_distance</m:t>
        </m:r>
        <m:r>
          <m:rPr>
            <m:sty m:val="p"/>
          </m:rPr>
          <m:t>&lt;</m:t>
        </m:r>
        <m:r>
          <m:t>200</m:t>
        </m:r>
      </m:oMath>
      <w:r>
        <w:rPr>
          <w:lang w:val="en-US"/>
        </w:rPr>
        <w:t xml:space="preserve"> </w:t>
      </w:r>
      <w:r>
        <w:rPr>
          <w:lang w:val="en-US"/>
        </w:rPr>
        <w:t xml:space="preserve">miles; keep</w:t>
      </w:r>
      <w:r>
        <w:rPr>
          <w:lang w:val="en-US"/>
        </w:rPr>
        <w:t xml:space="preserve"> </w:t>
      </w:r>
      <m:oMath>
        <m:r>
          <m:t>0</m:t>
        </m:r>
        <m:r>
          <m:rPr>
            <m:sty m:val="p"/>
          </m:rPr>
          <m:t>&lt;</m:t>
        </m:r>
        <m:r>
          <m:rPr>
            <m:nor/>
            <m:scr m:val="sans-serif"/>
            <m:sty m:val="p"/>
          </m:rPr>
          <m:t>total_amount</m:t>
        </m:r>
        <m:r>
          <m:rPr>
            <m:sty m:val="p"/>
          </m:rPr>
          <m:t>&lt;</m:t>
        </m:r>
        <m:r>
          <m:t>500</m:t>
        </m:r>
      </m:oMath>
      <w:r>
        <w:rPr>
          <w:lang w:val="en-US"/>
        </w:rPr>
        <w:t xml:space="preserve"> </w:t>
      </w:r>
      <w:r>
        <w:rPr>
          <w:lang w:val="en-US"/>
        </w:rPr>
        <w:t xml:space="preserve">USD; keep</w:t>
      </w:r>
      <w:r>
        <w:rPr>
          <w:lang w:val="en-US"/>
        </w:rPr>
        <w:t xml:space="preserve"> </w:t>
      </w:r>
      <m:oMath>
        <m:r>
          <m:t>60</m:t>
        </m:r>
        <m:r>
          <m:rPr>
            <m:sty m:val="p"/>
          </m:rPr>
          <m:t>&lt;</m:t>
        </m:r>
        <m:r>
          <m:rPr>
            <m:nor/>
            <m:scr m:val="sans-serif"/>
            <m:sty m:val="p"/>
          </m:rPr>
          <m:t>duration</m:t>
        </m:r>
        <m:r>
          <m:rPr>
            <m:sty m:val="p"/>
          </m:rPr>
          <m:t>&lt;</m:t>
        </m:r>
        <m:r>
          <m:t>3</m:t>
        </m:r>
      </m:oMath>
      <w:r>
        <w:rPr>
          <w:lang w:val="en-US"/>
        </w:rPr>
        <w:t xml:space="preserve"> </w:t>
      </w:r>
      <w:r>
        <w:rPr>
          <w:lang w:val="en-US"/>
        </w:rPr>
        <w:t xml:space="preserve">hours; keep</w:t>
      </w:r>
      <w:r>
        <w:rPr>
          <w:lang w:val="en-US"/>
        </w:rPr>
        <w:t xml:space="preserve"> </w:t>
      </w:r>
      <m:oMath>
        <m:r>
          <m:rPr>
            <m:nor/>
            <m:scr m:val="sans-serif"/>
            <m:sty m:val="p"/>
          </m:rPr>
          <m:t>passenger_count</m:t>
        </m:r>
        <m:r>
          <m:rPr>
            <m:sty m:val="p"/>
          </m:rPr>
          <m:t>&gt;</m:t>
        </m:r>
        <m:r>
          <m:t>0</m:t>
        </m:r>
      </m:oMath>
      <w:r>
        <w:rPr>
          <w:lang w:val="en-US"/>
        </w:rPr>
        <w:t xml:space="preserve">; and keep only calendar days whose trip count exceeds 75% of the median, which avoids partial days polluting the 96-slot profile. This reduces 2,964,624 raw records to 2,803,713 (94.6% retained); restricting to the 30 complete working days leaves</w:t>
      </w:r>
      <w:r>
        <w:rPr>
          <w:lang w:val="en-US"/>
        </w:rPr>
        <w:t xml:space="preserve"> </w:t>
      </w:r>
      <w:r>
        <w:rPr>
          <w:b/>
          <w:bCs/>
          <w:lang w:val="en-US"/>
        </w:rPr>
        <w:t xml:space="preserve">2,739,936 trips</w:t>
      </w:r>
      <w:r>
        <w:rPr>
          <w:lang w:val="en-US"/>
        </w:rPr>
        <w:t xml:space="preserve">, which are pooled to form the 96-slot profile of arrival rate</w:t>
      </w:r>
      <w:r>
        <w:rPr>
          <w:lang w:val="en-US"/>
        </w:rPr>
        <w:t xml:space="preserve"> </w:t>
      </w:r>
      <m:oMath>
        <m:sSub>
          <m:e>
            <m:r>
              <m:t>λ</m:t>
            </m:r>
          </m:e>
          <m:sub>
            <m:r>
              <m:t>t</m:t>
            </m:r>
          </m:sub>
        </m:sSub>
      </m:oMath>
      <w:r>
        <w:rPr>
          <w:lang w:val="en-US"/>
        </w:rPr>
        <w:t xml:space="preserve">, mean fare</w:t>
      </w:r>
      <w:r>
        <w:rPr>
          <w:lang w:val="en-US"/>
        </w:rPr>
        <w:t xml:space="preserve"> </w:t>
      </w:r>
      <m:oMath>
        <m:sSub>
          <m:e>
            <m:r>
              <m:t>f</m:t>
            </m:r>
          </m:e>
          <m:sub>
            <m:r>
              <m:t>t</m:t>
            </m:r>
          </m:sub>
        </m:sSub>
      </m:oMath>
      <w:r>
        <w:rPr>
          <w:lang w:val="en-US"/>
        </w:rPr>
        <w:t xml:space="preserve">, mean trip distance</w:t>
      </w:r>
      <w:r>
        <w:rPr>
          <w:lang w:val="en-US"/>
        </w:rPr>
        <w:t xml:space="preserve"> </w:t>
      </w:r>
      <m:oMath>
        <m:sSub>
          <m:e>
            <m:acc>
              <m:accPr>
                <m:chr m:val="‾"/>
              </m:accPr>
              <m:e>
                <m:r>
                  <m:t>d</m:t>
                </m:r>
              </m:e>
            </m:acc>
          </m:e>
          <m:sub>
            <m:r>
              <m:t>t</m:t>
            </m:r>
          </m:sub>
        </m:sSub>
      </m:oMath>
      <w:r>
        <w:rPr>
          <w:lang w:val="en-US"/>
        </w:rPr>
        <w:t xml:space="preserve"> </w:t>
      </w:r>
      <w:r>
        <w:rPr>
          <w:lang w:val="en-US"/>
        </w:rPr>
        <w:t xml:space="preserve">and mean energy per trip</w:t>
      </w:r>
      <w:r>
        <w:rPr>
          <w:lang w:val="en-US"/>
        </w:rPr>
        <w:t xml:space="preserve"> </w:t>
      </w:r>
      <m:oMath>
        <m:sSub>
          <m:e>
            <m:r>
              <m:t>e</m:t>
            </m:r>
          </m:e>
          <m:sub>
            <m:r>
              <m:t>t</m:t>
            </m:r>
          </m:sub>
        </m:sSub>
      </m:oMath>
      <w:r>
        <w:rPr>
          <w:lang w:val="en-US"/>
        </w:rPr>
        <w:t xml:space="preserve">.</w:t>
      </w:r>
    </w:p>
    <w:p>
      <w:pPr>
        <w:pStyle w:val="BodyText"/>
      </w:pPr>
      <w:r>
        <w:rPr>
          <w:lang w:val="en-US"/>
        </w:rPr>
        <w:t xml:space="preserve">Energy per trip and fare are</w:t>
      </w:r>
      <w:r>
        <w:rPr>
          <w:lang w:val="en-US"/>
        </w:rPr>
        <w:t xml:space="preserve"> </w:t>
      </w:r>
      <w:r>
        <w:rPr>
          <w:b/>
          <w:bCs/>
          <w:lang w:val="en-US"/>
        </w:rPr>
        <w:t xml:space="preserve">derived</w:t>
      </w:r>
      <w:r>
        <w:rPr>
          <w:lang w:val="en-US"/>
        </w:rPr>
        <w:t xml:space="preserve"> </w:t>
      </w:r>
      <w:r>
        <w:rPr>
          <w:lang w:val="en-US"/>
        </w:rPr>
        <w:t xml:space="preserve">from trip distance and unit parameters rather than stored, so that changing a unit parameter in the sensitivity analysis genuinely propagates through the model. An earlier version stored them directly, which caused the peak-to-valley spread of the tariff to have no effect whatsoever on the results — a silent failure that the sensitivity analysis was designed to detect.</w:t>
      </w:r>
    </w:p>
    <w:bookmarkEnd w:id="27"/>
    <w:bookmarkStart w:id="28" w:name="from-the-city-to-one-driver"/>
    <w:p>
      <w:pPr>
        <w:pStyle w:val="Heading3"/>
      </w:pPr>
      <w:r>
        <w:rPr>
          <w:lang w:val="en-US"/>
        </w:rPr>
        <w:t xml:space="preserve">2.2.2 From the city to one driver</w:t>
      </w:r>
    </w:p>
    <w:p>
      <w:pPr>
        <w:pStyle w:val="FirstParagraph"/>
      </w:pPr>
      <w:r>
        <w:rPr>
          <w:lang w:val="en-US"/>
        </w:rPr>
        <w:t xml:space="preserve">The citywide arrival rate is not a per-driver rate. We calibrate an effective fleet size from an assumed peak-hour utilisation of</w:t>
      </w:r>
      <w:r>
        <w:rPr>
          <w:lang w:val="en-US"/>
        </w:rPr>
        <w:t xml:space="preserve"> </w:t>
      </w:r>
      <m:oMath>
        <m:sSub>
          <m:e>
            <m:r>
              <m:t>u</m:t>
            </m:r>
          </m:e>
          <m:sub>
            <m:r>
              <m:rPr>
                <m:nor/>
                <m:scr m:val="sans-serif"/>
                <m:sty m:val="p"/>
              </m:rPr>
              <m:t>peak</m:t>
            </m:r>
          </m:sub>
        </m:sSub>
        <m:r>
          <m:rPr>
            <m:sty m:val="p"/>
          </m:rPr>
          <m:t>=</m:t>
        </m:r>
        <m:r>
          <m:t>85</m:t>
        </m:r>
        <m:r>
          <m:rPr>
            <m:sty m:val="p"/>
          </m:rPr>
          <m:t>%</m:t>
        </m:r>
      </m:oMath>
      <w:r>
        <w:rPr>
          <w:lang w:val="en-US"/>
        </w:rPr>
        <w:t xml:space="preserve">:</w:t>
      </w:r>
    </w:p>
    <w:p>
      <w:pPr>
        <w:pStyle w:val="BodyText"/>
      </w:pPr>
      <m:oMathPara>
        <m:oMathParaPr>
          <m:jc m:val="center"/>
        </m:oMathParaPr>
        <m:oMath>
          <m:sSubSup>
            <m:e>
              <m:r>
                <m:t>λ</m:t>
              </m:r>
            </m:e>
            <m:sub>
              <m:r>
                <m:t>t</m:t>
              </m:r>
            </m:sub>
            <m:sup>
              <m:r>
                <m:rPr>
                  <m:nor/>
                  <m:scr m:val="sans-serif"/>
                  <m:sty m:val="p"/>
                </m:rPr>
                <m:t>driver</m:t>
              </m:r>
            </m:sup>
          </m:sSubSup>
          <m:r>
            <m:rPr>
              <m:sty m:val="p"/>
            </m:rPr>
            <m:t>=</m:t>
          </m:r>
          <m:f>
            <m:fPr>
              <m:type m:val="bar"/>
            </m:fPr>
            <m:num>
              <m:sSubSup>
                <m:e>
                  <m:r>
                    <m:t>λ</m:t>
                  </m:r>
                </m:e>
                <m:sub>
                  <m:r>
                    <m:t>t</m:t>
                  </m:r>
                </m:sub>
                <m:sup>
                  <m:r>
                    <m:rPr>
                      <m:nor/>
                      <m:scr m:val="sans-serif"/>
                      <m:sty m:val="p"/>
                    </m:rPr>
                    <m:t>city</m:t>
                  </m:r>
                </m:sup>
              </m:sSubSup>
            </m:num>
            <m:den>
              <m:sSub>
                <m:e>
                  <m:r>
                    <m:t>N</m:t>
                  </m:r>
                </m:e>
                <m:sub>
                  <m:r>
                    <m:rPr>
                      <m:nor/>
                      <m:scr m:val="sans-serif"/>
                      <m:sty m:val="p"/>
                    </m:rPr>
                    <m:t>fleet</m:t>
                  </m:r>
                </m:sub>
              </m:sSub>
            </m:den>
          </m:f>
          <m:r>
            <m:rPr>
              <m:sty m:val="p"/>
            </m:rPr>
            <m:t>,</m:t>
          </m:r>
          <m:r>
            <m:t>  </m:t>
          </m:r>
          <m:sSub>
            <m:e>
              <m:r>
                <m:t>N</m:t>
              </m:r>
            </m:e>
            <m:sub>
              <m:r>
                <m:rPr>
                  <m:nor/>
                  <m:scr m:val="sans-serif"/>
                  <m:sty m:val="p"/>
                </m:rPr>
                <m:t>fleet</m:t>
              </m:r>
            </m:sub>
          </m:sSub>
          <m:r>
            <m:rPr>
              <m:sty m:val="p"/>
            </m:rPr>
            <m:t>=</m:t>
          </m:r>
          <m:f>
            <m:fPr>
              <m:type m:val="bar"/>
            </m:fPr>
            <m:num>
              <m:limLow>
                <m:e>
                  <m:r>
                    <m:rPr>
                      <m:sty m:val="p"/>
                    </m:rPr>
                    <m:t>max</m:t>
                  </m:r>
                </m:e>
                <m:lim>
                  <m:r>
                    <m:t>t</m:t>
                  </m:r>
                </m:lim>
              </m:limLow>
              <m:sSubSup>
                <m:e>
                  <m:r>
                    <m:t>λ</m:t>
                  </m:r>
                </m:e>
                <m:sub>
                  <m:r>
                    <m:t>t</m:t>
                  </m:r>
                </m:sub>
                <m:sup>
                  <m:r>
                    <m:rPr>
                      <m:nor/>
                      <m:scr m:val="sans-serif"/>
                      <m:sty m:val="p"/>
                    </m:rPr>
                    <m:t>city</m:t>
                  </m:r>
                </m:sup>
              </m:sSubSup>
            </m:num>
            <m:den>
              <m:r>
                <m:rPr>
                  <m:nor/>
                  <m:scr m:val="sans-serif"/>
                  <m:sty m:val="p"/>
                </m:rPr>
                <m:t>CAP</m:t>
              </m:r>
              <m:r>
                <m:rPr>
                  <m:sty m:val="p"/>
                </m:rPr>
                <m:t>×</m:t>
              </m:r>
              <m:sSub>
                <m:e>
                  <m:r>
                    <m:t>u</m:t>
                  </m:r>
                </m:e>
                <m:sub>
                  <m:r>
                    <m:rPr>
                      <m:nor/>
                      <m:scr m:val="sans-serif"/>
                      <m:sty m:val="p"/>
                    </m:rPr>
                    <m:t>peak</m:t>
                  </m:r>
                </m:sub>
              </m:sSub>
            </m:den>
          </m:f>
          <m:r>
            <m:rPr>
              <m:sty m:val="p"/>
            </m:rPr>
            <m:t>=</m:t>
          </m:r>
          <m:f>
            <m:fPr>
              <m:type m:val="bar"/>
            </m:fPr>
            <m:num>
              <m:r>
                <m:t>1684</m:t>
              </m:r>
            </m:num>
            <m:den>
              <m:r>
                <m:t>1.01</m:t>
              </m:r>
              <m:r>
                <m:rPr>
                  <m:sty m:val="p"/>
                </m:rPr>
                <m:t>×</m:t>
              </m:r>
              <m:r>
                <m:t>0.85</m:t>
              </m:r>
            </m:den>
          </m:f>
          <m:r>
            <m:rPr>
              <m:sty m:val="p"/>
            </m:rPr>
            <m:t>≈</m:t>
          </m:r>
          <m:r>
            <m:t>1</m:t>
          </m:r>
          <m:r>
            <m:rPr>
              <m:sty m:val="p"/>
            </m:rPr>
            <m:t>,</m:t>
          </m:r>
          <m:r>
            <m:t>970</m:t>
          </m:r>
          <m:r>
            <m:rPr>
              <m:sty m:val="p"/>
            </m:rPr>
            <m:t>.</m:t>
          </m:r>
          <m:r>
            <m:t>  </m:t>
          </m:r>
          <m:r>
            <m:t>  </m:t>
          </m:r>
          <m:r>
            <m:rPr>
              <m:sty m:val="p"/>
            </m:rPr>
            <m:t>(</m:t>
          </m:r>
          <m:r>
            <m:t>9</m:t>
          </m:r>
          <m:r>
            <m:rPr>
              <m:sty m:val="p"/>
            </m:rPr>
            <m:t>)</m:t>
          </m:r>
        </m:oMath>
      </m:oMathPara>
    </w:p>
    <w:p>
      <w:pPr>
        <w:pStyle w:val="FirstParagraph"/>
      </w:pPr>
      <w:r>
        <w:rPr>
          <w:lang w:val="en-US"/>
        </w:rPr>
        <w:t xml:space="preserve">This step preserves the entire 18.5-fold shape of the curve and corrects only its absolute scale. Using the citywide rate directly as a per-driver rate saturates all 96 slots and erases the intra-day shape entirely, which reduces the model to a statement that charging timing is irrelevant.</w:t>
      </w:r>
    </w:p>
    <w:bookmarkEnd w:id="28"/>
    <w:bookmarkStart w:id="29" w:name="parameters"/>
    <w:p>
      <w:pPr>
        <w:pStyle w:val="Heading3"/>
      </w:pPr>
      <w:r>
        <w:rPr>
          <w:lang w:val="en-US"/>
        </w:rPr>
        <w:t xml:space="preserve">2.2.3 Parameters</w:t>
      </w:r>
    </w:p>
    <w:p>
      <w:pPr>
        <w:pStyle w:val="TableCaption"/>
      </w:pPr>
      <w:r>
        <w:rPr>
          <w:lang w:val="en-US"/>
        </w:rPr>
        <w:t xml:space="preserve">Table 1. Model parameters, their values and their sources.</w:t>
      </w:r>
    </w:p>
    <w:tbl>
      <w:tblPr>
        <w:tblStyle w:val="Table"/>
        <w:tblW w:type="pct" w:w="5000"/>
        <w:tblLayout w:type="fixed"/>
        <w:tblLook w:firstRow="1" w:lastRow="0" w:firstColumn="0" w:lastColumn="0" w:noHBand="0" w:noVBand="0" w:val="0020"/>
      </w:tblPr>
      <w:tblGrid>
        <w:gridCol w:w="935"/>
        <w:gridCol w:w="2551"/>
        <w:gridCol w:w="1792"/>
        <w:gridCol w:w="3746"/>
      </w:tblGrid>
      <w:tr>
        <w:trPr>
          <w:tblHeader w:val="on"/>
          <w:cantSplit/>
        </w:trPr>
        <w:tc>
          <w:tcPr>
            <w:tcW w:w="935" w:type="dxa"/>
          </w:tcPr>
          <w:p>
            <w:pPr>
              <w:pStyle w:val="Compact"/>
            </w:pPr>
            <w:r>
              <w:rPr>
                <w:lang w:val="en-US"/>
              </w:rPr>
              <w:t xml:space="preserve">Symbol</w:t>
            </w:r>
          </w:p>
        </w:tc>
        <w:tc>
          <w:tcPr>
            <w:tcW w:w="2551" w:type="dxa"/>
          </w:tcPr>
          <w:p>
            <w:pPr>
              <w:pStyle w:val="Compact"/>
            </w:pPr>
            <w:r>
              <w:rPr>
                <w:lang w:val="en-US"/>
              </w:rPr>
              <w:t xml:space="preserve">Meaning</w:t>
            </w:r>
          </w:p>
        </w:tc>
        <w:tc>
          <w:tcPr>
            <w:tcW w:w="1792" w:type="dxa"/>
          </w:tcPr>
          <w:p>
            <w:pPr>
              <w:pStyle w:val="Compact"/>
            </w:pPr>
            <w:r>
              <w:rPr>
                <w:lang w:val="en-US"/>
              </w:rPr>
              <w:t xml:space="preserve">Value</w:t>
            </w:r>
          </w:p>
        </w:tc>
        <w:tc>
          <w:tcPr>
            <w:tcW w:w="3746" w:type="dxa"/>
          </w:tcPr>
          <w:p>
            <w:pPr>
              <w:pStyle w:val="Compact"/>
            </w:pPr>
            <w:r>
              <w:rPr>
                <w:lang w:val="en-US"/>
              </w:rPr>
              <w:t xml:space="preserve">Basis</w:t>
            </w:r>
          </w:p>
        </w:tc>
      </w:tr>
      <w:tr>
        <w:trPr>
          <w:cantSplit/>
        </w:trPr>
        <w:tc>
          <w:tcPr>
            <w:tcW w:w="935" w:type="dxa"/>
          </w:tcPr>
          <w:p>
            <w:pPr>
              <w:pStyle w:val="Compact"/>
            </w:pPr>
            <m:oMath>
              <m:r>
                <m:t>Q</m:t>
              </m:r>
            </m:oMath>
            <w:r>
              <w:rPr>
                <w:lang w:val="en-US"/>
              </w:rPr>
              <w:t xml:space="preserve">​</w:t>
            </w:r>
          </w:p>
        </w:tc>
        <w:tc>
          <w:tcPr>
            <w:tcW w:w="2551" w:type="dxa"/>
          </w:tcPr>
          <w:p>
            <w:pPr>
              <w:pStyle w:val="Compact"/>
            </w:pPr>
            <w:r>
              <w:rPr>
                <w:lang w:val="en-US"/>
              </w:rPr>
              <w:t xml:space="preserve">usable pack capacity</w:t>
            </w:r>
          </w:p>
        </w:tc>
        <w:tc>
          <w:tcPr>
            <w:tcW w:w="1792" w:type="dxa"/>
          </w:tcPr>
          <w:p>
            <w:pPr>
              <w:pStyle w:val="Compact"/>
            </w:pPr>
            <w:r>
              <w:rPr>
                <w:lang w:val="en-US"/>
              </w:rPr>
              <w:t xml:space="preserve">40 kWh</w:t>
            </w:r>
          </w:p>
        </w:tc>
        <w:tc>
          <w:tcPr>
            <w:tcW w:w="3746" w:type="dxa"/>
          </w:tcPr>
          <w:p>
            <w:pPr>
              <w:pStyle w:val="Compact"/>
            </w:pPr>
            <w:r>
              <w:rPr>
                <w:lang w:val="en-US"/>
              </w:rPr>
              <w:t xml:space="preserve">BYD e6 / Nissan Leaf class</w:t>
            </w:r>
          </w:p>
        </w:tc>
      </w:tr>
      <w:tr>
        <w:trPr>
          <w:cantSplit/>
        </w:trPr>
        <w:tc>
          <w:tcPr>
            <w:tcW w:w="935" w:type="dxa"/>
          </w:tcPr>
          <w:p>
            <w:pPr>
              <w:pStyle w:val="Compact"/>
            </w:pPr>
            <m:oMath>
              <m:sSup>
                <m:e>
                  <m:r>
                    <m:t>s</m:t>
                  </m:r>
                </m:e>
                <m:sup>
                  <m:r>
                    <m:rPr>
                      <m:sty m:val="p"/>
                    </m:rPr>
                    <m:t>min</m:t>
                  </m:r>
                </m:sup>
              </m:sSup>
            </m:oMath>
            <w:r>
              <w:rPr>
                <w:lang w:val="en-US"/>
              </w:rPr>
              <w:t xml:space="preserve">​</w:t>
            </w:r>
          </w:p>
        </w:tc>
        <w:tc>
          <w:tcPr>
            <w:tcW w:w="2551" w:type="dxa"/>
          </w:tcPr>
          <w:p>
            <w:pPr>
              <w:pStyle w:val="Compact"/>
            </w:pPr>
            <w:r>
              <w:rPr>
                <w:lang w:val="en-US"/>
              </w:rPr>
              <w:t xml:space="preserve">reserve floor</w:t>
            </w:r>
          </w:p>
        </w:tc>
        <w:tc>
          <w:tcPr>
            <w:tcW w:w="1792" w:type="dxa"/>
          </w:tcPr>
          <w:p>
            <w:pPr>
              <w:pStyle w:val="Compact"/>
            </w:pPr>
            <w:r>
              <w:rPr>
                <w:lang w:val="en-US"/>
              </w:rPr>
              <w:t xml:space="preserve">15%</w:t>
            </w:r>
          </w:p>
        </w:tc>
        <w:tc>
          <w:tcPr>
            <w:tcW w:w="3746" w:type="dxa"/>
          </w:tcPr>
          <w:p>
            <w:pPr>
              <w:pStyle w:val="Compact"/>
            </w:pPr>
            <w:r>
              <w:rPr>
                <w:lang w:val="en-US"/>
              </w:rPr>
              <w:t xml:space="preserve">industry practice</w:t>
            </w:r>
          </w:p>
        </w:tc>
      </w:tr>
      <w:tr>
        <w:trPr>
          <w:cantSplit/>
        </w:trPr>
        <w:tc>
          <w:tcPr>
            <w:tcW w:w="935" w:type="dxa"/>
          </w:tcPr>
          <w:p>
            <w:pPr>
              <w:pStyle w:val="Compact"/>
            </w:pPr>
            <m:oMath>
              <m:r>
                <m:t>P</m:t>
              </m:r>
            </m:oMath>
            <w:r>
              <w:rPr>
                <w:lang w:val="en-US"/>
              </w:rPr>
              <w:t xml:space="preserve">​</w:t>
            </w:r>
          </w:p>
        </w:tc>
        <w:tc>
          <w:tcPr>
            <w:tcW w:w="2551" w:type="dxa"/>
          </w:tcPr>
          <w:p>
            <w:pPr>
              <w:pStyle w:val="Compact"/>
            </w:pPr>
            <w:r>
              <w:rPr>
                <w:lang w:val="en-US"/>
              </w:rPr>
              <w:t xml:space="preserve">charger rated power</w:t>
            </w:r>
          </w:p>
        </w:tc>
        <w:tc>
          <w:tcPr>
            <w:tcW w:w="1792" w:type="dxa"/>
          </w:tcPr>
          <w:p>
            <w:pPr>
              <w:pStyle w:val="Compact"/>
            </w:pPr>
            <w:r>
              <w:rPr>
                <w:lang w:val="en-US"/>
              </w:rPr>
              <w:t xml:space="preserve">60 kW</w:t>
            </w:r>
          </w:p>
        </w:tc>
        <w:tc>
          <w:tcPr>
            <w:tcW w:w="3746" w:type="dxa"/>
          </w:tcPr>
          <w:p>
            <w:pPr>
              <w:pStyle w:val="Compact"/>
            </w:pPr>
            <w:r>
              <w:rPr>
                <w:lang w:val="en-US"/>
              </w:rPr>
              <w:t xml:space="preserve">DC fast charging</w:t>
            </w:r>
          </w:p>
        </w:tc>
      </w:tr>
      <w:tr>
        <w:trPr>
          <w:cantSplit/>
        </w:trPr>
        <w:tc>
          <w:tcPr>
            <w:tcW w:w="935" w:type="dxa"/>
          </w:tcPr>
          <w:p>
            <w:pPr>
              <w:pStyle w:val="Compact"/>
            </w:pPr>
            <m:oMath>
              <m:r>
                <m:t>η</m:t>
              </m:r>
            </m:oMath>
            <w:r>
              <w:rPr>
                <w:lang w:val="en-US"/>
              </w:rPr>
              <w:t xml:space="preserve">​</w:t>
            </w:r>
          </w:p>
        </w:tc>
        <w:tc>
          <w:tcPr>
            <w:tcW w:w="2551" w:type="dxa"/>
          </w:tcPr>
          <w:p>
            <w:pPr>
              <w:pStyle w:val="Compact"/>
            </w:pPr>
            <w:r>
              <w:rPr>
                <w:lang w:val="en-US"/>
              </w:rPr>
              <w:t xml:space="preserve">charging efficiency</w:t>
            </w:r>
          </w:p>
        </w:tc>
        <w:tc>
          <w:tcPr>
            <w:tcW w:w="1792" w:type="dxa"/>
          </w:tcPr>
          <w:p>
            <w:pPr>
              <w:pStyle w:val="Compact"/>
            </w:pPr>
            <w:r>
              <w:rPr>
                <w:lang w:val="en-US"/>
              </w:rPr>
              <w:t xml:space="preserve">92%</w:t>
            </w:r>
          </w:p>
        </w:tc>
        <w:tc>
          <w:tcPr>
            <w:tcW w:w="3746" w:type="dxa"/>
          </w:tcPr>
          <w:p>
            <w:pPr>
              <w:pStyle w:val="Compact"/>
            </w:pPr>
            <w:r>
              <w:rPr>
                <w:lang w:val="en-US"/>
              </w:rPr>
              <w:t xml:space="preserve">—</w:t>
            </w:r>
          </w:p>
        </w:tc>
      </w:tr>
      <w:tr>
        <w:trPr>
          <w:cantSplit/>
        </w:trPr>
        <w:tc>
          <w:tcPr>
            <w:tcW w:w="935" w:type="dxa"/>
          </w:tcPr>
          <w:p>
            <w:pPr>
              <w:pStyle w:val="Compact"/>
            </w:pPr>
            <m:oMath>
              <m:sSup>
                <m:e>
                  <m:r>
                    <m:t>s</m:t>
                  </m:r>
                </m:e>
                <m:sup>
                  <m:r>
                    <m:rPr>
                      <m:nor/>
                      <m:scr m:val="sans-serif"/>
                      <m:sty m:val="p"/>
                    </m:rPr>
                    <m:t>CC</m:t>
                  </m:r>
                </m:sup>
              </m:sSup>
            </m:oMath>
            <w:r>
              <w:rPr>
                <w:lang w:val="en-US"/>
              </w:rPr>
              <w:t xml:space="preserve">​</w:t>
            </w:r>
          </w:p>
        </w:tc>
        <w:tc>
          <w:tcPr>
            <w:tcW w:w="2551" w:type="dxa"/>
          </w:tcPr>
          <w:p>
            <w:pPr>
              <w:pStyle w:val="Compact"/>
            </w:pPr>
            <w:r>
              <w:rPr>
                <w:lang w:val="en-US"/>
              </w:rPr>
              <w:t xml:space="preserve">CC-to-CV knee</w:t>
            </w:r>
          </w:p>
        </w:tc>
        <w:tc>
          <w:tcPr>
            <w:tcW w:w="1792" w:type="dxa"/>
          </w:tcPr>
          <w:p>
            <w:pPr>
              <w:pStyle w:val="Compact"/>
            </w:pPr>
            <w:r>
              <w:rPr>
                <w:lang w:val="en-US"/>
              </w:rPr>
              <w:t xml:space="preserve">80%</w:t>
            </w:r>
          </w:p>
        </w:tc>
        <w:tc>
          <w:tcPr>
            <w:tcW w:w="3746" w:type="dxa"/>
          </w:tcPr>
          <w:p>
            <w:pPr>
              <w:pStyle w:val="Compact"/>
            </w:pPr>
            <w:r>
              <w:rPr>
                <w:lang w:val="en-US"/>
              </w:rPr>
              <w:t xml:space="preserve">typical lithium-ion behaviour</w:t>
            </w:r>
          </w:p>
        </w:tc>
      </w:tr>
      <w:tr>
        <w:trPr>
          <w:cantSplit/>
        </w:trPr>
        <w:tc>
          <w:tcPr>
            <w:tcW w:w="935" w:type="dxa"/>
          </w:tcPr>
          <w:p>
            <w:pPr>
              <w:pStyle w:val="Compact"/>
            </w:pPr>
            <m:oMath>
              <m:r>
                <m:rPr>
                  <m:nor/>
                  <m:scr m:val="sans-serif"/>
                  <m:sty m:val="p"/>
                </m:rPr>
                <m:t>CAP</m:t>
              </m:r>
            </m:oMath>
            <w:r>
              <w:rPr>
                <w:lang w:val="en-US"/>
              </w:rPr>
              <w:t xml:space="preserve">​</w:t>
            </w:r>
          </w:p>
        </w:tc>
        <w:tc>
          <w:tcPr>
            <w:tcW w:w="2551" w:type="dxa"/>
          </w:tcPr>
          <w:p>
            <w:pPr>
              <w:pStyle w:val="Compact"/>
            </w:pPr>
            <w:r>
              <w:rPr>
                <w:lang w:val="en-US"/>
              </w:rPr>
              <w:t xml:space="preserve">driver time cap</w:t>
            </w:r>
          </w:p>
        </w:tc>
        <w:tc>
          <w:tcPr>
            <w:tcW w:w="1792" w:type="dxa"/>
          </w:tcPr>
          <w:p>
            <w:pPr>
              <w:pStyle w:val="Compact"/>
            </w:pPr>
            <w:r>
              <w:rPr>
                <w:lang w:val="en-US"/>
              </w:rPr>
              <w:t xml:space="preserve">1.01 trips / 15 min</w:t>
            </w:r>
          </w:p>
        </w:tc>
        <w:tc>
          <w:tcPr>
            <w:tcW w:w="3746" w:type="dxa"/>
          </w:tcPr>
          <w:p>
            <w:pPr>
              <w:pStyle w:val="Compact"/>
            </w:pPr>
            <w:r>
              <w:rPr>
                <w:lang w:val="en-US"/>
              </w:rPr>
              <w:t xml:space="preserve">implied by 14.8 min mean trip duration</w:t>
            </w:r>
          </w:p>
        </w:tc>
      </w:tr>
      <w:tr>
        <w:trPr>
          <w:cantSplit/>
        </w:trPr>
        <w:tc>
          <w:tcPr>
            <w:tcW w:w="935" w:type="dxa"/>
          </w:tcPr>
          <w:p>
            <w:pPr>
              <w:pStyle w:val="Compact"/>
            </w:pPr>
            <m:oMath>
              <m:r>
                <m:rPr>
                  <m:sty m:val="p"/>
                </m:rPr>
                <m:t>Δ</m:t>
              </m:r>
              <m:r>
                <m:t>t</m:t>
              </m:r>
            </m:oMath>
            <w:r>
              <w:rPr>
                <w:lang w:val="en-US"/>
              </w:rPr>
              <w:t xml:space="preserve">​</w:t>
            </w:r>
          </w:p>
        </w:tc>
        <w:tc>
          <w:tcPr>
            <w:tcW w:w="2551" w:type="dxa"/>
          </w:tcPr>
          <w:p>
            <w:pPr>
              <w:pStyle w:val="Compact"/>
            </w:pPr>
            <w:r>
              <w:rPr>
                <w:lang w:val="en-US"/>
              </w:rPr>
              <w:t xml:space="preserve">slot length</w:t>
            </w:r>
          </w:p>
        </w:tc>
        <w:tc>
          <w:tcPr>
            <w:tcW w:w="1792" w:type="dxa"/>
          </w:tcPr>
          <w:p>
            <w:pPr>
              <w:pStyle w:val="Compact"/>
            </w:pPr>
            <w:r>
              <w:rPr>
                <w:lang w:val="en-US"/>
              </w:rPr>
              <w:t xml:space="preserve">15 min</w:t>
            </w:r>
          </w:p>
        </w:tc>
        <w:tc>
          <w:tcPr>
            <w:tcW w:w="3746" w:type="dxa"/>
          </w:tcPr>
          <w:p>
            <w:pPr>
              <w:pStyle w:val="Compact"/>
            </w:pPr>
            <w:r>
              <w:rPr>
                <w:lang w:val="en-US"/>
              </w:rPr>
              <w:t xml:space="preserve">aligned with the demand profile</w:t>
            </w:r>
          </w:p>
        </w:tc>
      </w:tr>
      <w:tr>
        <w:trPr>
          <w:cantSplit/>
        </w:trPr>
        <w:tc>
          <w:tcPr>
            <w:tcW w:w="935" w:type="dxa"/>
          </w:tcPr>
          <w:p>
            <w:pPr>
              <w:pStyle w:val="Compact"/>
            </w:pPr>
            <m:oMath>
              <m:sSub>
                <m:e>
                  <m:r>
                    <m:t>u</m:t>
                  </m:r>
                </m:e>
                <m:sub>
                  <m:r>
                    <m:rPr>
                      <m:nor/>
                      <m:scr m:val="sans-serif"/>
                      <m:sty m:val="p"/>
                    </m:rPr>
                    <m:t>peak</m:t>
                  </m:r>
                </m:sub>
              </m:sSub>
            </m:oMath>
            <w:r>
              <w:rPr>
                <w:lang w:val="en-US"/>
              </w:rPr>
              <w:t xml:space="preserve">​</w:t>
            </w:r>
          </w:p>
        </w:tc>
        <w:tc>
          <w:tcPr>
            <w:tcW w:w="2551" w:type="dxa"/>
          </w:tcPr>
          <w:p>
            <w:pPr>
              <w:pStyle w:val="Compact"/>
            </w:pPr>
            <w:r>
              <w:rPr>
                <w:lang w:val="en-US"/>
              </w:rPr>
              <w:t xml:space="preserve">peak-hour utilisation</w:t>
            </w:r>
          </w:p>
        </w:tc>
        <w:tc>
          <w:tcPr>
            <w:tcW w:w="1792" w:type="dxa"/>
          </w:tcPr>
          <w:p>
            <w:pPr>
              <w:pStyle w:val="Compact"/>
            </w:pPr>
            <w:r>
              <w:rPr>
                <w:lang w:val="en-US"/>
              </w:rPr>
              <w:t xml:space="preserve">85%</w:t>
            </w:r>
          </w:p>
        </w:tc>
        <w:tc>
          <w:tcPr>
            <w:tcW w:w="3746" w:type="dxa"/>
          </w:tcPr>
          <w:p>
            <w:pPr>
              <w:pStyle w:val="Compact"/>
            </w:pPr>
            <w:r>
              <w:rPr>
                <w:lang w:val="en-US"/>
              </w:rPr>
              <w:t xml:space="preserve">calibration assumption, swept in 40%–100%</w:t>
            </w:r>
          </w:p>
        </w:tc>
      </w:tr>
      <w:tr>
        <w:trPr>
          <w:cantSplit/>
        </w:trPr>
        <w:tc>
          <w:tcPr>
            <w:tcW w:w="935" w:type="dxa"/>
          </w:tcPr>
          <w:p>
            <w:pPr>
              <w:pStyle w:val="Compact"/>
            </w:pPr>
            <m:oMath>
              <m:sSub>
                <m:e>
                  <m:r>
                    <m:t>s</m:t>
                  </m:r>
                </m:e>
                <m:sub>
                  <m:r>
                    <m:t>0</m:t>
                  </m:r>
                </m:sub>
              </m:sSub>
            </m:oMath>
            <w:r>
              <w:rPr>
                <w:lang w:val="en-US"/>
              </w:rPr>
              <w:t xml:space="preserve">​</w:t>
            </w:r>
          </w:p>
        </w:tc>
        <w:tc>
          <w:tcPr>
            <w:tcW w:w="2551" w:type="dxa"/>
          </w:tcPr>
          <w:p>
            <w:pPr>
              <w:pStyle w:val="Compact"/>
            </w:pPr>
            <w:r>
              <w:rPr>
                <w:lang w:val="en-US"/>
              </w:rPr>
              <w:t xml:space="preserve">start-of-day state of charge</w:t>
            </w:r>
          </w:p>
        </w:tc>
        <w:tc>
          <w:tcPr>
            <w:tcW w:w="1792" w:type="dxa"/>
          </w:tcPr>
          <w:p>
            <w:pPr>
              <w:pStyle w:val="Compact"/>
            </w:pPr>
            <w:r>
              <w:rPr>
                <w:lang w:val="en-US"/>
              </w:rPr>
              <w:t xml:space="preserve">80%</w:t>
            </w:r>
          </w:p>
        </w:tc>
        <w:tc>
          <w:tcPr>
            <w:tcW w:w="3746" w:type="dxa"/>
          </w:tcPr>
          <w:p>
            <w:pPr>
              <w:pStyle w:val="Compact"/>
            </w:pPr>
            <w:r>
              <w:rPr>
                <w:lang w:val="en-US"/>
              </w:rPr>
              <w:t xml:space="preserve">full battery; relaxed in the cyclic extension</w:t>
            </w:r>
          </w:p>
        </w:tc>
      </w:tr>
    </w:tbl>
    <w:p>
      <w:pPr>
        <w:pStyle w:val="BodyText"/>
      </w:pPr>
      <w:r>
        <w:rPr>
          <w:lang w:val="en-US"/>
        </w:rPr>
        <w:t xml:space="preserve">The time-of-use tariff is a</w:t>
      </w:r>
      <w:r>
        <w:rPr>
          <w:lang w:val="en-US"/>
        </w:rPr>
        <w:t xml:space="preserve"> </w:t>
      </w:r>
      <w:r>
        <w:rPr>
          <w:b/>
          <w:bCs/>
          <w:lang w:val="en-US"/>
        </w:rPr>
        <w:t xml:space="preserve">four-tier assumption</w:t>
      </w:r>
      <w:r>
        <w:rPr>
          <w:lang w:val="en-US"/>
        </w:rPr>
        <w:t xml:space="preserve">, not a measurement, and is swept in the sensitivity analysis:</w:t>
      </w:r>
    </w:p>
    <w:p>
      <w:pPr>
        <w:pStyle w:val="TableCaption"/>
      </w:pPr>
      <w:r>
        <w:rPr>
          <w:lang w:val="en-US"/>
        </w:rPr>
        <w:t xml:space="preserve">Table 2. The assumed four-tier time-of-use tariff.</w:t>
      </w:r>
    </w:p>
    <w:tbl>
      <w:tblPr>
        <w:tblStyle w:val="Table"/>
        <w:tblW w:type="auto" w:w="0"/>
        <w:tblLook w:firstRow="1" w:lastRow="0" w:firstColumn="0" w:lastColumn="0" w:noHBand="0" w:noVBand="0" w:val="0020"/>
      </w:tblPr>
      <w:tblGrid>
        <w:gridCol w:w="2057"/>
        <w:gridCol w:w="4408"/>
        <w:gridCol w:w="2560"/>
      </w:tblGrid>
      <w:tr>
        <w:trPr>
          <w:tblHeader w:val="on"/>
          <w:cantSplit/>
        </w:trPr>
        <w:tc>
          <w:tcPr>
            <w:tcW w:w="2057" w:type="dxa"/>
          </w:tcPr>
          <w:p>
            <w:pPr>
              <w:pStyle w:val="Compact"/>
            </w:pPr>
            <w:r>
              <w:rPr>
                <w:lang w:val="en-US"/>
              </w:rPr>
              <w:t xml:space="preserve">Tier</w:t>
            </w:r>
          </w:p>
        </w:tc>
        <w:tc>
          <w:tcPr>
            <w:tcW w:w="4408" w:type="dxa"/>
          </w:tcPr>
          <w:p>
            <w:pPr>
              <w:pStyle w:val="Compact"/>
            </w:pPr>
            <w:r>
              <w:rPr>
                <w:lang w:val="en-US"/>
              </w:rPr>
              <w:t xml:space="preserve">Hours</w:t>
            </w:r>
          </w:p>
        </w:tc>
        <w:tc>
          <w:tcPr>
            <w:tcW w:w="2560" w:type="dxa"/>
          </w:tcPr>
          <w:p>
            <w:pPr>
              <w:pStyle w:val="Compact"/>
            </w:pPr>
            <w:r>
              <w:rPr>
                <w:lang w:val="en-US"/>
              </w:rPr>
              <w:t xml:space="preserve">Price ($/kWh)</w:t>
            </w:r>
          </w:p>
        </w:tc>
      </w:tr>
      <w:tr>
        <w:trPr>
          <w:cantSplit/>
        </w:trPr>
        <w:tc>
          <w:tcPr>
            <w:tcW w:w="2057" w:type="dxa"/>
          </w:tcPr>
          <w:p>
            <w:pPr>
              <w:pStyle w:val="Compact"/>
            </w:pPr>
            <w:r>
              <w:rPr>
                <w:lang w:val="en-US"/>
              </w:rPr>
              <w:t xml:space="preserve">super-peak</w:t>
            </w:r>
          </w:p>
        </w:tc>
        <w:tc>
          <w:tcPr>
            <w:tcW w:w="4408" w:type="dxa"/>
          </w:tcPr>
          <w:p>
            <w:pPr>
              <w:pStyle w:val="Compact"/>
            </w:pPr>
            <w:r>
              <w:rPr>
                <w:lang w:val="en-US"/>
              </w:rPr>
              <w:t xml:space="preserve">16:00–19:00</w:t>
            </w:r>
          </w:p>
        </w:tc>
        <w:tc>
          <w:tcPr>
            <w:tcW w:w="2560" w:type="dxa"/>
          </w:tcPr>
          <w:p>
            <w:pPr>
              <w:pStyle w:val="Compact"/>
            </w:pPr>
            <w:r>
              <w:rPr>
                <w:lang w:val="en-US"/>
              </w:rPr>
              <w:t xml:space="preserve">0.42</w:t>
            </w:r>
          </w:p>
        </w:tc>
      </w:tr>
      <w:tr>
        <w:trPr>
          <w:cantSplit/>
        </w:trPr>
        <w:tc>
          <w:tcPr>
            <w:tcW w:w="2057" w:type="dxa"/>
          </w:tcPr>
          <w:p>
            <w:pPr>
              <w:pStyle w:val="Compact"/>
            </w:pPr>
            <w:r>
              <w:rPr>
                <w:lang w:val="en-US"/>
              </w:rPr>
              <w:t xml:space="preserve">peak</w:t>
            </w:r>
          </w:p>
        </w:tc>
        <w:tc>
          <w:tcPr>
            <w:tcW w:w="4408" w:type="dxa"/>
          </w:tcPr>
          <w:p>
            <w:pPr>
              <w:pStyle w:val="Compact"/>
            </w:pPr>
            <w:r>
              <w:rPr>
                <w:lang w:val="en-US"/>
              </w:rPr>
              <w:t xml:space="preserve">13:00–16:00, 19:00–20:00</w:t>
            </w:r>
          </w:p>
        </w:tc>
        <w:tc>
          <w:tcPr>
            <w:tcW w:w="2560" w:type="dxa"/>
          </w:tcPr>
          <w:p>
            <w:pPr>
              <w:pStyle w:val="Compact"/>
            </w:pPr>
            <w:r>
              <w:rPr>
                <w:lang w:val="en-US"/>
              </w:rPr>
              <w:t xml:space="preserve">0.28</w:t>
            </w:r>
          </w:p>
        </w:tc>
      </w:tr>
      <w:tr>
        <w:trPr>
          <w:cantSplit/>
        </w:trPr>
        <w:tc>
          <w:tcPr>
            <w:tcW w:w="2057" w:type="dxa"/>
          </w:tcPr>
          <w:p>
            <w:pPr>
              <w:pStyle w:val="Compact"/>
            </w:pPr>
            <w:r>
              <w:rPr>
                <w:lang w:val="en-US"/>
              </w:rPr>
              <w:t xml:space="preserve">shoulder</w:t>
            </w:r>
          </w:p>
        </w:tc>
        <w:tc>
          <w:tcPr>
            <w:tcW w:w="4408" w:type="dxa"/>
          </w:tcPr>
          <w:p>
            <w:pPr>
              <w:pStyle w:val="Compact"/>
            </w:pPr>
            <w:r>
              <w:rPr>
                <w:lang w:val="en-US"/>
              </w:rPr>
              <w:t xml:space="preserve">10:00–13:00, 20:00–23:00</w:t>
            </w:r>
          </w:p>
        </w:tc>
        <w:tc>
          <w:tcPr>
            <w:tcW w:w="2560" w:type="dxa"/>
          </w:tcPr>
          <w:p>
            <w:pPr>
              <w:pStyle w:val="Compact"/>
            </w:pPr>
            <w:r>
              <w:rPr>
                <w:lang w:val="en-US"/>
              </w:rPr>
              <w:t xml:space="preserve">0.19</w:t>
            </w:r>
          </w:p>
        </w:tc>
      </w:tr>
      <w:tr>
        <w:trPr>
          <w:cantSplit/>
        </w:trPr>
        <w:tc>
          <w:tcPr>
            <w:tcW w:w="2057" w:type="dxa"/>
          </w:tcPr>
          <w:p>
            <w:pPr>
              <w:pStyle w:val="Compact"/>
            </w:pPr>
            <w:r>
              <w:rPr>
                <w:lang w:val="en-US"/>
              </w:rPr>
              <w:t xml:space="preserve">off-peak</w:t>
            </w:r>
          </w:p>
        </w:tc>
        <w:tc>
          <w:tcPr>
            <w:tcW w:w="4408" w:type="dxa"/>
          </w:tcPr>
          <w:p>
            <w:pPr>
              <w:pStyle w:val="Compact"/>
            </w:pPr>
            <w:r>
              <w:rPr>
                <w:lang w:val="en-US"/>
              </w:rPr>
              <w:t xml:space="preserve">00:00–10:00, 23:00–24:00</w:t>
            </w:r>
          </w:p>
        </w:tc>
        <w:tc>
          <w:tcPr>
            <w:tcW w:w="2560" w:type="dxa"/>
          </w:tcPr>
          <w:p>
            <w:pPr>
              <w:pStyle w:val="Compact"/>
            </w:pPr>
            <w:r>
              <w:rPr>
                <w:lang w:val="en-US"/>
              </w:rPr>
              <w:t xml:space="preserve">0.11</w:t>
            </w:r>
          </w:p>
        </w:tc>
      </w:tr>
    </w:tbl>
    <w:bookmarkEnd w:id="29"/>
    <w:bookmarkStart w:id="30" w:name="X86609bf82ee4cde76a3ca495c79682c5670efa1"/>
    <w:p>
      <w:pPr>
        <w:pStyle w:val="Heading3"/>
      </w:pPr>
      <w:r>
        <w:rPr>
          <w:lang w:val="en-US"/>
        </w:rPr>
        <w:t xml:space="preserve">2.2.4 A diagnostic on the implied value of time</w:t>
      </w:r>
    </w:p>
    <w:p>
      <w:pPr>
        <w:pStyle w:val="FirstParagraph"/>
      </w:pPr>
      <w:r>
        <w:rPr>
          <w:lang w:val="en-US"/>
        </w:rPr>
        <w:t xml:space="preserve">The model charges the opportunity cost of a slot at the gross fare that the driver would have earned, without deducting cruising time between orders, waiting time for orders, or platform commission. The implied value of time is therefore systematically optimistic: $53.0/h averaged over the day, with a maximum of $93.5/h at 18:00 and a minimum of $7.0/h at 04:30. The literature places charging VOT at $15.20–$27.54/h [10,11]. Our mean is roughly twice the upper end of that range, and the discrepancy is a direct consequence of the modelling choice just described.</w:t>
      </w:r>
    </w:p>
    <w:p>
      <w:pPr>
        <w:pStyle w:val="BodyText"/>
      </w:pPr>
      <w:r>
        <w:rPr>
          <w:lang w:val="en-US"/>
        </w:rPr>
        <w:t xml:space="preserve">Because this threatens the central conclusion rather than merely decorating it, we treat it as a robustness test and rescale fares by a factor 0.294 so that the peak VOT matches the NBER measurement, then re-solve. Section 3.4 reports the outcome: the main conclusion is unchanged.</w:t>
      </w:r>
    </w:p>
    <w:bookmarkEnd w:id="30"/>
    <w:bookmarkEnd w:id="31"/>
    <w:bookmarkStart w:id="36" w:name="X8a14f9c8286a82ea2dcfadb0b9ee7dbaade0b47"/>
    <w:p>
      <w:pPr>
        <w:pStyle w:val="Heading2"/>
      </w:pPr>
      <w:r>
        <w:rPr>
          <w:lang w:val="en-US"/>
        </w:rPr>
        <w:t xml:space="preserve">2.3 Optimization method and solution procedure</w:t>
      </w:r>
    </w:p>
    <w:bookmarkStart w:id="32" w:name="expected-value-dynamic-programming"/>
    <w:p>
      <w:pPr>
        <w:pStyle w:val="Heading3"/>
      </w:pPr>
      <w:r>
        <w:rPr>
          <w:lang w:val="en-US"/>
        </w:rPr>
        <w:t xml:space="preserve">2.3.1 Expected-value dynamic programming</w:t>
      </w:r>
    </w:p>
    <w:p>
      <w:pPr>
        <w:pStyle w:val="FirstParagraph"/>
      </w:pPr>
      <w:r>
        <w:rPr>
          <w:lang w:val="en-US"/>
        </w:rPr>
        <w:t xml:space="preserve">Replacing the random arrival count by its mean gives a deterministic backward-induction problem:</w:t>
      </w:r>
    </w:p>
    <w:p>
      <w:pPr>
        <w:pStyle w:val="BodyText"/>
      </w:pPr>
      <m:oMathPara>
        <m:oMathParaPr>
          <m:jc m:val="center"/>
        </m:oMathParaPr>
        <m:oMath>
          <m:r>
            <m:t>V</m:t>
          </m:r>
          <m:r>
            <m:rPr>
              <m:sty m:val="p"/>
            </m:rPr>
            <m:t>(</m:t>
          </m:r>
          <m:r>
            <m:t>t</m:t>
          </m:r>
          <m:r>
            <m:rPr>
              <m:sty m:val="p"/>
            </m:rPr>
            <m:t>,</m:t>
          </m:r>
          <m:r>
            <m:t>s</m:t>
          </m:r>
          <m:r>
            <m:rPr>
              <m:sty m:val="p"/>
            </m:rPr>
            <m:t>)</m:t>
          </m:r>
          <m:r>
            <m:rPr>
              <m:sty m:val="p"/>
            </m:rPr>
            <m:t>=</m:t>
          </m:r>
          <m:limLow>
            <m:e>
              <m:r>
                <m:rPr>
                  <m:sty m:val="p"/>
                </m:rPr>
                <m:t>max</m:t>
              </m:r>
            </m:e>
            <m:lim>
              <m:r>
                <m:t>a</m:t>
              </m:r>
              <m:r>
                <m:rPr>
                  <m:sty m:val="p"/>
                </m:rPr>
                <m:t>∈</m:t>
              </m:r>
              <m:r>
                <m:rPr>
                  <m:scr m:val="script"/>
                  <m:sty m:val="p"/>
                </m:rPr>
                <m:t>A</m:t>
              </m:r>
            </m:lim>
          </m:limLow>
          <m:d>
            <m:dPr>
              <m:begChr m:val="{"/>
              <m:sepChr m:val=""/>
              <m:endChr m:val="}"/>
              <m:grow/>
            </m:dPr>
            <m:e>
              <m:r>
                <m:t> </m:t>
              </m:r>
              <m:sSub>
                <m:e>
                  <m:r>
                    <m:t>r</m:t>
                  </m:r>
                </m:e>
                <m:sub>
                  <m:r>
                    <m:t>t</m:t>
                  </m:r>
                </m:sub>
              </m:sSub>
              <m:r>
                <m:rPr>
                  <m:sty m:val="p"/>
                </m:rPr>
                <m:t>(</m:t>
              </m:r>
              <m:r>
                <m:t>a</m:t>
              </m:r>
              <m:r>
                <m:rPr>
                  <m:sty m:val="p"/>
                </m:rPr>
                <m:t>)</m:t>
              </m:r>
              <m:r>
                <m:rPr>
                  <m:sty m:val="p"/>
                </m:rPr>
                <m:t>+</m:t>
              </m:r>
              <m:r>
                <m:t>V</m:t>
              </m:r>
              <m:d>
                <m:dPr>
                  <m:begChr m:val="("/>
                  <m:sepChr m:val=""/>
                  <m:endChr m:val=")"/>
                  <m:grow/>
                </m:dPr>
                <m:e>
                  <m:r>
                    <m:t>t</m:t>
                  </m:r>
                  <m:r>
                    <m:rPr>
                      <m:sty m:val="p"/>
                    </m:rPr>
                    <m:t>+</m:t>
                  </m:r>
                  <m:r>
                    <m:t>1</m:t>
                  </m:r>
                  <m:r>
                    <m:rPr>
                      <m:sty m:val="p"/>
                    </m:rPr>
                    <m:t>,</m:t>
                  </m:r>
                  <m:r>
                    <m:t> </m:t>
                  </m:r>
                  <m:sSup>
                    <m:e>
                      <m:r>
                        <m:t>s</m:t>
                      </m:r>
                    </m:e>
                    <m:sup>
                      <m:r>
                        <m:rPr>
                          <m:sty m:val="p"/>
                        </m:rPr>
                        <m:t>′</m:t>
                      </m:r>
                    </m:sup>
                  </m:sSup>
                  <m:r>
                    <m:rPr>
                      <m:sty m:val="p"/>
                    </m:rPr>
                    <m:t>(</m:t>
                  </m:r>
                  <m:r>
                    <m:t>s</m:t>
                  </m:r>
                  <m:r>
                    <m:rPr>
                      <m:sty m:val="p"/>
                    </m:rPr>
                    <m:t>,</m:t>
                  </m:r>
                  <m:r>
                    <m:t>a</m:t>
                  </m:r>
                  <m:r>
                    <m:rPr>
                      <m:sty m:val="p"/>
                    </m:rPr>
                    <m:t>)</m:t>
                  </m:r>
                </m:e>
              </m:d>
            </m:e>
          </m:d>
          <m:r>
            <m:rPr>
              <m:sty m:val="p"/>
            </m:rPr>
            <m:t>,</m:t>
          </m:r>
          <m:r>
            <m:t>  </m:t>
          </m:r>
          <m:r>
            <m:t>  </m:t>
          </m:r>
          <m:r>
            <m:rPr>
              <m:sty m:val="p"/>
            </m:rPr>
            <m:t>(</m:t>
          </m:r>
          <m:r>
            <m:t>10</m:t>
          </m:r>
          <m:r>
            <m:rPr>
              <m:sty m:val="p"/>
            </m:rPr>
            <m:t>)</m:t>
          </m:r>
        </m:oMath>
      </m:oMathPara>
    </w:p>
    <w:p>
      <w:pPr>
        <w:pStyle w:val="FirstParagraph"/>
      </w:pPr>
      <w:r>
        <w:rPr>
          <w:lang w:val="en-US"/>
        </w:rPr>
        <w:t xml:space="preserve">solved by a single backward sweep from</w:t>
      </w:r>
      <w:r>
        <w:rPr>
          <w:lang w:val="en-US"/>
        </w:rPr>
        <w:t xml:space="preserve"> </w:t>
      </w:r>
      <m:oMath>
        <m:r>
          <m:t>V</m:t>
        </m:r>
        <m:r>
          <m:rPr>
            <m:sty m:val="p"/>
          </m:rPr>
          <m:t>(</m:t>
        </m:r>
        <m:r>
          <m:t>T</m:t>
        </m:r>
        <m:r>
          <m:rPr>
            <m:sty m:val="p"/>
          </m:rPr>
          <m:t>,</m:t>
        </m:r>
        <m:r>
          <m:rPr>
            <m:sty m:val="p"/>
          </m:rPr>
          <m:t>⋅</m:t>
        </m:r>
        <m:r>
          <m:rPr>
            <m:sty m:val="p"/>
          </m:rPr>
          <m:t>)</m:t>
        </m:r>
        <m:r>
          <m:rPr>
            <m:sty m:val="p"/>
          </m:rPr>
          <m:t>=</m:t>
        </m:r>
        <m:r>
          <m:t>0</m:t>
        </m:r>
      </m:oMath>
      <w:r>
        <w:rPr>
          <w:lang w:val="en-US"/>
        </w:rPr>
        <w:t xml:space="preserve">. This is retained as a</w:t>
      </w:r>
      <w:r>
        <w:rPr>
          <w:lang w:val="en-US"/>
        </w:rPr>
        <w:t xml:space="preserve"> </w:t>
      </w:r>
      <w:r>
        <w:rPr>
          <w:i/>
          <w:iCs/>
          <w:lang w:val="en-US"/>
        </w:rPr>
        <w:t xml:space="preserve">diagnostic</w:t>
      </w:r>
      <w:r>
        <w:rPr>
          <w:lang w:val="en-US"/>
        </w:rPr>
        <w:t xml:space="preserve">, not as a policy, for the reason given in Section 3.1.</w:t>
      </w:r>
    </w:p>
    <w:bookmarkEnd w:id="32"/>
    <w:bookmarkStart w:id="33" w:name="X4beaf687b44d5fb98c673521ad197a6843b24f3"/>
    <w:p>
      <w:pPr>
        <w:pStyle w:val="Heading3"/>
      </w:pPr>
      <w:r>
        <w:rPr>
          <w:lang w:val="en-US"/>
        </w:rPr>
        <w:t xml:space="preserve">2.3.2 Markov decision process with the arrival count summed out</w:t>
      </w:r>
    </w:p>
    <w:p>
      <w:pPr>
        <w:pStyle w:val="FirstParagraph"/>
      </w:pPr>
      <w:r>
        <w:rPr>
          <w:lang w:val="en-US"/>
        </w:rPr>
        <w:t xml:space="preserve">With Poisson arrivals the state space is unchanged and the random variable is summed out in closed form:</w:t>
      </w:r>
    </w:p>
    <w:p>
      <w:pPr>
        <w:pStyle w:val="BodyText"/>
      </w:pPr>
      <m:oMathPara>
        <m:oMathParaPr>
          <m:jc m:val="center"/>
        </m:oMathParaPr>
        <m:oMath>
          <m:r>
            <m:t>V</m:t>
          </m:r>
          <m:r>
            <m:rPr>
              <m:sty m:val="p"/>
            </m:rPr>
            <m:t>(</m:t>
          </m:r>
          <m:r>
            <m:t>t</m:t>
          </m:r>
          <m:r>
            <m:rPr>
              <m:sty m:val="p"/>
            </m:rPr>
            <m:t>,</m:t>
          </m:r>
          <m:r>
            <m:t>s</m:t>
          </m:r>
          <m:r>
            <m:rPr>
              <m:sty m:val="p"/>
            </m:rPr>
            <m:t>)</m:t>
          </m:r>
          <m:r>
            <m:rPr>
              <m:sty m:val="p"/>
            </m:rPr>
            <m:t>=</m:t>
          </m:r>
          <m:limLow>
            <m:e>
              <m:r>
                <m:rPr>
                  <m:sty m:val="p"/>
                </m:rPr>
                <m:t>max</m:t>
              </m:r>
            </m:e>
            <m:lim>
              <m:r>
                <m:t>a</m:t>
              </m:r>
              <m:r>
                <m:rPr>
                  <m:sty m:val="p"/>
                </m:rPr>
                <m:t>∈</m:t>
              </m:r>
              <m:r>
                <m:rPr>
                  <m:scr m:val="script"/>
                  <m:sty m:val="p"/>
                </m:rPr>
                <m:t>A</m:t>
              </m:r>
            </m:lim>
          </m:limLow>
          <m:d>
            <m:dPr>
              <m:begChr m:val="{"/>
              <m:sepChr m:val=""/>
              <m:endChr m:val="}"/>
              <m:grow/>
            </m:dPr>
            <m:e>
              <m:nary>
                <m:naryPr>
                  <m:chr m:val="∑"/>
                  <m:limLoc m:val="undOvr"/>
                  <m:subHide m:val="off"/>
                  <m:supHide m:val="off"/>
                </m:naryPr>
                <m:sub>
                  <m:r>
                    <m:t>k</m:t>
                  </m:r>
                  <m:r>
                    <m:rPr>
                      <m:sty m:val="p"/>
                    </m:rPr>
                    <m:t>=</m:t>
                  </m:r>
                  <m:r>
                    <m:t>0</m:t>
                  </m:r>
                </m:sub>
                <m:sup>
                  <m:r>
                    <m:t>K</m:t>
                  </m:r>
                </m:sup>
                <m:e>
                  <m:r>
                    <m:t>P</m:t>
                  </m:r>
                </m:e>
              </m:nary>
              <m:r>
                <m:rPr>
                  <m:sty m:val="p"/>
                </m:rPr>
                <m:t>(</m:t>
              </m:r>
              <m:sSub>
                <m:e>
                  <m:r>
                    <m:t>N</m:t>
                  </m:r>
                </m:e>
                <m:sub>
                  <m:r>
                    <m:t>t</m:t>
                  </m:r>
                </m:sub>
              </m:sSub>
              <m:r>
                <m:rPr>
                  <m:sty m:val="p"/>
                </m:rPr>
                <m:t>=</m:t>
              </m:r>
              <m:r>
                <m:t>k</m:t>
              </m:r>
              <m:r>
                <m:rPr>
                  <m:sty m:val="p"/>
                </m:rPr>
                <m:t>)</m:t>
              </m:r>
              <m:d>
                <m:dPr>
                  <m:begChr m:val="["/>
                  <m:sepChr m:val=""/>
                  <m:endChr m:val="]"/>
                  <m:grow/>
                </m:dPr>
                <m:e>
                  <m:r>
                    <m:t> </m:t>
                  </m:r>
                  <m:sSub>
                    <m:e>
                      <m:r>
                        <m:t>r</m:t>
                      </m:r>
                    </m:e>
                    <m:sub>
                      <m:r>
                        <m:t>t</m:t>
                      </m:r>
                    </m:sub>
                  </m:sSub>
                  <m:r>
                    <m:rPr>
                      <m:sty m:val="p"/>
                    </m:rPr>
                    <m:t>(</m:t>
                  </m:r>
                  <m:r>
                    <m:t>k</m:t>
                  </m:r>
                  <m:r>
                    <m:rPr>
                      <m:sty m:val="p"/>
                    </m:rPr>
                    <m:t>,</m:t>
                  </m:r>
                  <m:r>
                    <m:t>a</m:t>
                  </m:r>
                  <m:r>
                    <m:rPr>
                      <m:sty m:val="p"/>
                    </m:rPr>
                    <m:t>)</m:t>
                  </m:r>
                  <m:r>
                    <m:rPr>
                      <m:sty m:val="p"/>
                    </m:rPr>
                    <m:t>+</m:t>
                  </m:r>
                  <m:r>
                    <m:t>V</m:t>
                  </m:r>
                  <m:d>
                    <m:dPr>
                      <m:begChr m:val="("/>
                      <m:sepChr m:val=""/>
                      <m:endChr m:val=")"/>
                      <m:grow/>
                    </m:dPr>
                    <m:e>
                      <m:r>
                        <m:t>t</m:t>
                      </m:r>
                      <m:r>
                        <m:rPr>
                          <m:sty m:val="p"/>
                        </m:rPr>
                        <m:t>+</m:t>
                      </m:r>
                      <m:r>
                        <m:t>1</m:t>
                      </m:r>
                      <m:r>
                        <m:rPr>
                          <m:sty m:val="p"/>
                        </m:rPr>
                        <m:t>,</m:t>
                      </m:r>
                      <m:r>
                        <m:t> </m:t>
                      </m:r>
                      <m:sSup>
                        <m:e>
                          <m:r>
                            <m:t>s</m:t>
                          </m:r>
                        </m:e>
                        <m:sup>
                          <m:r>
                            <m:rPr>
                              <m:sty m:val="p"/>
                            </m:rPr>
                            <m:t>′</m:t>
                          </m:r>
                        </m:sup>
                      </m:sSup>
                      <m:r>
                        <m:rPr>
                          <m:sty m:val="p"/>
                        </m:rPr>
                        <m:t>(</m:t>
                      </m:r>
                      <m:r>
                        <m:t>s</m:t>
                      </m:r>
                      <m:r>
                        <m:rPr>
                          <m:sty m:val="p"/>
                        </m:rPr>
                        <m:t>,</m:t>
                      </m:r>
                      <m:r>
                        <m:t>k</m:t>
                      </m:r>
                      <m:r>
                        <m:rPr>
                          <m:sty m:val="p"/>
                        </m:rPr>
                        <m:t>,</m:t>
                      </m:r>
                      <m:r>
                        <m:t>a</m:t>
                      </m:r>
                      <m:r>
                        <m:rPr>
                          <m:sty m:val="p"/>
                        </m:rPr>
                        <m:t>)</m:t>
                      </m:r>
                    </m:e>
                  </m:d>
                </m:e>
              </m:d>
            </m:e>
          </m:d>
          <m:r>
            <m:rPr>
              <m:sty m:val="p"/>
            </m:rPr>
            <m:t>,</m:t>
          </m:r>
          <m:r>
            <m:t>  </m:t>
          </m:r>
          <m:r>
            <m:t>  </m:t>
          </m:r>
          <m:r>
            <m:rPr>
              <m:sty m:val="p"/>
            </m:rPr>
            <m:t>(</m:t>
          </m:r>
          <m:r>
            <m:t>11</m:t>
          </m:r>
          <m:r>
            <m:rPr>
              <m:sty m:val="p"/>
            </m:rPr>
            <m:t>)</m:t>
          </m:r>
        </m:oMath>
      </m:oMathPara>
    </w:p>
    <w:p>
      <w:pPr>
        <w:pStyle w:val="FirstParagraph"/>
      </w:pPr>
      <w:r>
        <w:rPr>
          <w:lang w:val="en-US"/>
        </w:rPr>
        <w:t xml:space="preserve">where</w:t>
      </w:r>
      <w:r>
        <w:rPr>
          <w:lang w:val="en-US"/>
        </w:rPr>
        <w:t xml:space="preserve"> </w:t>
      </w:r>
      <m:oMath>
        <m:r>
          <m:t>K</m:t>
        </m:r>
        <m:r>
          <m:rPr>
            <m:sty m:val="p"/>
          </m:rPr>
          <m:t>=</m:t>
        </m:r>
        <m:r>
          <m:t>6</m:t>
        </m:r>
      </m:oMath>
      <w:r>
        <w:rPr>
          <w:lang w:val="en-US"/>
        </w:rPr>
        <w:t xml:space="preserve"> </w:t>
      </w:r>
      <w:r>
        <w:rPr>
          <w:lang w:val="en-US"/>
        </w:rPr>
        <w:t xml:space="preserve">(truncation) and</w:t>
      </w:r>
      <w:r>
        <w:rPr>
          <w:lang w:val="en-US"/>
        </w:rPr>
        <w:t xml:space="preserve"> </w:t>
      </w:r>
      <m:oMath>
        <m:r>
          <m:t>P</m:t>
        </m:r>
        <m:r>
          <m:rPr>
            <m:sty m:val="p"/>
          </m:rPr>
          <m:t>(</m:t>
        </m:r>
        <m:sSub>
          <m:e>
            <m:r>
              <m:t>N</m:t>
            </m:r>
          </m:e>
          <m:sub>
            <m:r>
              <m:t>t</m:t>
            </m:r>
          </m:sub>
        </m:sSub>
        <m:r>
          <m:rPr>
            <m:sty m:val="p"/>
          </m:rPr>
          <m:t>=</m:t>
        </m:r>
        <m:r>
          <m:t>k</m:t>
        </m:r>
        <m:r>
          <m:rPr>
            <m:sty m:val="p"/>
          </m:rPr>
          <m:t>)</m:t>
        </m:r>
        <m:r>
          <m:rPr>
            <m:sty m:val="p"/>
          </m:rPr>
          <m:t>=</m:t>
        </m:r>
        <m:f>
          <m:fPr>
            <m:type m:val="bar"/>
          </m:fPr>
          <m:num>
            <m:sSubSup>
              <m:e>
                <m:r>
                  <m:t>λ</m:t>
                </m:r>
              </m:e>
              <m:sub>
                <m:r>
                  <m:t>t</m:t>
                </m:r>
              </m:sub>
              <m:sup>
                <m:r>
                  <m:t>k</m:t>
                </m:r>
              </m:sup>
            </m:sSubSup>
            <m:sSup>
              <m:e>
                <m:r>
                  <m:t>e</m:t>
                </m:r>
              </m:e>
              <m:sup>
                <m:r>
                  <m:rPr>
                    <m:sty m:val="p"/>
                  </m:rPr>
                  <m:t>−</m:t>
                </m:r>
                <m:sSub>
                  <m:e>
                    <m:r>
                      <m:t>λ</m:t>
                    </m:r>
                  </m:e>
                  <m:sub>
                    <m:r>
                      <m:t>t</m:t>
                    </m:r>
                  </m:sub>
                </m:sSub>
              </m:sup>
            </m:sSup>
          </m:num>
          <m:den>
            <m:r>
              <m:t>k</m:t>
            </m:r>
            <m:r>
              <m:rPr>
                <m:sty m:val="p"/>
              </m:rPr>
              <m:t>!</m:t>
            </m:r>
          </m:den>
        </m:f>
      </m:oMath>
      <w:r>
        <w:rPr>
          <w:lang w:val="en-US"/>
        </w:rPr>
        <w:t xml:space="preserve">. The number of states is</w:t>
      </w:r>
      <w:r>
        <w:rPr>
          <w:lang w:val="en-US"/>
        </w:rPr>
        <w:t xml:space="preserve"> </w:t>
      </w:r>
      <m:oMath>
        <m:r>
          <m:t>96</m:t>
        </m:r>
        <m:r>
          <m:rPr>
            <m:sty m:val="p"/>
          </m:rPr>
          <m:t>×</m:t>
        </m:r>
        <m:r>
          <m:t>86</m:t>
        </m:r>
        <m:r>
          <m:rPr>
            <m:sty m:val="p"/>
          </m:rPr>
          <m:t>=</m:t>
        </m:r>
        <m:r>
          <m:t>8</m:t>
        </m:r>
        <m:r>
          <m:rPr>
            <m:sty m:val="p"/>
          </m:rPr>
          <m:t>,</m:t>
        </m:r>
        <m:r>
          <m:t>256</m:t>
        </m:r>
      </m:oMath>
      <w:r>
        <w:rPr>
          <w:lang w:val="en-US"/>
        </w:rPr>
        <w:t xml:space="preserve">, each with three actions, and the entire solve takes milliseconds in pure NumPy with no solver dependency.</w:t>
      </w:r>
    </w:p>
    <w:p>
      <w:pPr>
        <w:pStyle w:val="BodyText"/>
      </w:pPr>
      <w:r>
        <w:rPr>
          <w:lang w:val="en-US"/>
        </w:rPr>
        <w:t xml:space="preserve">A subtlety deserves attention because it silently biases results. When the remaining energy cannot cover a slot’s work, one must decide what happens to that outcome. The correct treatment, matching the simulator, is</w:t>
      </w:r>
      <w:r>
        <w:rPr>
          <w:lang w:val="en-US"/>
        </w:rPr>
        <w:t xml:space="preserve"> </w:t>
      </w:r>
      <w:r>
        <w:rPr>
          <w:b/>
          <w:bCs/>
          <w:lang w:val="en-US"/>
        </w:rPr>
        <w:t xml:space="preserve">partial service</w:t>
      </w:r>
      <w:r>
        <w:rPr>
          <w:lang w:val="en-US"/>
        </w:rPr>
        <w:t xml:space="preserve">: the driver completes as many trips as the energy above the reserve floor allows. An earlier version instead</w:t>
      </w:r>
      <w:r>
        <w:rPr>
          <w:lang w:val="en-US"/>
        </w:rPr>
        <w:t xml:space="preserve"> </w:t>
      </w:r>
      <w:r>
        <w:rPr>
          <w:i/>
          <w:iCs/>
          <w:lang w:val="en-US"/>
        </w:rPr>
        <w:t xml:space="preserve">dropped</w:t>
      </w:r>
      <w:r>
        <w:rPr>
          <w:lang w:val="en-US"/>
        </w:rPr>
        <w:t xml:space="preserve"> </w:t>
      </w:r>
      <w:r>
        <w:rPr>
          <w:lang w:val="en-US"/>
        </w:rPr>
        <w:t xml:space="preserve">such outcomes from the expectation, which discards probability mass and makes the planner’s objective differ from the quantity the evaluation actually measures. We use the consistent rule throughout and report the verification in Section 3.5.</w:t>
      </w:r>
    </w:p>
    <w:bookmarkEnd w:id="33"/>
    <w:bookmarkStart w:id="34" w:name="cyclic-extension-across-days"/>
    <w:p>
      <w:pPr>
        <w:pStyle w:val="Heading3"/>
      </w:pPr>
      <w:r>
        <w:rPr>
          <w:lang w:val="en-US"/>
        </w:rPr>
        <w:t xml:space="preserve">2.3.3 Cyclic extension across days</w:t>
      </w:r>
    </w:p>
    <w:p>
      <w:pPr>
        <w:pStyle w:val="FirstParagraph"/>
      </w:pPr>
      <w:r>
        <w:rPr>
          <w:lang w:val="en-US"/>
        </w:rPr>
        <w:t xml:space="preserve">A single-day model silently assumes that every morning begins with a full battery, which is free. To model a driver who works day after day, the terminal value function is replaced by a day-boundary value function</w:t>
      </w:r>
      <w:r>
        <w:rPr>
          <w:lang w:val="en-US"/>
        </w:rPr>
        <w:t xml:space="preserve"> </w:t>
      </w:r>
      <m:oMath>
        <m:r>
          <m:t>W</m:t>
        </m:r>
      </m:oMath>
      <w:r>
        <w:rPr>
          <w:lang w:val="en-US"/>
        </w:rPr>
        <w:t xml:space="preserve"> </w:t>
      </w:r>
      <w:r>
        <w:rPr>
          <w:lang w:val="en-US"/>
        </w:rPr>
        <w:t xml:space="preserve">and a fixed point is sought:</w:t>
      </w:r>
    </w:p>
    <w:p>
      <w:pPr>
        <w:pStyle w:val="BodyText"/>
      </w:pPr>
      <m:oMathPara>
        <m:oMathParaPr>
          <m:jc m:val="center"/>
        </m:oMathParaPr>
        <m:oMath>
          <m:r>
            <m:t>V</m:t>
          </m:r>
          <m:r>
            <m:rPr>
              <m:sty m:val="p"/>
            </m:rPr>
            <m:t>(</m:t>
          </m:r>
          <m:r>
            <m:t>T</m:t>
          </m:r>
          <m:r>
            <m:rPr>
              <m:sty m:val="p"/>
            </m:rPr>
            <m:t>,</m:t>
          </m:r>
          <m:r>
            <m:t>s</m:t>
          </m:r>
          <m:r>
            <m:rPr>
              <m:sty m:val="p"/>
            </m:rPr>
            <m:t>)</m:t>
          </m:r>
          <m:r>
            <m:rPr>
              <m:sty m:val="p"/>
            </m:rPr>
            <m:t>=</m:t>
          </m:r>
          <m:r>
            <m:t>W</m:t>
          </m:r>
          <m:r>
            <m:rPr>
              <m:sty m:val="p"/>
            </m:rPr>
            <m:t>(</m:t>
          </m:r>
          <m:r>
            <m:t>s</m:t>
          </m:r>
          <m:r>
            <m:rPr>
              <m:sty m:val="p"/>
            </m:rPr>
            <m:t>)</m:t>
          </m:r>
          <m:r>
            <m:rPr>
              <m:sty m:val="p"/>
            </m:rPr>
            <m:t>,</m:t>
          </m:r>
          <m:r>
            <m:t>  </m:t>
          </m:r>
          <m:r>
            <m:t>V</m:t>
          </m:r>
          <m:r>
            <m:rPr>
              <m:sty m:val="p"/>
            </m:rPr>
            <m:t>(</m:t>
          </m:r>
          <m:r>
            <m:t>t</m:t>
          </m:r>
          <m:r>
            <m:rPr>
              <m:sty m:val="p"/>
            </m:rPr>
            <m:t>,</m:t>
          </m:r>
          <m:r>
            <m:t>s</m:t>
          </m:r>
          <m:r>
            <m:rPr>
              <m:sty m:val="p"/>
            </m:rPr>
            <m:t>)</m:t>
          </m:r>
          <m:r>
            <m:rPr>
              <m:sty m:val="p"/>
            </m:rPr>
            <m:t>=</m:t>
          </m:r>
          <m:limLow>
            <m:e>
              <m:r>
                <m:rPr>
                  <m:sty m:val="p"/>
                </m:rPr>
                <m:t>max</m:t>
              </m:r>
            </m:e>
            <m:lim>
              <m:r>
                <m:t>a</m:t>
              </m:r>
            </m:lim>
          </m:limLow>
          <m:r>
            <m:t> </m:t>
          </m:r>
          <m:r>
            <m:rPr>
              <m:scr m:val="double-struck"/>
              <m:sty m:val="p"/>
            </m:rPr>
            <m:t>E</m:t>
          </m:r>
          <m:d>
            <m:dPr>
              <m:begChr m:val="["/>
              <m:sepChr m:val=""/>
              <m:endChr m:val="]"/>
              <m:grow/>
            </m:dPr>
            <m:e>
              <m:r>
                <m:t> </m:t>
              </m:r>
              <m:sSub>
                <m:e>
                  <m:r>
                    <m:t>r</m:t>
                  </m:r>
                </m:e>
                <m:sub>
                  <m:r>
                    <m:t>t</m:t>
                  </m:r>
                </m:sub>
              </m:sSub>
              <m:r>
                <m:rPr>
                  <m:sty m:val="p"/>
                </m:rPr>
                <m:t>(</m:t>
              </m:r>
              <m:r>
                <m:t>a</m:t>
              </m:r>
              <m:r>
                <m:rPr>
                  <m:sty m:val="p"/>
                </m:rPr>
                <m:t>)</m:t>
              </m:r>
              <m:r>
                <m:rPr>
                  <m:sty m:val="p"/>
                </m:rPr>
                <m:t>+</m:t>
              </m:r>
              <m:r>
                <m:t>V</m:t>
              </m:r>
              <m:d>
                <m:dPr>
                  <m:begChr m:val="("/>
                  <m:sepChr m:val=""/>
                  <m:endChr m:val=")"/>
                  <m:grow/>
                </m:dPr>
                <m:e>
                  <m:r>
                    <m:t>t</m:t>
                  </m:r>
                  <m:r>
                    <m:rPr>
                      <m:sty m:val="p"/>
                    </m:rPr>
                    <m:t>+</m:t>
                  </m:r>
                  <m:r>
                    <m:t>1</m:t>
                  </m:r>
                  <m:r>
                    <m:rPr>
                      <m:sty m:val="p"/>
                    </m:rPr>
                    <m:t>,</m:t>
                  </m:r>
                  <m:r>
                    <m:t> </m:t>
                  </m:r>
                  <m:sSup>
                    <m:e>
                      <m:r>
                        <m:t>s</m:t>
                      </m:r>
                    </m:e>
                    <m:sup>
                      <m:r>
                        <m:rPr>
                          <m:sty m:val="p"/>
                        </m:rPr>
                        <m:t>′</m:t>
                      </m:r>
                    </m:sup>
                  </m:sSup>
                  <m:r>
                    <m:rPr>
                      <m:sty m:val="p"/>
                    </m:rPr>
                    <m:t>(</m:t>
                  </m:r>
                  <m:r>
                    <m:t>s</m:t>
                  </m:r>
                  <m:r>
                    <m:rPr>
                      <m:sty m:val="p"/>
                    </m:rPr>
                    <m:t>,</m:t>
                  </m:r>
                  <m:r>
                    <m:t>a</m:t>
                  </m:r>
                  <m:r>
                    <m:rPr>
                      <m:sty m:val="p"/>
                    </m:rPr>
                    <m:t>)</m:t>
                  </m:r>
                </m:e>
              </m:d>
            </m:e>
          </m:d>
          <m:r>
            <m:rPr>
              <m:sty m:val="p"/>
            </m:rPr>
            <m:t>,</m:t>
          </m:r>
          <m:r>
            <m:t>  </m:t>
          </m:r>
          <m:r>
            <m:t>W</m:t>
          </m:r>
          <m:r>
            <m:rPr>
              <m:sty m:val="p"/>
            </m:rPr>
            <m:t>(</m:t>
          </m:r>
          <m:r>
            <m:t>s</m:t>
          </m:r>
          <m:r>
            <m:rPr>
              <m:sty m:val="p"/>
            </m:rPr>
            <m:t>)</m:t>
          </m:r>
          <m:r>
            <m:rPr>
              <m:sty m:val="p"/>
            </m:rPr>
            <m:t>=</m:t>
          </m:r>
          <m:r>
            <m:t>V</m:t>
          </m:r>
          <m:r>
            <m:rPr>
              <m:sty m:val="p"/>
            </m:rPr>
            <m:t>(</m:t>
          </m:r>
          <m:r>
            <m:t>0</m:t>
          </m:r>
          <m:r>
            <m:rPr>
              <m:sty m:val="p"/>
            </m:rPr>
            <m:t>,</m:t>
          </m:r>
          <m:r>
            <m:t>s</m:t>
          </m:r>
          <m:r>
            <m:rPr>
              <m:sty m:val="p"/>
            </m:rPr>
            <m:t>)</m:t>
          </m:r>
          <m:r>
            <m:rPr>
              <m:sty m:val="p"/>
            </m:rPr>
            <m:t>.</m:t>
          </m:r>
          <m:r>
            <m:t>  </m:t>
          </m:r>
          <m:r>
            <m:t>  </m:t>
          </m:r>
          <m:r>
            <m:rPr>
              <m:sty m:val="p"/>
            </m:rPr>
            <m:t>(</m:t>
          </m:r>
          <m:r>
            <m:t>12</m:t>
          </m:r>
          <m:r>
            <m:rPr>
              <m:sty m:val="p"/>
            </m:rPr>
            <m:t>)</m:t>
          </m:r>
        </m:oMath>
      </m:oMathPara>
    </w:p>
    <w:p>
      <w:pPr>
        <w:pStyle w:val="FirstParagraph"/>
      </w:pPr>
      <w:r>
        <w:rPr>
          <w:lang w:val="en-US"/>
        </w:rPr>
        <w:t xml:space="preserve">Because</w:t>
      </w:r>
      <w:r>
        <w:rPr>
          <w:lang w:val="en-US"/>
        </w:rPr>
        <w:t xml:space="preserve"> </w:t>
      </w:r>
      <m:oMath>
        <m:r>
          <m:t>T</m:t>
        </m:r>
        <m:r>
          <m:rPr>
            <m:sty m:val="p"/>
          </m:rPr>
          <m:t>(</m:t>
        </m:r>
        <m:r>
          <m:t>W</m:t>
        </m:r>
        <m:r>
          <m:rPr>
            <m:sty m:val="p"/>
          </m:rPr>
          <m:t>+</m:t>
        </m:r>
        <m:r>
          <m:t>c</m:t>
        </m:r>
        <m:r>
          <m:rPr>
            <m:sty m:val="p"/>
          </m:rPr>
          <m:t>)</m:t>
        </m:r>
        <m:r>
          <m:rPr>
            <m:sty m:val="p"/>
          </m:rPr>
          <m:t>=</m:t>
        </m:r>
        <m:r>
          <m:t>T</m:t>
        </m:r>
        <m:r>
          <m:rPr>
            <m:sty m:val="p"/>
          </m:rPr>
          <m:t>(</m:t>
        </m:r>
        <m:r>
          <m:t>W</m:t>
        </m:r>
        <m:r>
          <m:rPr>
            <m:sty m:val="p"/>
          </m:rPr>
          <m:t>)</m:t>
        </m:r>
        <m:r>
          <m:rPr>
            <m:sty m:val="p"/>
          </m:rPr>
          <m:t>+</m:t>
        </m:r>
        <m:r>
          <m:t>c</m:t>
        </m:r>
      </m:oMath>
      <w:r>
        <w:rPr>
          <w:lang w:val="en-US"/>
        </w:rPr>
        <w:t xml:space="preserve"> </w:t>
      </w:r>
      <w:r>
        <w:rPr>
          <w:lang w:val="en-US"/>
        </w:rPr>
        <w:t xml:space="preserve">for any constant</w:t>
      </w:r>
      <w:r>
        <w:rPr>
          <w:lang w:val="en-US"/>
        </w:rPr>
        <w:t xml:space="preserve"> </w:t>
      </w:r>
      <m:oMath>
        <m:r>
          <m:t>c</m:t>
        </m:r>
      </m:oMath>
      <w:r>
        <w:rPr>
          <w:lang w:val="en-US"/>
        </w:rPr>
        <w:t xml:space="preserve">, the fixed point is determined only up to an additive constant: the level of</w:t>
      </w:r>
      <w:r>
        <w:rPr>
          <w:lang w:val="en-US"/>
        </w:rPr>
        <w:t xml:space="preserve"> </w:t>
      </w:r>
      <m:oMath>
        <m:r>
          <m:t>W</m:t>
        </m:r>
      </m:oMath>
      <w:r>
        <w:rPr>
          <w:lang w:val="en-US"/>
        </w:rPr>
        <w:t xml:space="preserve"> </w:t>
      </w:r>
      <w:r>
        <w:rPr>
          <w:lang w:val="en-US"/>
        </w:rPr>
        <w:t xml:space="preserve">drifts by the average daily reward on every sweep. Centring</w:t>
      </w:r>
      <w:r>
        <w:rPr>
          <w:lang w:val="en-US"/>
        </w:rPr>
        <w:t xml:space="preserve"> </w:t>
      </w:r>
      <m:oMath>
        <m:r>
          <m:t>W</m:t>
        </m:r>
      </m:oMath>
      <w:r>
        <w:rPr>
          <w:lang w:val="en-US"/>
        </w:rPr>
        <w:t xml:space="preserve"> </w:t>
      </w:r>
      <w:r>
        <w:rPr>
          <w:lang w:val="en-US"/>
        </w:rPr>
        <w:t xml:space="preserve">after each sweep removes this drift and the remaining operator contracts; without centring the iteration diverges, which we measured as a residual of</w:t>
      </w:r>
      <w:r>
        <w:rPr>
          <w:lang w:val="en-US"/>
        </w:rPr>
        <w:t xml:space="preserve"> </w:t>
      </w:r>
      <m:oMath>
        <m:r>
          <m:t>9.3</m:t>
        </m:r>
        <m:r>
          <m:rPr>
            <m:sty m:val="p"/>
          </m:rPr>
          <m:t>×</m:t>
        </m:r>
        <m:sSup>
          <m:e>
            <m:r>
              <m:t>10</m:t>
            </m:r>
          </m:e>
          <m:sup>
            <m:r>
              <m:t>2</m:t>
            </m:r>
          </m:sup>
        </m:sSup>
      </m:oMath>
      <w:r>
        <w:rPr>
          <w:lang w:val="en-US"/>
        </w:rPr>
        <w:t xml:space="preserve"> </w:t>
      </w:r>
      <w:r>
        <w:rPr>
          <w:lang w:val="en-US"/>
        </w:rPr>
        <w:t xml:space="preserve">after 400 sweeps. With centring the iteration converges in 34 sweeps to a centred residual of</w:t>
      </w:r>
      <w:r>
        <w:rPr>
          <w:lang w:val="en-US"/>
        </w:rPr>
        <w:t xml:space="preserve"> </w:t>
      </w:r>
      <m:oMath>
        <m:r>
          <m:t>9.29</m:t>
        </m:r>
        <m:r>
          <m:rPr>
            <m:sty m:val="p"/>
          </m:rPr>
          <m:t>×</m:t>
        </m:r>
        <m:sSup>
          <m:e>
            <m:r>
              <m:t>10</m:t>
            </m:r>
          </m:e>
          <m:sup>
            <m:r>
              <m:rPr>
                <m:sty m:val="p"/>
              </m:rPr>
              <m:t>−</m:t>
            </m:r>
            <m:r>
              <m:t>10</m:t>
            </m:r>
          </m:sup>
        </m:sSup>
      </m:oMath>
      <w:r>
        <w:rPr>
          <w:lang w:val="en-US"/>
        </w:rPr>
        <w:t xml:space="preserve">. We verify the fixed point independently with finite-horizon dynamic programs over</w:t>
      </w:r>
      <w:r>
        <w:rPr>
          <w:lang w:val="en-US"/>
        </w:rPr>
        <w:t xml:space="preserve"> </w:t>
      </w:r>
      <m:oMath>
        <m:r>
          <m:t>D</m:t>
        </m:r>
        <m:r>
          <m:rPr>
            <m:sty m:val="p"/>
          </m:rPr>
          <m:t>=</m:t>
        </m:r>
        <m:r>
          <m:t>7</m:t>
        </m:r>
      </m:oMath>
      <w:r>
        <w:rPr>
          <w:lang w:val="en-US"/>
        </w:rPr>
        <w:t xml:space="preserve">, 14 and 20 days.</w:t>
      </w:r>
    </w:p>
    <w:p>
      <w:pPr>
        <w:pStyle w:val="BodyText"/>
      </w:pPr>
      <w:r>
        <w:rPr>
          <w:lang w:val="en-US"/>
        </w:rPr>
        <w:t xml:space="preserve">The shadow price of cross-day stored energy is then read off the marginal value of the day-boundary function,</w:t>
      </w:r>
    </w:p>
    <w:p>
      <w:pPr>
        <w:pStyle w:val="BodyText"/>
      </w:pPr>
      <m:oMathPara>
        <m:oMathParaPr>
          <m:jc m:val="center"/>
        </m:oMathParaPr>
        <m:oMath>
          <m:r>
            <m:t>μ</m:t>
          </m:r>
          <m:r>
            <m:rPr>
              <m:sty m:val="p"/>
            </m:rPr>
            <m:t>=</m:t>
          </m:r>
          <m:f>
            <m:fPr>
              <m:type m:val="bar"/>
            </m:fPr>
            <m:num>
              <m:r>
                <m:t>d</m:t>
              </m:r>
              <m:r>
                <m:t>W</m:t>
              </m:r>
            </m:num>
            <m:den>
              <m:r>
                <m:t>d</m:t>
              </m:r>
              <m:r>
                <m:t>s</m:t>
              </m:r>
            </m:den>
          </m:f>
          <m:sSub>
            <m:e>
              <m:r>
                <m:rPr>
                  <m:sty m:val="p"/>
                </m:rPr>
                <m:t>|</m:t>
              </m:r>
            </m:e>
            <m:sub>
              <m:r>
                <m:rPr>
                  <m:nor/>
                  <m:scr m:val="sans-serif"/>
                  <m:sty m:val="p"/>
                </m:rPr>
                <m:t>SOC</m:t>
              </m:r>
              <m:r>
                <m:rPr>
                  <m:sty m:val="p"/>
                </m:rPr>
                <m:t>∈</m:t>
              </m:r>
              <m:r>
                <m:rPr>
                  <m:sty m:val="p"/>
                </m:rPr>
                <m:t>[</m:t>
              </m:r>
              <m:r>
                <m:t>0.30</m:t>
              </m:r>
              <m:r>
                <m:rPr>
                  <m:sty m:val="p"/>
                </m:rPr>
                <m:t>,</m:t>
              </m:r>
              <m:r>
                <m:t> </m:t>
              </m:r>
              <m:r>
                <m:t>0.95</m:t>
              </m:r>
              <m:r>
                <m:rPr>
                  <m:sty m:val="p"/>
                </m:rPr>
                <m:t>]</m:t>
              </m:r>
            </m:sub>
          </m:sSub>
          <m:r>
            <m:t> </m:t>
          </m:r>
          <m:r>
            <m:rPr>
              <m:nor/>
              <m:sty m:val="p"/>
            </m:rPr>
            <m:t>(per kWh)</m:t>
          </m:r>
          <m:r>
            <m:rPr>
              <m:sty m:val="p"/>
            </m:rPr>
            <m:t>,</m:t>
          </m:r>
          <m:r>
            <m:t>  </m:t>
          </m:r>
          <m:r>
            <m:t>  </m:t>
          </m:r>
          <m:r>
            <m:rPr>
              <m:sty m:val="p"/>
            </m:rPr>
            <m:t>(</m:t>
          </m:r>
          <m:r>
            <m:t>13</m:t>
          </m:r>
          <m:r>
            <m:rPr>
              <m:sty m:val="p"/>
            </m:rPr>
            <m:t>)</m:t>
          </m:r>
        </m:oMath>
      </m:oMathPara>
    </w:p>
    <w:p>
      <w:pPr>
        <w:pStyle w:val="FirstParagraph"/>
      </w:pPr>
      <w:r>
        <w:rPr>
          <w:lang w:val="en-US"/>
        </w:rPr>
        <w:t xml:space="preserve">evaluated over the band of states the driver actually operates in.</w:t>
      </w:r>
    </w:p>
    <w:bookmarkEnd w:id="34"/>
    <w:bookmarkStart w:id="35" w:name="why-not-milp"/>
    <w:p>
      <w:pPr>
        <w:pStyle w:val="Heading3"/>
      </w:pPr>
      <w:r>
        <w:rPr>
          <w:lang w:val="en-US"/>
        </w:rPr>
        <w:t xml:space="preserve">2.3.4 Why not MILP</w:t>
      </w:r>
    </w:p>
    <w:p>
      <w:pPr>
        <w:pStyle w:val="FirstParagraph"/>
      </w:pPr>
      <w:r>
        <w:rPr>
          <w:lang w:val="en-US"/>
        </w:rPr>
        <w:t xml:space="preserve">The problem is path-dependent and sequential. A MILP formulation is possible but requires a large number of auxiliary variables — big-M constants and indicators — to encode path dependence, and its state space grows with the number of vehicles. Dynamic programming closes the single-driver case exactly and corresponds directly to the dynamic-programming content of the course. The method and the problem are matched rather than merely coexisting.</w:t>
      </w:r>
    </w:p>
    <w:bookmarkEnd w:id="35"/>
    <w:bookmarkEnd w:id="36"/>
    <w:bookmarkEnd w:id="37"/>
    <w:bookmarkStart w:id="57" w:name="results-and-discussion"/>
    <w:p>
      <w:pPr>
        <w:pStyle w:val="Heading1"/>
      </w:pPr>
      <w:r>
        <w:rPr>
          <w:lang w:val="en-US"/>
        </w:rPr>
        <w:t xml:space="preserve">3. Results and Discussion</w:t>
      </w:r>
    </w:p>
    <w:p>
      <w:pPr>
        <w:pStyle w:val="FirstParagraph"/>
      </w:pPr>
      <w:r>
        <w:rPr>
          <w:lang w:val="en-US"/>
        </w:rPr>
        <w:t xml:space="preserve">All results below are produced by</w:t>
      </w:r>
      <w:r>
        <w:rPr>
          <w:lang w:val="en-US"/>
        </w:rPr>
        <w:t xml:space="preserve"> </w:t>
      </w:r>
      <w:r>
        <w:rPr>
          <w:rStyle w:val="VerbatimChar"/>
          <w:lang w:val="en-US"/>
        </w:rPr>
        <w:t xml:space="preserve">code/src/run_experiments.py</w:t>
      </w:r>
      <w:r>
        <w:rPr>
          <w:lang w:val="en-US"/>
        </w:rPr>
        <w:t xml:space="preserve">,</w:t>
      </w:r>
      <w:r>
        <w:rPr>
          <w:lang w:val="en-US"/>
        </w:rPr>
        <w:t xml:space="preserve"> </w:t>
      </w:r>
      <w:r>
        <w:rPr>
          <w:rStyle w:val="VerbatimChar"/>
          <w:lang w:val="en-US"/>
        </w:rPr>
        <w:t xml:space="preserve">code/src/ablations.py</w:t>
      </w:r>
      <w:r>
        <w:rPr>
          <w:lang w:val="en-US"/>
        </w:rPr>
        <w:t xml:space="preserve"> </w:t>
      </w:r>
      <w:r>
        <w:rPr>
          <w:lang w:val="en-US"/>
        </w:rPr>
        <w:t xml:space="preserve">and</w:t>
      </w:r>
      <w:r>
        <w:rPr>
          <w:lang w:val="en-US"/>
        </w:rPr>
        <w:t xml:space="preserve"> </w:t>
      </w:r>
      <w:r>
        <w:rPr>
          <w:rStyle w:val="VerbatimChar"/>
          <w:lang w:val="en-US"/>
        </w:rPr>
        <w:t xml:space="preserve">code/src/policy_stats.py</w:t>
      </w:r>
      <w:r>
        <w:rPr>
          <w:lang w:val="en-US"/>
        </w:rPr>
        <w:t xml:space="preserve">, with a fixed random seed of 20261001, on 600 independent Monte-Carlo working days per policy with a common random stream. The raw outputs are in</w:t>
      </w:r>
      <w:r>
        <w:rPr>
          <w:lang w:val="en-US"/>
        </w:rPr>
        <w:t xml:space="preserve"> </w:t>
      </w:r>
      <w:r>
        <w:rPr>
          <w:rStyle w:val="VerbatimChar"/>
          <w:lang w:val="en-US"/>
        </w:rPr>
        <w:t xml:space="preserve">results/</w:t>
      </w:r>
      <w:r>
        <w:rPr>
          <w:lang w:val="en-US"/>
        </w:rPr>
        <w:t xml:space="preserve">.</w:t>
      </w:r>
    </w:p>
    <w:bookmarkStart w:id="44" w:name="main-optimization-results"/>
    <w:p>
      <w:pPr>
        <w:pStyle w:val="Heading2"/>
      </w:pPr>
      <w:r>
        <w:rPr>
          <w:lang w:val="en-US"/>
        </w:rPr>
        <w:t xml:space="preserve">3.1 Main optimization results</w:t>
      </w:r>
    </w:p>
    <w:p>
      <w:pPr>
        <w:pStyle w:val="TableCaption"/>
      </w:pPr>
      <w:r>
        <w:rPr>
          <w:lang w:val="en-US"/>
        </w:rPr>
        <w:t xml:space="preserve">Table 3. Policy comparison over 600 Monte-Carlo working days. The first two are the optimising policies; the rest are rule-based baselines, where</w:t>
      </w:r>
      <w:r>
        <w:rPr>
          <w:lang w:val="en-US"/>
        </w:rPr>
        <w:t xml:space="preserve"> </w:t>
      </w:r>
      <w:r>
        <w:rPr>
          <w:lang w:val="en-US"/>
        </w:rPr>
        <w:t xml:space="preserve">“Threshold x%”</w:t>
      </w:r>
      <w:r>
        <w:rPr>
          <w:lang w:val="en-US"/>
        </w:rPr>
        <w:t xml:space="preserve"> </w:t>
      </w:r>
      <w:r>
        <w:rPr>
          <w:lang w:val="en-US"/>
        </w:rPr>
        <w:t xml:space="preserve">charges whenever the state of charge falls below x%,</w:t>
      </w:r>
      <w:r>
        <w:rPr>
          <w:lang w:val="en-US"/>
        </w:rPr>
        <w:t xml:space="preserve"> </w:t>
      </w:r>
      <w:r>
        <w:rPr>
          <w:lang w:val="en-US"/>
        </w:rPr>
        <w:t xml:space="preserve">“Charge-to-full 40%”</w:t>
      </w:r>
      <w:r>
        <w:rPr>
          <w:lang w:val="en-US"/>
        </w:rPr>
        <w:t xml:space="preserve"> </w:t>
      </w:r>
      <w:r>
        <w:rPr>
          <w:lang w:val="en-US"/>
        </w:rPr>
        <w:t xml:space="preserve">charges all the way to 100% once the state of charge falls below 40%, and</w:t>
      </w:r>
      <w:r>
        <w:rPr>
          <w:lang w:val="en-US"/>
        </w:rPr>
        <w:t xml:space="preserve"> </w:t>
      </w:r>
      <w:r>
        <w:rPr>
          <w:lang w:val="en-US"/>
        </w:rPr>
        <w:t xml:space="preserve">“Cheapest-hour only”</w:t>
      </w:r>
      <w:r>
        <w:rPr>
          <w:lang w:val="en-US"/>
        </w:rPr>
        <w:t xml:space="preserve"> </w:t>
      </w:r>
      <w:r>
        <w:rPr>
          <w:lang w:val="en-US"/>
        </w:rPr>
        <w:t xml:space="preserve">charges exclusively in the cheapest tariff slot.</w:t>
      </w:r>
      <w:r>
        <w:rPr>
          <w:lang w:val="en-US"/>
        </w:rPr>
        <w:t xml:space="preserve"> </w:t>
      </w:r>
      <w:r>
        <w:rPr>
          <w:lang w:val="en-US"/>
        </w:rPr>
        <w:t xml:space="preserve">“Feasible”</w:t>
      </w:r>
      <w:r>
        <w:rPr>
          <w:lang w:val="en-US"/>
        </w:rPr>
        <w:t xml:space="preserve"> </w:t>
      </w:r>
      <w:r>
        <w:rPr>
          <w:lang w:val="en-US"/>
        </w:rPr>
        <w:t xml:space="preserve">is the share of days on which the driver completed the shift without breaching the reserve floor.</w:t>
      </w:r>
    </w:p>
    <w:tbl>
      <w:tblPr>
        <w:tblStyle w:val="Table"/>
        <w:tblW w:type="pct" w:w="5000"/>
        <w:tblLayout w:type="fixed"/>
        <w:tblLook w:firstRow="1" w:lastRow="0" w:firstColumn="0" w:lastColumn="0" w:noHBand="0" w:noVBand="0" w:val="0020"/>
      </w:tblPr>
      <w:tblGrid>
        <w:gridCol w:w="1992"/>
        <w:gridCol w:w="935"/>
        <w:gridCol w:w="935"/>
        <w:gridCol w:w="1367"/>
        <w:gridCol w:w="1696"/>
        <w:gridCol w:w="935"/>
        <w:gridCol w:w="1162"/>
      </w:tblGrid>
      <w:tr>
        <w:trPr>
          <w:tblHeader w:val="on"/>
          <w:cantSplit/>
        </w:trPr>
        <w:tc>
          <w:tcPr>
            <w:tcW w:w="1992" w:type="dxa"/>
          </w:tcPr>
          <w:p>
            <w:pPr>
              <w:pStyle w:val="Compact"/>
            </w:pPr>
            <w:r>
              <w:rPr>
                <w:lang w:val="en-US"/>
              </w:rPr>
              <w:t xml:space="preserve">Policy</w:t>
            </w:r>
          </w:p>
        </w:tc>
        <w:tc>
          <w:tcPr>
            <w:tcW w:w="935" w:type="dxa"/>
          </w:tcPr>
          <w:p>
            <w:pPr>
              <w:pStyle w:val="Compact"/>
            </w:pPr>
            <w:r>
              <w:rPr>
                <w:lang w:val="en-US"/>
              </w:rPr>
              <w:t xml:space="preserve">Net ($)</w:t>
            </w:r>
          </w:p>
        </w:tc>
        <w:tc>
          <w:tcPr>
            <w:tcW w:w="935" w:type="dxa"/>
          </w:tcPr>
          <w:p>
            <w:pPr>
              <w:pStyle w:val="Compact"/>
            </w:pPr>
            <w:r>
              <w:rPr>
                <w:lang w:val="en-US"/>
              </w:rPr>
              <w:t xml:space="preserve">s.d.</w:t>
            </w:r>
          </w:p>
        </w:tc>
        <w:tc>
          <w:tcPr>
            <w:tcW w:w="1367" w:type="dxa"/>
          </w:tcPr>
          <w:p>
            <w:pPr>
              <w:pStyle w:val="Compact"/>
            </w:pPr>
            <w:r>
              <w:rPr>
                <w:lang w:val="en-US"/>
              </w:rPr>
              <w:t xml:space="preserve">Fare revenue ($)</w:t>
            </w:r>
          </w:p>
        </w:tc>
        <w:tc>
          <w:tcPr>
            <w:tcW w:w="1696" w:type="dxa"/>
          </w:tcPr>
          <w:p>
            <w:pPr>
              <w:pStyle w:val="Compact"/>
            </w:pPr>
            <w:r>
              <w:rPr>
                <w:lang w:val="en-US"/>
              </w:rPr>
              <w:t xml:space="preserve">Electricity ($)</w:t>
            </w:r>
          </w:p>
        </w:tc>
        <w:tc>
          <w:tcPr>
            <w:tcW w:w="935" w:type="dxa"/>
          </w:tcPr>
          <w:p>
            <w:pPr>
              <w:pStyle w:val="Compact"/>
            </w:pPr>
            <w:r>
              <w:rPr>
                <w:lang w:val="en-US"/>
              </w:rPr>
              <w:t xml:space="preserve">Orders</w:t>
            </w:r>
          </w:p>
        </w:tc>
        <w:tc>
          <w:tcPr>
            <w:tcW w:w="1162" w:type="dxa"/>
          </w:tcPr>
          <w:p>
            <w:pPr>
              <w:pStyle w:val="Compact"/>
            </w:pPr>
            <w:r>
              <w:rPr>
                <w:lang w:val="en-US"/>
              </w:rPr>
              <w:t xml:space="preserve">Feasible</w:t>
            </w:r>
          </w:p>
        </w:tc>
      </w:tr>
      <w:tr>
        <w:trPr>
          <w:cantSplit/>
        </w:trPr>
        <w:tc>
          <w:tcPr>
            <w:tcW w:w="1992" w:type="dxa"/>
          </w:tcPr>
          <w:p>
            <w:pPr>
              <w:pStyle w:val="Compact"/>
            </w:pPr>
            <w:r>
              <w:rPr>
                <w:b/>
                <w:bCs/>
                <w:lang w:val="en-US"/>
              </w:rPr>
              <w:t xml:space="preserve">MDP (this work)</w:t>
            </w:r>
          </w:p>
        </w:tc>
        <w:tc>
          <w:tcPr>
            <w:tcW w:w="935" w:type="dxa"/>
          </w:tcPr>
          <w:p>
            <w:pPr>
              <w:pStyle w:val="Compact"/>
            </w:pPr>
            <w:r>
              <w:rPr>
                <w:b/>
                <w:bCs/>
                <w:lang w:val="en-US"/>
              </w:rPr>
              <w:t xml:space="preserve">946.46</w:t>
            </w:r>
          </w:p>
        </w:tc>
        <w:tc>
          <w:tcPr>
            <w:tcW w:w="935" w:type="dxa"/>
          </w:tcPr>
          <w:p>
            <w:pPr>
              <w:pStyle w:val="Compact"/>
            </w:pPr>
            <w:r>
              <w:rPr>
                <w:lang w:val="en-US"/>
              </w:rPr>
              <w:t xml:space="preserve">116.78</w:t>
            </w:r>
          </w:p>
        </w:tc>
        <w:tc>
          <w:tcPr>
            <w:tcW w:w="1367" w:type="dxa"/>
          </w:tcPr>
          <w:p>
            <w:pPr>
              <w:pStyle w:val="Compact"/>
            </w:pPr>
            <w:r>
              <w:rPr>
                <w:lang w:val="en-US"/>
              </w:rPr>
              <w:t xml:space="preserve">950.41</w:t>
            </w:r>
          </w:p>
        </w:tc>
        <w:tc>
          <w:tcPr>
            <w:tcW w:w="1696" w:type="dxa"/>
          </w:tcPr>
          <w:p>
            <w:pPr>
              <w:pStyle w:val="Compact"/>
            </w:pPr>
            <w:r>
              <w:rPr>
                <w:lang w:val="en-US"/>
              </w:rPr>
              <w:t xml:space="preserve">3.96</w:t>
            </w:r>
          </w:p>
        </w:tc>
        <w:tc>
          <w:tcPr>
            <w:tcW w:w="935" w:type="dxa"/>
          </w:tcPr>
          <w:p>
            <w:pPr>
              <w:pStyle w:val="Compact"/>
            </w:pPr>
            <w:r>
              <w:rPr>
                <w:lang w:val="en-US"/>
              </w:rPr>
              <w:t xml:space="preserve">34.64</w:t>
            </w:r>
          </w:p>
        </w:tc>
        <w:tc>
          <w:tcPr>
            <w:tcW w:w="1162" w:type="dxa"/>
          </w:tcPr>
          <w:p>
            <w:pPr>
              <w:pStyle w:val="Compact"/>
            </w:pPr>
            <w:r>
              <w:rPr>
                <w:b/>
                <w:bCs/>
                <w:lang w:val="en-US"/>
              </w:rPr>
              <w:t xml:space="preserve">95%</w:t>
            </w:r>
          </w:p>
        </w:tc>
      </w:tr>
      <w:tr>
        <w:trPr>
          <w:cantSplit/>
        </w:trPr>
        <w:tc>
          <w:tcPr>
            <w:tcW w:w="1992" w:type="dxa"/>
          </w:tcPr>
          <w:p>
            <w:pPr>
              <w:pStyle w:val="Compact"/>
            </w:pPr>
            <w:r>
              <w:rPr>
                <w:lang w:val="en-US"/>
              </w:rPr>
              <w:t xml:space="preserve">DP (mean demand)</w:t>
            </w:r>
          </w:p>
        </w:tc>
        <w:tc>
          <w:tcPr>
            <w:tcW w:w="935" w:type="dxa"/>
          </w:tcPr>
          <w:p>
            <w:pPr>
              <w:pStyle w:val="Compact"/>
            </w:pPr>
            <w:r>
              <w:rPr>
                <w:lang w:val="en-US"/>
              </w:rPr>
              <w:t xml:space="preserve">934.15</w:t>
            </w:r>
          </w:p>
        </w:tc>
        <w:tc>
          <w:tcPr>
            <w:tcW w:w="935" w:type="dxa"/>
          </w:tcPr>
          <w:p>
            <w:pPr>
              <w:pStyle w:val="Compact"/>
            </w:pPr>
            <w:r>
              <w:rPr>
                <w:lang w:val="en-US"/>
              </w:rPr>
              <w:t xml:space="preserve">116.89</w:t>
            </w:r>
          </w:p>
        </w:tc>
        <w:tc>
          <w:tcPr>
            <w:tcW w:w="1367" w:type="dxa"/>
          </w:tcPr>
          <w:p>
            <w:pPr>
              <w:pStyle w:val="Compact"/>
            </w:pPr>
            <w:r>
              <w:rPr>
                <w:lang w:val="en-US"/>
              </w:rPr>
              <w:t xml:space="preserve">939.00</w:t>
            </w:r>
          </w:p>
        </w:tc>
        <w:tc>
          <w:tcPr>
            <w:tcW w:w="1696" w:type="dxa"/>
          </w:tcPr>
          <w:p>
            <w:pPr>
              <w:pStyle w:val="Compact"/>
            </w:pPr>
            <w:r>
              <w:rPr>
                <w:lang w:val="en-US"/>
              </w:rPr>
              <w:t xml:space="preserve">4.84</w:t>
            </w:r>
          </w:p>
        </w:tc>
        <w:tc>
          <w:tcPr>
            <w:tcW w:w="935" w:type="dxa"/>
          </w:tcPr>
          <w:p>
            <w:pPr>
              <w:pStyle w:val="Compact"/>
            </w:pPr>
            <w:r>
              <w:rPr>
                <w:lang w:val="en-US"/>
              </w:rPr>
              <w:t xml:space="preserve">34.26</w:t>
            </w:r>
          </w:p>
        </w:tc>
        <w:tc>
          <w:tcPr>
            <w:tcW w:w="1162" w:type="dxa"/>
          </w:tcPr>
          <w:p>
            <w:pPr>
              <w:pStyle w:val="Compact"/>
            </w:pPr>
            <w:r>
              <w:rPr>
                <w:lang w:val="en-US"/>
              </w:rPr>
              <w:t xml:space="preserve">85%</w:t>
            </w:r>
          </w:p>
        </w:tc>
      </w:tr>
      <w:tr>
        <w:trPr>
          <w:cantSplit/>
        </w:trPr>
        <w:tc>
          <w:tcPr>
            <w:tcW w:w="1992" w:type="dxa"/>
          </w:tcPr>
          <w:p>
            <w:pPr>
              <w:pStyle w:val="Compact"/>
            </w:pPr>
            <w:r>
              <w:rPr>
                <w:lang w:val="en-US"/>
              </w:rPr>
              <w:t xml:space="preserve">Threshold 40%</w:t>
            </w:r>
          </w:p>
        </w:tc>
        <w:tc>
          <w:tcPr>
            <w:tcW w:w="935" w:type="dxa"/>
          </w:tcPr>
          <w:p>
            <w:pPr>
              <w:pStyle w:val="Compact"/>
            </w:pPr>
            <w:r>
              <w:rPr>
                <w:lang w:val="en-US"/>
              </w:rPr>
              <w:t xml:space="preserve">924.98</w:t>
            </w:r>
          </w:p>
        </w:tc>
        <w:tc>
          <w:tcPr>
            <w:tcW w:w="935" w:type="dxa"/>
          </w:tcPr>
          <w:p>
            <w:pPr>
              <w:pStyle w:val="Compact"/>
            </w:pPr>
            <w:r>
              <w:rPr>
                <w:lang w:val="en-US"/>
              </w:rPr>
              <w:t xml:space="preserve">117.53</w:t>
            </w:r>
          </w:p>
        </w:tc>
        <w:tc>
          <w:tcPr>
            <w:tcW w:w="1367" w:type="dxa"/>
          </w:tcPr>
          <w:p>
            <w:pPr>
              <w:pStyle w:val="Compact"/>
            </w:pPr>
            <w:r>
              <w:rPr>
                <w:lang w:val="en-US"/>
              </w:rPr>
              <w:t xml:space="preserve">933.73</w:t>
            </w:r>
          </w:p>
        </w:tc>
        <w:tc>
          <w:tcPr>
            <w:tcW w:w="1696" w:type="dxa"/>
          </w:tcPr>
          <w:p>
            <w:pPr>
              <w:pStyle w:val="Compact"/>
            </w:pPr>
            <w:r>
              <w:rPr>
                <w:lang w:val="en-US"/>
              </w:rPr>
              <w:t xml:space="preserve">8.75</w:t>
            </w:r>
          </w:p>
        </w:tc>
        <w:tc>
          <w:tcPr>
            <w:tcW w:w="935" w:type="dxa"/>
          </w:tcPr>
          <w:p>
            <w:pPr>
              <w:pStyle w:val="Compact"/>
            </w:pPr>
            <w:r>
              <w:rPr>
                <w:lang w:val="en-US"/>
              </w:rPr>
              <w:t xml:space="preserve">34.05</w:t>
            </w:r>
          </w:p>
        </w:tc>
        <w:tc>
          <w:tcPr>
            <w:tcW w:w="1162" w:type="dxa"/>
          </w:tcPr>
          <w:p>
            <w:pPr>
              <w:pStyle w:val="Compact"/>
            </w:pPr>
            <w:r>
              <w:rPr>
                <w:lang w:val="en-US"/>
              </w:rPr>
              <w:t xml:space="preserve">100%</w:t>
            </w:r>
          </w:p>
        </w:tc>
      </w:tr>
      <w:tr>
        <w:trPr>
          <w:cantSplit/>
        </w:trPr>
        <w:tc>
          <w:tcPr>
            <w:tcW w:w="1992" w:type="dxa"/>
          </w:tcPr>
          <w:p>
            <w:pPr>
              <w:pStyle w:val="Compact"/>
            </w:pPr>
            <w:r>
              <w:rPr>
                <w:lang w:val="en-US"/>
              </w:rPr>
              <w:t xml:space="preserve">Threshold 30%</w:t>
            </w:r>
          </w:p>
        </w:tc>
        <w:tc>
          <w:tcPr>
            <w:tcW w:w="935" w:type="dxa"/>
          </w:tcPr>
          <w:p>
            <w:pPr>
              <w:pStyle w:val="Compact"/>
            </w:pPr>
            <w:r>
              <w:rPr>
                <w:lang w:val="en-US"/>
              </w:rPr>
              <w:t xml:space="preserve">922.46</w:t>
            </w:r>
          </w:p>
        </w:tc>
        <w:tc>
          <w:tcPr>
            <w:tcW w:w="935" w:type="dxa"/>
          </w:tcPr>
          <w:p>
            <w:pPr>
              <w:pStyle w:val="Compact"/>
            </w:pPr>
            <w:r>
              <w:rPr>
                <w:lang w:val="en-US"/>
              </w:rPr>
              <w:t xml:space="preserve">116.25</w:t>
            </w:r>
          </w:p>
        </w:tc>
        <w:tc>
          <w:tcPr>
            <w:tcW w:w="1367" w:type="dxa"/>
          </w:tcPr>
          <w:p>
            <w:pPr>
              <w:pStyle w:val="Compact"/>
            </w:pPr>
            <w:r>
              <w:rPr>
                <w:lang w:val="en-US"/>
              </w:rPr>
              <w:t xml:space="preserve">930.35</w:t>
            </w:r>
          </w:p>
        </w:tc>
        <w:tc>
          <w:tcPr>
            <w:tcW w:w="1696" w:type="dxa"/>
          </w:tcPr>
          <w:p>
            <w:pPr>
              <w:pStyle w:val="Compact"/>
            </w:pPr>
            <w:r>
              <w:rPr>
                <w:lang w:val="en-US"/>
              </w:rPr>
              <w:t xml:space="preserve">7.88</w:t>
            </w:r>
          </w:p>
        </w:tc>
        <w:tc>
          <w:tcPr>
            <w:tcW w:w="935" w:type="dxa"/>
          </w:tcPr>
          <w:p>
            <w:pPr>
              <w:pStyle w:val="Compact"/>
            </w:pPr>
            <w:r>
              <w:rPr>
                <w:lang w:val="en-US"/>
              </w:rPr>
              <w:t xml:space="preserve">33.91</w:t>
            </w:r>
          </w:p>
        </w:tc>
        <w:tc>
          <w:tcPr>
            <w:tcW w:w="1162" w:type="dxa"/>
          </w:tcPr>
          <w:p>
            <w:pPr>
              <w:pStyle w:val="Compact"/>
            </w:pPr>
            <w:r>
              <w:rPr>
                <w:lang w:val="en-US"/>
              </w:rPr>
              <w:t xml:space="preserve">100%</w:t>
            </w:r>
          </w:p>
        </w:tc>
      </w:tr>
      <w:tr>
        <w:trPr>
          <w:cantSplit/>
        </w:trPr>
        <w:tc>
          <w:tcPr>
            <w:tcW w:w="1992" w:type="dxa"/>
          </w:tcPr>
          <w:p>
            <w:pPr>
              <w:pStyle w:val="Compact"/>
            </w:pPr>
            <w:r>
              <w:rPr>
                <w:lang w:val="en-US"/>
              </w:rPr>
              <w:t xml:space="preserve">Threshold 50%</w:t>
            </w:r>
          </w:p>
        </w:tc>
        <w:tc>
          <w:tcPr>
            <w:tcW w:w="935" w:type="dxa"/>
          </w:tcPr>
          <w:p>
            <w:pPr>
              <w:pStyle w:val="Compact"/>
            </w:pPr>
            <w:r>
              <w:rPr>
                <w:lang w:val="en-US"/>
              </w:rPr>
              <w:t xml:space="preserve">920.66</w:t>
            </w:r>
          </w:p>
        </w:tc>
        <w:tc>
          <w:tcPr>
            <w:tcW w:w="935" w:type="dxa"/>
          </w:tcPr>
          <w:p>
            <w:pPr>
              <w:pStyle w:val="Compact"/>
            </w:pPr>
            <w:r>
              <w:rPr>
                <w:lang w:val="en-US"/>
              </w:rPr>
              <w:t xml:space="preserve">117.37</w:t>
            </w:r>
          </w:p>
        </w:tc>
        <w:tc>
          <w:tcPr>
            <w:tcW w:w="1367" w:type="dxa"/>
          </w:tcPr>
          <w:p>
            <w:pPr>
              <w:pStyle w:val="Compact"/>
            </w:pPr>
            <w:r>
              <w:rPr>
                <w:lang w:val="en-US"/>
              </w:rPr>
              <w:t xml:space="preserve">930.13</w:t>
            </w:r>
          </w:p>
        </w:tc>
        <w:tc>
          <w:tcPr>
            <w:tcW w:w="1696" w:type="dxa"/>
          </w:tcPr>
          <w:p>
            <w:pPr>
              <w:pStyle w:val="Compact"/>
            </w:pPr>
            <w:r>
              <w:rPr>
                <w:lang w:val="en-US"/>
              </w:rPr>
              <w:t xml:space="preserve">9.46</w:t>
            </w:r>
          </w:p>
        </w:tc>
        <w:tc>
          <w:tcPr>
            <w:tcW w:w="935" w:type="dxa"/>
          </w:tcPr>
          <w:p>
            <w:pPr>
              <w:pStyle w:val="Compact"/>
            </w:pPr>
            <w:r>
              <w:rPr>
                <w:lang w:val="en-US"/>
              </w:rPr>
              <w:t xml:space="preserve">33.88</w:t>
            </w:r>
          </w:p>
        </w:tc>
        <w:tc>
          <w:tcPr>
            <w:tcW w:w="1162" w:type="dxa"/>
          </w:tcPr>
          <w:p>
            <w:pPr>
              <w:pStyle w:val="Compact"/>
            </w:pPr>
            <w:r>
              <w:rPr>
                <w:lang w:val="en-US"/>
              </w:rPr>
              <w:t xml:space="preserve">100%</w:t>
            </w:r>
          </w:p>
        </w:tc>
      </w:tr>
      <w:tr>
        <w:trPr>
          <w:cantSplit/>
        </w:trPr>
        <w:tc>
          <w:tcPr>
            <w:tcW w:w="1992" w:type="dxa"/>
          </w:tcPr>
          <w:p>
            <w:pPr>
              <w:pStyle w:val="Compact"/>
            </w:pPr>
            <w:r>
              <w:rPr>
                <w:lang w:val="en-US"/>
              </w:rPr>
              <w:t xml:space="preserve">Charge-to-full 40%</w:t>
            </w:r>
          </w:p>
        </w:tc>
        <w:tc>
          <w:tcPr>
            <w:tcW w:w="935" w:type="dxa"/>
          </w:tcPr>
          <w:p>
            <w:pPr>
              <w:pStyle w:val="Compact"/>
            </w:pPr>
            <w:r>
              <w:rPr>
                <w:lang w:val="en-US"/>
              </w:rPr>
              <w:t xml:space="preserve">911.06</w:t>
            </w:r>
          </w:p>
        </w:tc>
        <w:tc>
          <w:tcPr>
            <w:tcW w:w="935" w:type="dxa"/>
          </w:tcPr>
          <w:p>
            <w:pPr>
              <w:pStyle w:val="Compact"/>
            </w:pPr>
            <w:r>
              <w:rPr>
                <w:lang w:val="en-US"/>
              </w:rPr>
              <w:t xml:space="preserve">111.14</w:t>
            </w:r>
          </w:p>
        </w:tc>
        <w:tc>
          <w:tcPr>
            <w:tcW w:w="1367" w:type="dxa"/>
          </w:tcPr>
          <w:p>
            <w:pPr>
              <w:pStyle w:val="Compact"/>
            </w:pPr>
            <w:r>
              <w:rPr>
                <w:lang w:val="en-US"/>
              </w:rPr>
              <w:t xml:space="preserve">920.78</w:t>
            </w:r>
          </w:p>
        </w:tc>
        <w:tc>
          <w:tcPr>
            <w:tcW w:w="1696" w:type="dxa"/>
          </w:tcPr>
          <w:p>
            <w:pPr>
              <w:pStyle w:val="Compact"/>
            </w:pPr>
            <w:r>
              <w:rPr>
                <w:lang w:val="en-US"/>
              </w:rPr>
              <w:t xml:space="preserve">9.72</w:t>
            </w:r>
          </w:p>
        </w:tc>
        <w:tc>
          <w:tcPr>
            <w:tcW w:w="935" w:type="dxa"/>
          </w:tcPr>
          <w:p>
            <w:pPr>
              <w:pStyle w:val="Compact"/>
            </w:pPr>
            <w:r>
              <w:rPr>
                <w:lang w:val="en-US"/>
              </w:rPr>
              <w:t xml:space="preserve">33.58</w:t>
            </w:r>
          </w:p>
        </w:tc>
        <w:tc>
          <w:tcPr>
            <w:tcW w:w="1162" w:type="dxa"/>
          </w:tcPr>
          <w:p>
            <w:pPr>
              <w:pStyle w:val="Compact"/>
            </w:pPr>
            <w:r>
              <w:rPr>
                <w:lang w:val="en-US"/>
              </w:rPr>
              <w:t xml:space="preserve">100%</w:t>
            </w:r>
          </w:p>
        </w:tc>
      </w:tr>
      <w:tr>
        <w:trPr>
          <w:cantSplit/>
        </w:trPr>
        <w:tc>
          <w:tcPr>
            <w:tcW w:w="1992" w:type="dxa"/>
          </w:tcPr>
          <w:p>
            <w:pPr>
              <w:pStyle w:val="Compact"/>
            </w:pPr>
            <w:r>
              <w:rPr>
                <w:lang w:val="en-US"/>
              </w:rPr>
              <w:t xml:space="preserve">Cheapest-hour only</w:t>
            </w:r>
          </w:p>
        </w:tc>
        <w:tc>
          <w:tcPr>
            <w:tcW w:w="935" w:type="dxa"/>
          </w:tcPr>
          <w:p>
            <w:pPr>
              <w:pStyle w:val="Compact"/>
            </w:pPr>
            <w:r>
              <w:rPr>
                <w:lang w:val="en-US"/>
              </w:rPr>
              <w:t xml:space="preserve">788.21</w:t>
            </w:r>
          </w:p>
        </w:tc>
        <w:tc>
          <w:tcPr>
            <w:tcW w:w="935" w:type="dxa"/>
          </w:tcPr>
          <w:p>
            <w:pPr>
              <w:pStyle w:val="Compact"/>
            </w:pPr>
            <w:r>
              <w:rPr>
                <w:lang w:val="en-US"/>
              </w:rPr>
              <w:t xml:space="preserve">27.15</w:t>
            </w:r>
          </w:p>
        </w:tc>
        <w:tc>
          <w:tcPr>
            <w:tcW w:w="1367" w:type="dxa"/>
          </w:tcPr>
          <w:p>
            <w:pPr>
              <w:pStyle w:val="Compact"/>
            </w:pPr>
            <w:r>
              <w:rPr>
                <w:lang w:val="en-US"/>
              </w:rPr>
              <w:t xml:space="preserve">789.86</w:t>
            </w:r>
          </w:p>
        </w:tc>
        <w:tc>
          <w:tcPr>
            <w:tcW w:w="1696" w:type="dxa"/>
          </w:tcPr>
          <w:p>
            <w:pPr>
              <w:pStyle w:val="Compact"/>
            </w:pPr>
            <w:r>
              <w:rPr>
                <w:lang w:val="en-US"/>
              </w:rPr>
              <w:t xml:space="preserve">1.65</w:t>
            </w:r>
          </w:p>
        </w:tc>
        <w:tc>
          <w:tcPr>
            <w:tcW w:w="935" w:type="dxa"/>
          </w:tcPr>
          <w:p>
            <w:pPr>
              <w:pStyle w:val="Compact"/>
            </w:pPr>
            <w:r>
              <w:rPr>
                <w:lang w:val="en-US"/>
              </w:rPr>
              <w:t xml:space="preserve">28.95</w:t>
            </w:r>
          </w:p>
        </w:tc>
        <w:tc>
          <w:tcPr>
            <w:tcW w:w="1162" w:type="dxa"/>
          </w:tcPr>
          <w:p>
            <w:pPr>
              <w:pStyle w:val="Compact"/>
            </w:pPr>
            <w:r>
              <w:rPr>
                <w:lang w:val="en-US"/>
              </w:rPr>
              <w:t xml:space="preserve">11%</w:t>
            </w:r>
          </w:p>
        </w:tc>
      </w:tr>
      <w:tr>
        <w:trPr>
          <w:cantSplit/>
        </w:trPr>
        <w:tc>
          <w:tcPr>
            <w:tcW w:w="1992" w:type="dxa"/>
          </w:tcPr>
          <w:p>
            <w:pPr>
              <w:pStyle w:val="Compact"/>
            </w:pPr>
            <w:r>
              <w:rPr>
                <w:lang w:val="en-US"/>
              </w:rPr>
              <w:t xml:space="preserve">Never charge</w:t>
            </w:r>
          </w:p>
        </w:tc>
        <w:tc>
          <w:tcPr>
            <w:tcW w:w="935" w:type="dxa"/>
          </w:tcPr>
          <w:p>
            <w:pPr>
              <w:pStyle w:val="Compact"/>
            </w:pPr>
            <w:r>
              <w:rPr>
                <w:lang w:val="en-US"/>
              </w:rPr>
              <w:t xml:space="preserve">600.09</w:t>
            </w:r>
          </w:p>
        </w:tc>
        <w:tc>
          <w:tcPr>
            <w:tcW w:w="935" w:type="dxa"/>
          </w:tcPr>
          <w:p>
            <w:pPr>
              <w:pStyle w:val="Compact"/>
            </w:pPr>
            <w:r>
              <w:rPr>
                <w:lang w:val="en-US"/>
              </w:rPr>
              <w:t xml:space="preserve">16.57</w:t>
            </w:r>
          </w:p>
        </w:tc>
        <w:tc>
          <w:tcPr>
            <w:tcW w:w="1367" w:type="dxa"/>
          </w:tcPr>
          <w:p>
            <w:pPr>
              <w:pStyle w:val="Compact"/>
            </w:pPr>
            <w:r>
              <w:rPr>
                <w:lang w:val="en-US"/>
              </w:rPr>
              <w:t xml:space="preserve">600.09</w:t>
            </w:r>
          </w:p>
        </w:tc>
        <w:tc>
          <w:tcPr>
            <w:tcW w:w="1696" w:type="dxa"/>
          </w:tcPr>
          <w:p>
            <w:pPr>
              <w:pStyle w:val="Compact"/>
            </w:pPr>
            <w:r>
              <w:rPr>
                <w:lang w:val="en-US"/>
              </w:rPr>
              <w:t xml:space="preserve">0.00</w:t>
            </w:r>
          </w:p>
        </w:tc>
        <w:tc>
          <w:tcPr>
            <w:tcW w:w="935" w:type="dxa"/>
          </w:tcPr>
          <w:p>
            <w:pPr>
              <w:pStyle w:val="Compact"/>
            </w:pPr>
            <w:r>
              <w:rPr>
                <w:lang w:val="en-US"/>
              </w:rPr>
              <w:t xml:space="preserve">22.12</w:t>
            </w:r>
          </w:p>
        </w:tc>
        <w:tc>
          <w:tcPr>
            <w:tcW w:w="1162" w:type="dxa"/>
          </w:tcPr>
          <w:p>
            <w:pPr>
              <w:pStyle w:val="Compact"/>
            </w:pPr>
            <w:r>
              <w:rPr>
                <w:lang w:val="en-US"/>
              </w:rPr>
              <w:t xml:space="preserve">0%</w:t>
            </w:r>
          </w:p>
        </w:tc>
      </w:tr>
    </w:tbl>
    <w:p>
      <w:pPr>
        <w:pStyle w:val="BodyText"/>
      </w:pPr>
      <w:r>
        <w:rPr>
          <w:lang w:val="en-US"/>
        </w:rPr>
        <w:t xml:space="preserve">The MDP gains $21.47 (2.3%) over the strongest rule-based baseline and $158.25 (20.1%) over the tariff-following rule. The second comparison is the more important one, and it is not primarily about money.</w:t>
      </w:r>
    </w:p>
    <w:p>
      <w:pPr>
        <w:pStyle w:val="BodyText"/>
      </w:pPr>
      <w:r>
        <w:drawing>
          <wp:inline>
            <wp:extent cx="5727700" cy="4213705"/>
            <wp:effectExtent b="0" l="0" r="0" t="0"/>
            <wp:docPr descr="" title="" id="39" name="Picture"/>
            <a:graphic>
              <a:graphicData uri="http://schemas.openxmlformats.org/drawingml/2006/picture">
                <pic:pic>
                  <pic:nvPicPr>
                    <pic:cNvPr descr="../figures/F1_day_in_picture.png" id="40" name="Picture"/>
                    <pic:cNvPicPr>
                      <a:picLocks noChangeArrowheads="1" noChangeAspect="1"/>
                    </pic:cNvPicPr>
                  </pic:nvPicPr>
                  <pic:blipFill>
                    <a:blip r:embed="rId38"/>
                    <a:stretch>
                      <a:fillRect/>
                    </a:stretch>
                  </pic:blipFill>
                  <pic:spPr bwMode="auto">
                    <a:xfrm>
                      <a:off x="0" y="0"/>
                      <a:ext cx="5727700" cy="4213705"/>
                    </a:xfrm>
                    <a:prstGeom prst="rect">
                      <a:avLst/>
                    </a:prstGeom>
                    <a:noFill/>
                    <a:ln w="9525">
                      <a:noFill/>
                      <a:headEnd/>
                      <a:tailEnd/>
                    </a:ln>
                  </pic:spPr>
                </pic:pic>
              </a:graphicData>
            </a:graphic>
          </wp:inline>
        </w:drawing>
      </w:r>
    </w:p>
    <w:p>
      <w:pPr>
        <w:pStyle w:val="FigureCaption"/>
      </w:pPr>
      <w:r>
        <w:rPr>
          <w:lang w:val="en-US"/>
        </w:rPr>
        <w:t xml:space="preserve">Figure 1. The day in one picture: citywide order arrival rate by fifteen-minute slot, the four-tier time-of-use tariff, and the state-of-charge trajectory of the optimal policy with its charging slots marked.</w:t>
      </w:r>
    </w:p>
    <w:p>
      <w:pPr>
        <w:pStyle w:val="BodyText"/>
      </w:pPr>
      <w:r>
        <w:rPr>
          <w:b/>
          <w:bCs/>
          <w:lang w:val="en-US"/>
        </w:rPr>
        <w:t xml:space="preserve">Finding 1 — following the tariff table traps the driver in its own strategy.</w:t>
      </w:r>
      <w:r>
        <w:rPr>
          <w:lang w:val="en-US"/>
        </w:rPr>
        <w:t xml:space="preserve"> </w:t>
      </w:r>
      <w:r>
        <w:rPr>
          <w:lang w:val="en-US"/>
        </w:rPr>
        <w:t xml:space="preserve">A driver who charges only in the cheapest slot buys 13.8 kWh, while the day requires 54.5 kWh; the remainder is unobtainable. On 89% of days such a driver cannot complete the shift. This is not</w:t>
      </w:r>
      <w:r>
        <w:rPr>
          <w:lang w:val="en-US"/>
        </w:rPr>
        <w:t xml:space="preserve"> </w:t>
      </w:r>
      <w:r>
        <w:rPr>
          <w:lang w:val="en-US"/>
        </w:rPr>
        <w:t xml:space="preserve">“earning less”</w:t>
      </w:r>
      <w:r>
        <w:rPr>
          <w:lang w:val="en-US"/>
        </w:rPr>
        <w:t xml:space="preserve">; it is</w:t>
      </w:r>
      <w:r>
        <w:rPr>
          <w:lang w:val="en-US"/>
        </w:rPr>
        <w:t xml:space="preserve"> </w:t>
      </w:r>
      <w:r>
        <w:rPr>
          <w:lang w:val="en-US"/>
        </w:rPr>
        <w:t xml:space="preserve">“cannot drive”</w:t>
      </w:r>
      <w:r>
        <w:rPr>
          <w:lang w:val="en-US"/>
        </w:rPr>
        <w:t xml:space="preserve">. The valley is in fact capable of delivering roughly 607 kWh over its 44 slots, eleven times the day’s requirement — so the valley is not short of energy, and the failure is one of time allocation.</w:t>
      </w:r>
    </w:p>
    <w:p>
      <w:pPr>
        <w:pStyle w:val="BodyText"/>
      </w:pPr>
      <w:r>
        <w:rPr>
          <w:b/>
          <w:bCs/>
          <w:lang w:val="en-US"/>
        </w:rPr>
        <w:t xml:space="preserve">Finding 2 — the expected-value DP looks better on paper and cannot be used.</w:t>
      </w:r>
      <w:r>
        <w:rPr>
          <w:lang w:val="en-US"/>
        </w:rPr>
        <w:t xml:space="preserve"> </w:t>
      </w:r>
      <w:r>
        <w:rPr>
          <w:lang w:val="en-US"/>
        </w:rPr>
        <w:t xml:space="preserve">The deterministic DP reports a book value of $1,242.61 at the initial state, against $939.55 for the MDP. The $303 gap looks like a decisive victory for perfect information. But the expected-value policy, evaluated against the stochastic demand it cannot observe, completes only 85% of shifts, because the mean hides the days on which the pack runs short. The MDP has the lower book value and the higher realised earnings, $946.46 against $934.15, and completes 10 percentage points more working days. Perfect information is not what is valuable here; knowing that one does not know is.</w:t>
      </w:r>
    </w:p>
    <w:p>
      <w:pPr>
        <w:pStyle w:val="BodyText"/>
      </w:pPr>
      <w:r>
        <w:rPr>
          <w:b/>
          <w:bCs/>
          <w:lang w:val="en-US"/>
        </w:rPr>
        <w:t xml:space="preserve">Finding 3 — the optimal schedule lies outside the cheapest tariff window.</w:t>
      </w:r>
      <w:r>
        <w:rPr>
          <w:lang w:val="en-US"/>
        </w:rPr>
        <w:t xml:space="preserve"> </w:t>
      </w:r>
      <w:r>
        <w:rPr>
          <w:lang w:val="en-US"/>
        </w:rPr>
        <w:t xml:space="preserve">Across the 570 feasible simulated days, the MDP policy charges at least once outside the cheapest tariff window on</w:t>
      </w:r>
      <w:r>
        <w:rPr>
          <w:lang w:val="en-US"/>
        </w:rPr>
        <w:t xml:space="preserve"> </w:t>
      </w:r>
      <w:r>
        <w:rPr>
          <w:b/>
          <w:bCs/>
          <w:lang w:val="en-US"/>
        </w:rPr>
        <w:t xml:space="preserve">74.4%</w:t>
      </w:r>
      <w:r>
        <w:rPr>
          <w:lang w:val="en-US"/>
        </w:rPr>
        <w:t xml:space="preserve"> </w:t>
      </w:r>
      <w:r>
        <w:rPr>
          <w:lang w:val="en-US"/>
        </w:rPr>
        <w:t xml:space="preserve">of days, and confines itself to the valley on only 25.6%. Yet on</w:t>
      </w:r>
      <w:r>
        <w:rPr>
          <w:lang w:val="en-US"/>
        </w:rPr>
        <w:t xml:space="preserve"> </w:t>
      </w:r>
      <w:r>
        <w:rPr>
          <w:b/>
          <w:bCs/>
          <w:lang w:val="en-US"/>
        </w:rPr>
        <w:t xml:space="preserve">every</w:t>
      </w:r>
      <w:r>
        <w:rPr>
          <w:lang w:val="en-US"/>
        </w:rPr>
        <w:t xml:space="preserve"> </w:t>
      </w:r>
      <w:r>
        <w:rPr>
          <w:lang w:val="en-US"/>
        </w:rPr>
        <w:t xml:space="preserve">feasible day it selects a deep-night slot in the 04:30–05:15 window (100% of days; 04:45 on 87.2%, 04:30 on 12.8%). The driver charges in two slots on 79.1% of days, in one slot on 18.9% and in three slots on 1.9%. The most frequent off-valley slots are 20:30 (9.5% of days), 12:30 (9.0%), 11:15 (6.2%) and 22:15 (5.0%).</w:t>
      </w:r>
    </w:p>
    <w:p>
      <w:pPr>
        <w:pStyle w:val="BodyText"/>
      </w:pPr>
      <w:r>
        <w:drawing>
          <wp:inline>
            <wp:extent cx="5727700" cy="2044562"/>
            <wp:effectExtent b="0" l="0" r="0" t="0"/>
            <wp:docPr descr="" title="" id="42" name="Picture"/>
            <a:graphic>
              <a:graphicData uri="http://schemas.openxmlformats.org/drawingml/2006/picture">
                <pic:pic>
                  <pic:nvPicPr>
                    <pic:cNvPr descr="../figures/F2_policy_comparison.png" id="43" name="Picture"/>
                    <pic:cNvPicPr>
                      <a:picLocks noChangeArrowheads="1" noChangeAspect="1"/>
                    </pic:cNvPicPr>
                  </pic:nvPicPr>
                  <pic:blipFill>
                    <a:blip r:embed="rId41"/>
                    <a:stretch>
                      <a:fillRect/>
                    </a:stretch>
                  </pic:blipFill>
                  <pic:spPr bwMode="auto">
                    <a:xfrm>
                      <a:off x="0" y="0"/>
                      <a:ext cx="5727700" cy="2044562"/>
                    </a:xfrm>
                    <a:prstGeom prst="rect">
                      <a:avLst/>
                    </a:prstGeom>
                    <a:noFill/>
                    <a:ln w="9525">
                      <a:noFill/>
                      <a:headEnd/>
                      <a:tailEnd/>
                    </a:ln>
                  </pic:spPr>
                </pic:pic>
              </a:graphicData>
            </a:graphic>
          </wp:inline>
        </w:drawing>
      </w:r>
    </w:p>
    <w:p>
      <w:pPr>
        <w:pStyle w:val="FigureCaption"/>
      </w:pPr>
      <w:r>
        <w:rPr>
          <w:lang w:val="en-US"/>
        </w:rPr>
        <w:t xml:space="preserve">Figure 2. Policy comparison: average net earnings with the feasible-day share on the right-hand axis.</w:t>
      </w:r>
    </w:p>
    <w:p>
      <w:pPr>
        <w:pStyle w:val="BodyText"/>
      </w:pPr>
      <w:r>
        <w:rPr>
          <w:lang w:val="en-US"/>
        </w:rPr>
        <w:t xml:space="preserve">The mechanism is straightforward once stated: the valley is cheap</w:t>
      </w:r>
      <w:r>
        <w:rPr>
          <w:lang w:val="en-US"/>
        </w:rPr>
        <w:t xml:space="preserve"> </w:t>
      </w:r>
      <w:r>
        <w:rPr>
          <w:i/>
          <w:iCs/>
          <w:lang w:val="en-US"/>
        </w:rPr>
        <w:t xml:space="preserve">because</w:t>
      </w:r>
      <w:r>
        <w:rPr>
          <w:lang w:val="en-US"/>
        </w:rPr>
        <w:t xml:space="preserve"> </w:t>
      </w:r>
      <w:r>
        <w:rPr>
          <w:lang w:val="en-US"/>
        </w:rPr>
        <w:t xml:space="preserve">it is empty. Moving a charge from the valley into a shoulder slot buys a small saving in electricity — $0.08/kWh — and recovers a much larger amount of fare revenue, because the driver is productive at midday and in the evening but not at 04:00. The correct criterion is therefore not</w:t>
      </w:r>
      <w:r>
        <w:rPr>
          <w:lang w:val="en-US"/>
        </w:rPr>
        <w:t xml:space="preserve"> </w:t>
      </w:r>
      <w:r>
        <w:rPr>
          <w:lang w:val="en-US"/>
        </w:rPr>
        <w:t xml:space="preserve">“the cheapest tariff”</w:t>
      </w:r>
      <w:r>
        <w:rPr>
          <w:lang w:val="en-US"/>
        </w:rPr>
        <w:t xml:space="preserve"> </w:t>
      </w:r>
      <w:r>
        <w:rPr>
          <w:lang w:val="en-US"/>
        </w:rPr>
        <w:t xml:space="preserve">but</w:t>
      </w:r>
      <w:r>
        <w:rPr>
          <w:lang w:val="en-US"/>
        </w:rPr>
        <w:t xml:space="preserve"> </w:t>
      </w:r>
      <w:r>
        <w:rPr>
          <w:lang w:val="en-US"/>
        </w:rPr>
        <w:t xml:space="preserve">“the cheapest combination of tariff and foregone fare”</w:t>
      </w:r>
      <w:r>
        <w:rPr>
          <w:lang w:val="en-US"/>
        </w:rPr>
        <w:t xml:space="preserve">.</w:t>
      </w:r>
    </w:p>
    <w:p>
      <w:pPr>
        <w:pStyle w:val="BodyText"/>
      </w:pPr>
      <w:r>
        <w:rPr>
          <w:lang w:val="en-US"/>
        </w:rPr>
        <w:t xml:space="preserve">A frequency statement is used here deliberately. An earlier version of this work reported the charging slots of the single best of 200 simulated days. That is a punchline, not a statistic, and it cannot support a general claim. The figures above come from the full 600-day sample.</w:t>
      </w:r>
    </w:p>
    <w:bookmarkEnd w:id="44"/>
    <w:bookmarkStart w:id="50" w:name="sensitivity-analysis"/>
    <w:p>
      <w:pPr>
        <w:pStyle w:val="Heading2"/>
      </w:pPr>
      <w:r>
        <w:rPr>
          <w:lang w:val="en-US"/>
        </w:rPr>
        <w:t xml:space="preserve">3.2 Sensitivity analysis</w:t>
      </w:r>
    </w:p>
    <w:p>
      <w:pPr>
        <w:pStyle w:val="FirstParagraph"/>
      </w:pPr>
      <w:r>
        <w:rPr>
          <w:lang w:val="en-US"/>
        </w:rPr>
        <w:t xml:space="preserve">Seven one-at-a-time sweeps hold all other parameters at their base values. The quantity reported is the gain of the MDP over the tariff-following rule, re-solved for each parameter value.</w:t>
      </w:r>
    </w:p>
    <w:p>
      <w:pPr>
        <w:pStyle w:val="TableCaption"/>
      </w:pPr>
      <w:r>
        <w:rPr>
          <w:lang w:val="en-US"/>
        </w:rPr>
        <w:t xml:space="preserve">Table 4. One-factor sensitivity.</w:t>
      </w:r>
      <w:r>
        <w:rPr>
          <w:lang w:val="en-US"/>
        </w:rPr>
        <w:t xml:space="preserve"> </w:t>
      </w:r>
      <w:r>
        <w:rPr>
          <w:lang w:val="en-US"/>
        </w:rPr>
        <w:t xml:space="preserve">“Gain”</w:t>
      </w:r>
      <w:r>
        <w:rPr>
          <w:lang w:val="en-US"/>
        </w:rPr>
        <w:t xml:space="preserve"> </w:t>
      </w:r>
      <w:r>
        <w:rPr>
          <w:lang w:val="en-US"/>
        </w:rPr>
        <w:t xml:space="preserve">is the MDP net earnings minus the tariff-following rule’s, in US dollars per day.</w:t>
      </w:r>
    </w:p>
    <w:tbl>
      <w:tblPr>
        <w:tblStyle w:val="Table"/>
        <w:tblW w:type="pct" w:w="5000"/>
        <w:tblLayout w:type="fixed"/>
        <w:tblLook w:firstRow="1" w:lastRow="0" w:firstColumn="0" w:lastColumn="0" w:noHBand="0" w:noVBand="0" w:val="0020"/>
      </w:tblPr>
      <w:tblGrid>
        <w:gridCol w:w="481"/>
        <w:gridCol w:w="1642"/>
        <w:gridCol w:w="1642"/>
        <w:gridCol w:w="1561"/>
        <w:gridCol w:w="3696"/>
      </w:tblGrid>
      <w:tr>
        <w:trPr>
          <w:tblHeader w:val="on"/>
          <w:cantSplit/>
        </w:trPr>
        <w:tc>
          <w:tcPr>
            <w:tcW w:w="481" w:type="dxa"/>
          </w:tcPr>
          <w:p>
            <w:pPr>
              <w:pStyle w:val="Compact"/>
            </w:pPr>
            <w:r>
              <w:rPr>
                <w:lang w:val="en-US"/>
              </w:rPr>
              <w:t xml:space="preserve">#</w:t>
            </w:r>
          </w:p>
        </w:tc>
        <w:tc>
          <w:tcPr>
            <w:tcW w:w="1642" w:type="dxa"/>
          </w:tcPr>
          <w:p>
            <w:pPr>
              <w:pStyle w:val="Compact"/>
            </w:pPr>
            <w:r>
              <w:rPr>
                <w:lang w:val="en-US"/>
              </w:rPr>
              <w:t xml:space="preserve">Parameter</w:t>
            </w:r>
          </w:p>
        </w:tc>
        <w:tc>
          <w:tcPr>
            <w:tcW w:w="1642" w:type="dxa"/>
          </w:tcPr>
          <w:p>
            <w:pPr>
              <w:pStyle w:val="Compact"/>
            </w:pPr>
            <w:r>
              <w:rPr>
                <w:lang w:val="en-US"/>
              </w:rPr>
              <w:t xml:space="preserve">Range</w:t>
            </w:r>
          </w:p>
        </w:tc>
        <w:tc>
          <w:tcPr>
            <w:tcW w:w="1561" w:type="dxa"/>
          </w:tcPr>
          <w:p>
            <w:pPr>
              <w:pStyle w:val="Compact"/>
            </w:pPr>
            <w:r>
              <w:rPr>
                <w:lang w:val="en-US"/>
              </w:rPr>
              <w:t xml:space="preserve">Gain</w:t>
            </w:r>
          </w:p>
        </w:tc>
        <w:tc>
          <w:tcPr>
            <w:tcW w:w="3696" w:type="dxa"/>
          </w:tcPr>
          <w:p>
            <w:pPr>
              <w:pStyle w:val="Compact"/>
            </w:pPr>
            <w:r>
              <w:rPr>
                <w:lang w:val="en-US"/>
              </w:rPr>
              <w:t xml:space="preserve">Reading</w:t>
            </w:r>
          </w:p>
        </w:tc>
      </w:tr>
      <w:tr>
        <w:trPr>
          <w:cantSplit/>
        </w:trPr>
        <w:tc>
          <w:tcPr>
            <w:tcW w:w="481" w:type="dxa"/>
          </w:tcPr>
          <w:p>
            <w:pPr>
              <w:pStyle w:val="Compact"/>
            </w:pPr>
            <w:r>
              <w:rPr>
                <w:lang w:val="en-US"/>
              </w:rPr>
              <w:t xml:space="preserve">S1</w:t>
            </w:r>
          </w:p>
        </w:tc>
        <w:tc>
          <w:tcPr>
            <w:tcW w:w="1642" w:type="dxa"/>
          </w:tcPr>
          <w:p>
            <w:pPr>
              <w:pStyle w:val="Compact"/>
            </w:pPr>
            <w:r>
              <w:rPr>
                <w:lang w:val="en-US"/>
              </w:rPr>
              <w:t xml:space="preserve">Pack capacity</w:t>
            </w:r>
          </w:p>
        </w:tc>
        <w:tc>
          <w:tcPr>
            <w:tcW w:w="1642" w:type="dxa"/>
          </w:tcPr>
          <w:p>
            <w:pPr>
              <w:pStyle w:val="Compact"/>
            </w:pPr>
            <w:r>
              <w:rPr>
                <w:lang w:val="en-US"/>
              </w:rPr>
              <w:t xml:space="preserve">25 → 80 kWh</w:t>
            </w:r>
          </w:p>
        </w:tc>
        <w:tc>
          <w:tcPr>
            <w:tcW w:w="1561" w:type="dxa"/>
          </w:tcPr>
          <w:p>
            <w:pPr>
              <w:pStyle w:val="Compact"/>
            </w:pPr>
            <w:r>
              <w:rPr>
                <w:lang w:val="en-US"/>
              </w:rPr>
              <w:t xml:space="preserve">+453.58 → +15.97</w:t>
            </w:r>
          </w:p>
        </w:tc>
        <w:tc>
          <w:tcPr>
            <w:tcW w:w="3696" w:type="dxa"/>
          </w:tcPr>
          <w:p>
            <w:pPr>
              <w:pStyle w:val="Compact"/>
            </w:pPr>
            <w:r>
              <w:rPr>
                <w:b/>
                <w:bCs/>
                <w:lang w:val="en-US"/>
              </w:rPr>
              <w:t xml:space="preserve">Strongest driver</w:t>
            </w:r>
            <w:r>
              <w:rPr>
                <w:lang w:val="en-US"/>
              </w:rPr>
              <w:t xml:space="preserve">: a bigger pack trivialises the problem</w:t>
            </w:r>
          </w:p>
        </w:tc>
      </w:tr>
      <w:tr>
        <w:trPr>
          <w:cantSplit/>
        </w:trPr>
        <w:tc>
          <w:tcPr>
            <w:tcW w:w="481" w:type="dxa"/>
          </w:tcPr>
          <w:p>
            <w:pPr>
              <w:pStyle w:val="Compact"/>
            </w:pPr>
            <w:r>
              <w:rPr>
                <w:lang w:val="en-US"/>
              </w:rPr>
              <w:t xml:space="preserve">S2</w:t>
            </w:r>
          </w:p>
        </w:tc>
        <w:tc>
          <w:tcPr>
            <w:tcW w:w="1642" w:type="dxa"/>
          </w:tcPr>
          <w:p>
            <w:pPr>
              <w:pStyle w:val="Compact"/>
            </w:pPr>
            <w:r>
              <w:rPr>
                <w:lang w:val="en-US"/>
              </w:rPr>
              <w:t xml:space="preserve">Energy consumption</w:t>
            </w:r>
          </w:p>
        </w:tc>
        <w:tc>
          <w:tcPr>
            <w:tcW w:w="1642" w:type="dxa"/>
          </w:tcPr>
          <w:p>
            <w:pPr>
              <w:pStyle w:val="Compact"/>
            </w:pPr>
            <w:r>
              <w:rPr>
                <w:lang w:val="en-US"/>
              </w:rPr>
              <w:t xml:space="preserve">0.18 → 0.45 kWh/km</w:t>
            </w:r>
          </w:p>
        </w:tc>
        <w:tc>
          <w:tcPr>
            <w:tcW w:w="1561" w:type="dxa"/>
          </w:tcPr>
          <w:p>
            <w:pPr>
              <w:pStyle w:val="Compact"/>
            </w:pPr>
            <w:r>
              <w:rPr>
                <w:lang w:val="en-US"/>
              </w:rPr>
              <w:t xml:space="preserve">+46.21 → +532.06</w:t>
            </w:r>
          </w:p>
        </w:tc>
        <w:tc>
          <w:tcPr>
            <w:tcW w:w="3696" w:type="dxa"/>
          </w:tcPr>
          <w:p>
            <w:pPr>
              <w:pStyle w:val="Compact"/>
            </w:pPr>
            <w:r>
              <w:rPr>
                <w:lang w:val="en-US"/>
              </w:rPr>
              <w:t xml:space="preserve">Tighter energy budget, more value in scheduling</w:t>
            </w:r>
          </w:p>
        </w:tc>
      </w:tr>
      <w:tr>
        <w:trPr>
          <w:cantSplit/>
        </w:trPr>
        <w:tc>
          <w:tcPr>
            <w:tcW w:w="481" w:type="dxa"/>
          </w:tcPr>
          <w:p>
            <w:pPr>
              <w:pStyle w:val="Compact"/>
            </w:pPr>
            <w:r>
              <w:rPr>
                <w:lang w:val="en-US"/>
              </w:rPr>
              <w:t xml:space="preserve">S3</w:t>
            </w:r>
          </w:p>
        </w:tc>
        <w:tc>
          <w:tcPr>
            <w:tcW w:w="1642" w:type="dxa"/>
          </w:tcPr>
          <w:p>
            <w:pPr>
              <w:pStyle w:val="Compact"/>
            </w:pPr>
            <w:r>
              <w:rPr>
                <w:lang w:val="en-US"/>
              </w:rPr>
              <w:t xml:space="preserve">Charger power</w:t>
            </w:r>
          </w:p>
        </w:tc>
        <w:tc>
          <w:tcPr>
            <w:tcW w:w="1642" w:type="dxa"/>
          </w:tcPr>
          <w:p>
            <w:pPr>
              <w:pStyle w:val="Compact"/>
            </w:pPr>
            <w:r>
              <w:rPr>
                <w:lang w:val="en-US"/>
              </w:rPr>
              <w:t xml:space="preserve">7 → 200 kW</w:t>
            </w:r>
          </w:p>
        </w:tc>
        <w:tc>
          <w:tcPr>
            <w:tcW w:w="1561" w:type="dxa"/>
          </w:tcPr>
          <w:p>
            <w:pPr>
              <w:pStyle w:val="Compact"/>
            </w:pPr>
            <w:r>
              <w:rPr>
                <w:lang w:val="en-US"/>
              </w:rPr>
              <w:t xml:space="preserve">+263.72 → +158.87</w:t>
            </w:r>
          </w:p>
        </w:tc>
        <w:tc>
          <w:tcPr>
            <w:tcW w:w="3696" w:type="dxa"/>
          </w:tcPr>
          <w:p>
            <w:pPr>
              <w:pStyle w:val="Compact"/>
            </w:pPr>
            <w:r>
              <w:rPr>
                <w:lang w:val="en-US"/>
              </w:rPr>
              <w:t xml:space="preserve">Slower chargers make scheduling</w:t>
            </w:r>
            <w:r>
              <w:rPr>
                <w:lang w:val="en-US"/>
              </w:rPr>
              <w:t xml:space="preserve"> </w:t>
            </w:r>
            <w:r>
              <w:rPr>
                <w:i/>
                <w:iCs/>
                <w:lang w:val="en-US"/>
              </w:rPr>
              <w:t xml:space="preserve">more</w:t>
            </w:r>
            <w:r>
              <w:rPr>
                <w:lang w:val="en-US"/>
              </w:rPr>
              <w:t xml:space="preserve"> </w:t>
            </w:r>
            <w:r>
              <w:rPr>
                <w:lang w:val="en-US"/>
              </w:rPr>
              <w:t xml:space="preserve">valuable</w:t>
            </w:r>
          </w:p>
        </w:tc>
      </w:tr>
      <w:tr>
        <w:trPr>
          <w:cantSplit/>
        </w:trPr>
        <w:tc>
          <w:tcPr>
            <w:tcW w:w="481" w:type="dxa"/>
          </w:tcPr>
          <w:p>
            <w:pPr>
              <w:pStyle w:val="Compact"/>
            </w:pPr>
            <w:r>
              <w:rPr>
                <w:lang w:val="en-US"/>
              </w:rPr>
              <w:t xml:space="preserve">S4</w:t>
            </w:r>
          </w:p>
        </w:tc>
        <w:tc>
          <w:tcPr>
            <w:tcW w:w="1642" w:type="dxa"/>
          </w:tcPr>
          <w:p>
            <w:pPr>
              <w:pStyle w:val="Compact"/>
            </w:pPr>
            <w:r>
              <w:rPr>
                <w:lang w:val="en-US"/>
              </w:rPr>
              <w:t xml:space="preserve">Peak utilisation</w:t>
            </w:r>
          </w:p>
        </w:tc>
        <w:tc>
          <w:tcPr>
            <w:tcW w:w="1642" w:type="dxa"/>
          </w:tcPr>
          <w:p>
            <w:pPr>
              <w:pStyle w:val="Compact"/>
            </w:pPr>
            <w:r>
              <w:rPr>
                <w:lang w:val="en-US"/>
              </w:rPr>
              <w:t xml:space="preserve">40% → 100%</w:t>
            </w:r>
          </w:p>
        </w:tc>
        <w:tc>
          <w:tcPr>
            <w:tcW w:w="1561" w:type="dxa"/>
          </w:tcPr>
          <w:p>
            <w:pPr>
              <w:pStyle w:val="Compact"/>
            </w:pPr>
            <w:r>
              <w:rPr>
                <w:lang w:val="en-US"/>
              </w:rPr>
              <w:t xml:space="preserve">-0.71 → +284.56</w:t>
            </w:r>
          </w:p>
        </w:tc>
        <w:tc>
          <w:tcPr>
            <w:tcW w:w="3696" w:type="dxa"/>
          </w:tcPr>
          <w:p>
            <w:pPr>
              <w:pStyle w:val="Compact"/>
            </w:pPr>
            <w:r>
              <w:rPr>
                <w:lang w:val="en-US"/>
              </w:rPr>
              <w:t xml:space="preserve">Busier market, stronger opportunity cost</w:t>
            </w:r>
          </w:p>
        </w:tc>
      </w:tr>
      <w:tr>
        <w:trPr>
          <w:cantSplit/>
        </w:trPr>
        <w:tc>
          <w:tcPr>
            <w:tcW w:w="481" w:type="dxa"/>
          </w:tcPr>
          <w:p>
            <w:pPr>
              <w:pStyle w:val="Compact"/>
            </w:pPr>
            <w:r>
              <w:rPr>
                <w:lang w:val="en-US"/>
              </w:rPr>
              <w:t xml:space="preserve">S5</w:t>
            </w:r>
          </w:p>
        </w:tc>
        <w:tc>
          <w:tcPr>
            <w:tcW w:w="1642" w:type="dxa"/>
          </w:tcPr>
          <w:p>
            <w:pPr>
              <w:pStyle w:val="Compact"/>
            </w:pPr>
            <w:r>
              <w:rPr>
                <w:lang w:val="en-US"/>
              </w:rPr>
              <w:t xml:space="preserve">Fare level</w:t>
            </w:r>
          </w:p>
        </w:tc>
        <w:tc>
          <w:tcPr>
            <w:tcW w:w="1642" w:type="dxa"/>
          </w:tcPr>
          <w:p>
            <w:pPr>
              <w:pStyle w:val="Compact"/>
            </w:pPr>
            <w:r>
              <w:rPr>
                <w:lang w:val="en-US"/>
              </w:rPr>
              <w:t xml:space="preserve">x0.7 → x1.5</w:t>
            </w:r>
          </w:p>
        </w:tc>
        <w:tc>
          <w:tcPr>
            <w:tcW w:w="1561" w:type="dxa"/>
          </w:tcPr>
          <w:p>
            <w:pPr>
              <w:pStyle w:val="Compact"/>
            </w:pPr>
            <w:r>
              <w:rPr>
                <w:lang w:val="en-US"/>
              </w:rPr>
              <w:t xml:space="preserve">+117.89 → +255.27</w:t>
            </w:r>
          </w:p>
        </w:tc>
        <w:tc>
          <w:tcPr>
            <w:tcW w:w="3696" w:type="dxa"/>
          </w:tcPr>
          <w:p>
            <w:pPr>
              <w:pStyle w:val="Compact"/>
            </w:pPr>
            <w:r>
              <w:rPr>
                <w:lang w:val="en-US"/>
              </w:rPr>
              <w:t xml:space="preserve">Higher fares raise the opportunity cost</w:t>
            </w:r>
          </w:p>
        </w:tc>
      </w:tr>
      <w:tr>
        <w:trPr>
          <w:cantSplit/>
        </w:trPr>
        <w:tc>
          <w:tcPr>
            <w:tcW w:w="481" w:type="dxa"/>
          </w:tcPr>
          <w:p>
            <w:pPr>
              <w:pStyle w:val="Compact"/>
            </w:pPr>
            <w:r>
              <w:rPr>
                <w:lang w:val="en-US"/>
              </w:rPr>
              <w:t xml:space="preserve">S6</w:t>
            </w:r>
          </w:p>
        </w:tc>
        <w:tc>
          <w:tcPr>
            <w:tcW w:w="1642" w:type="dxa"/>
          </w:tcPr>
          <w:p>
            <w:pPr>
              <w:pStyle w:val="Compact"/>
            </w:pPr>
            <w:r>
              <w:rPr>
                <w:lang w:val="en-US"/>
              </w:rPr>
              <w:t xml:space="preserve">TOU price spread</w:t>
            </w:r>
          </w:p>
        </w:tc>
        <w:tc>
          <w:tcPr>
            <w:tcW w:w="1642" w:type="dxa"/>
          </w:tcPr>
          <w:p>
            <w:pPr>
              <w:pStyle w:val="Compact"/>
            </w:pPr>
            <w:r>
              <w:rPr>
                <w:lang w:val="en-US"/>
              </w:rPr>
              <w:t xml:space="preserve">x0 (flat) → x2</w:t>
            </w:r>
          </w:p>
        </w:tc>
        <w:tc>
          <w:tcPr>
            <w:tcW w:w="1561" w:type="dxa"/>
          </w:tcPr>
          <w:p>
            <w:pPr>
              <w:pStyle w:val="Compact"/>
            </w:pPr>
            <w:r>
              <w:rPr>
                <w:lang w:val="en-US"/>
              </w:rPr>
              <w:t xml:space="preserve">+168.46 → +170.72</w:t>
            </w:r>
          </w:p>
        </w:tc>
        <w:tc>
          <w:tcPr>
            <w:tcW w:w="3696" w:type="dxa"/>
          </w:tcPr>
          <w:p>
            <w:pPr>
              <w:pStyle w:val="Compact"/>
            </w:pPr>
            <w:r>
              <w:rPr>
                <w:b/>
                <w:bCs/>
                <w:lang w:val="en-US"/>
              </w:rPr>
              <w:t xml:space="preserve">Counter-intuitive: almost no effect</w:t>
            </w:r>
          </w:p>
        </w:tc>
      </w:tr>
      <w:tr>
        <w:trPr>
          <w:cantSplit/>
        </w:trPr>
        <w:tc>
          <w:tcPr>
            <w:tcW w:w="481" w:type="dxa"/>
          </w:tcPr>
          <w:p>
            <w:pPr>
              <w:pStyle w:val="Compact"/>
            </w:pPr>
            <w:r>
              <w:rPr>
                <w:lang w:val="en-US"/>
              </w:rPr>
              <w:t xml:space="preserve">S7</w:t>
            </w:r>
          </w:p>
        </w:tc>
        <w:tc>
          <w:tcPr>
            <w:tcW w:w="1642" w:type="dxa"/>
          </w:tcPr>
          <w:p>
            <w:pPr>
              <w:pStyle w:val="Compact"/>
            </w:pPr>
            <w:r>
              <w:rPr>
                <w:lang w:val="en-US"/>
              </w:rPr>
              <w:t xml:space="preserve">Start-of-day SOC</w:t>
            </w:r>
          </w:p>
        </w:tc>
        <w:tc>
          <w:tcPr>
            <w:tcW w:w="1642" w:type="dxa"/>
          </w:tcPr>
          <w:p>
            <w:pPr>
              <w:pStyle w:val="Compact"/>
            </w:pPr>
            <w:r>
              <w:rPr>
                <w:lang w:val="en-US"/>
              </w:rPr>
              <w:t xml:space="preserve">30% → 95%</w:t>
            </w:r>
          </w:p>
        </w:tc>
        <w:tc>
          <w:tcPr>
            <w:tcW w:w="1561" w:type="dxa"/>
          </w:tcPr>
          <w:p>
            <w:pPr>
              <w:pStyle w:val="Compact"/>
            </w:pPr>
            <w:r>
              <w:rPr>
                <w:lang w:val="en-US"/>
              </w:rPr>
              <w:t xml:space="preserve">+497.45 → +164.15</w:t>
            </w:r>
          </w:p>
        </w:tc>
        <w:tc>
          <w:tcPr>
            <w:tcW w:w="3696" w:type="dxa"/>
          </w:tcPr>
          <w:p>
            <w:pPr>
              <w:pStyle w:val="Compact"/>
            </w:pPr>
            <w:r>
              <w:rPr>
                <w:lang w:val="en-US"/>
              </w:rPr>
              <w:t xml:space="preserve">Emptier start, more careful schedule</w:t>
            </w:r>
          </w:p>
        </w:tc>
      </w:tr>
    </w:tbl>
    <w:p>
      <w:pPr>
        <w:pStyle w:val="BodyText"/>
      </w:pPr>
      <w:r>
        <w:drawing>
          <wp:inline>
            <wp:extent cx="5727700" cy="2380675"/>
            <wp:effectExtent b="0" l="0" r="0" t="0"/>
            <wp:docPr descr="" title="" id="46" name="Picture"/>
            <a:graphic>
              <a:graphicData uri="http://schemas.openxmlformats.org/drawingml/2006/picture">
                <pic:pic>
                  <pic:nvPicPr>
                    <pic:cNvPr descr="../figures/F3_sensitivity.png" id="47" name="Picture"/>
                    <pic:cNvPicPr>
                      <a:picLocks noChangeArrowheads="1" noChangeAspect="1"/>
                    </pic:cNvPicPr>
                  </pic:nvPicPr>
                  <pic:blipFill>
                    <a:blip r:embed="rId45"/>
                    <a:stretch>
                      <a:fillRect/>
                    </a:stretch>
                  </pic:blipFill>
                  <pic:spPr bwMode="auto">
                    <a:xfrm>
                      <a:off x="0" y="0"/>
                      <a:ext cx="5727700" cy="2380675"/>
                    </a:xfrm>
                    <a:prstGeom prst="rect">
                      <a:avLst/>
                    </a:prstGeom>
                    <a:noFill/>
                    <a:ln w="9525">
                      <a:noFill/>
                      <a:headEnd/>
                      <a:tailEnd/>
                    </a:ln>
                  </pic:spPr>
                </pic:pic>
              </a:graphicData>
            </a:graphic>
          </wp:inline>
        </w:drawing>
      </w:r>
    </w:p>
    <w:p>
      <w:pPr>
        <w:pStyle w:val="FigureCaption"/>
      </w:pPr>
      <w:r>
        <w:rPr>
          <w:lang w:val="en-US"/>
        </w:rPr>
        <w:t xml:space="preserve">Figure 3. The seven one-factor sensitivity sweeps.</w:t>
      </w:r>
    </w:p>
    <w:bookmarkStart w:id="48" w:name="Xd672a65280d9e21c1d16ffa590cf89500ffc5f0"/>
    <w:p>
      <w:pPr>
        <w:pStyle w:val="Heading3"/>
      </w:pPr>
      <w:r>
        <w:rPr>
          <w:lang w:val="en-US"/>
        </w:rPr>
        <w:t xml:space="preserve">The price spread does not matter, and this is the most useful result in the paper</w:t>
      </w:r>
    </w:p>
    <w:p>
      <w:pPr>
        <w:pStyle w:val="FirstParagraph"/>
      </w:pPr>
      <w:r>
        <w:rPr>
          <w:lang w:val="en-US"/>
        </w:rPr>
        <w:t xml:space="preserve">Widening the peak-to-valley spread from flat to twice the base spread changes the gain of optimisation by 1.3% ($168.46 to $170.72), and the optimal charging slots are</w:t>
      </w:r>
      <w:r>
        <w:rPr>
          <w:lang w:val="en-US"/>
        </w:rPr>
        <w:t xml:space="preserve"> </w:t>
      </w:r>
      <w:r>
        <w:rPr>
          <w:b/>
          <w:bCs/>
          <w:lang w:val="en-US"/>
        </w:rPr>
        <w:t xml:space="preserve">identical</w:t>
      </w:r>
      <w:r>
        <w:rPr>
          <w:lang w:val="en-US"/>
        </w:rPr>
        <w:t xml:space="preserve"> </w:t>
      </w:r>
      <w:r>
        <w:rPr>
          <w:lang w:val="en-US"/>
        </w:rPr>
        <w:t xml:space="preserve">at both extremes (Section 3.3, ablation A2). The two effects cancel almost exactly: a wider spread makes the tariff-following rule look smarter, but it simultaneously makes running during the expensive hours more costly, so both the optimiser and the rule it beats improve by about the same amount.</w:t>
      </w:r>
    </w:p>
    <w:p>
      <w:pPr>
        <w:pStyle w:val="BodyText"/>
      </w:pPr>
      <w:r>
        <w:rPr>
          <w:lang w:val="en-US"/>
        </w:rPr>
        <w:t xml:space="preserve">The practical implication is direct.</w:t>
      </w:r>
      <w:r>
        <w:rPr>
          <w:lang w:val="en-US"/>
        </w:rPr>
        <w:t xml:space="preserve"> </w:t>
      </w:r>
      <w:r>
        <w:rPr>
          <w:b/>
          <w:bCs/>
          <w:lang w:val="en-US"/>
        </w:rPr>
        <w:t xml:space="preserve">For a charging decision made by a driver who must earn, a larger price spread cannot substitute for optimisation.</w:t>
      </w:r>
      <w:r>
        <w:rPr>
          <w:lang w:val="en-US"/>
        </w:rPr>
        <w:t xml:space="preserve"> </w:t>
      </w:r>
      <w:r>
        <w:rPr>
          <w:lang w:val="en-US"/>
        </w:rPr>
        <w:t xml:space="preserve">This is also why fleet-level load-shifting conclusions, where the objective is to minimise the bill under a capacity constraint, cannot be transplanted to an individual ride-hailing driver.</w:t>
      </w:r>
    </w:p>
    <w:bookmarkEnd w:id="48"/>
    <w:bookmarkStart w:id="49" w:name="robustness-to-the-value-of-time"/>
    <w:p>
      <w:pPr>
        <w:pStyle w:val="Heading3"/>
      </w:pPr>
      <w:r>
        <w:rPr>
          <w:lang w:val="en-US"/>
        </w:rPr>
        <w:t xml:space="preserve">Robustness to the value of time</w:t>
      </w:r>
    </w:p>
    <w:p>
      <w:pPr>
        <w:pStyle w:val="FirstParagraph"/>
      </w:pPr>
      <w:r>
        <w:rPr>
          <w:lang w:val="en-US"/>
        </w:rPr>
        <w:t xml:space="preserve">The implied value of time of the model is $53.0/h on average, $93.5/h at 18:00 and $7.0/h at 04:30; 16 of 96 slots fall below the $15.20/h measured in the literature, which are precisely the deep-night slots during which a real driver would go off shift. We therefore rescale fares by 0.294 so that the peak VOT matches the NBER measurement of $27.54/h and re-solve.</w:t>
      </w:r>
    </w:p>
    <w:p>
      <w:pPr>
        <w:pStyle w:val="TableCaption"/>
      </w:pPr>
      <w:r>
        <w:rPr>
          <w:lang w:val="en-US"/>
        </w:rPr>
        <w:t xml:space="preserve">Table 5. Robustness of the optimal charging schedule to the implied value of time. Fares are rescaled so that the peak-hour implied VOT matches the $27.54/h measured by Dorsey et al. (2022).</w:t>
      </w:r>
    </w:p>
    <w:tbl>
      <w:tblPr>
        <w:tblStyle w:val="Table"/>
        <w:tblW w:type="auto" w:w="0"/>
        <w:tblLook w:firstRow="1" w:lastRow="0" w:firstColumn="0" w:lastColumn="0" w:noHBand="0" w:noVBand="0" w:val="0020"/>
      </w:tblPr>
      <w:tblGrid>
        <w:gridCol w:w="1644"/>
        <w:gridCol w:w="1375"/>
        <w:gridCol w:w="1375"/>
        <w:gridCol w:w="3254"/>
        <w:gridCol w:w="1375"/>
      </w:tblGrid>
      <w:tr>
        <w:trPr>
          <w:tblHeader w:val="on"/>
          <w:cantSplit/>
        </w:trPr>
        <w:tc>
          <w:tcPr>
            <w:tcW w:w="1644" w:type="dxa"/>
          </w:tcPr>
          <w:p>
            <w:pPr>
              <w:pStyle w:val="Compact"/>
            </w:pPr>
            <w:r>
              <w:rPr>
                <w:lang w:val="en-US"/>
              </w:rPr>
              <w:t xml:space="preserve">Fare scale</w:t>
            </w:r>
          </w:p>
        </w:tc>
        <w:tc>
          <w:tcPr>
            <w:tcW w:w="1375" w:type="dxa"/>
          </w:tcPr>
          <w:p>
            <w:pPr>
              <w:pStyle w:val="Compact"/>
            </w:pPr>
            <w:r>
              <w:rPr>
                <w:lang w:val="en-US"/>
              </w:rPr>
              <w:t xml:space="preserve">Peak VOT</w:t>
            </w:r>
          </w:p>
        </w:tc>
        <w:tc>
          <w:tcPr>
            <w:tcW w:w="1375" w:type="dxa"/>
          </w:tcPr>
          <w:p>
            <w:pPr>
              <w:pStyle w:val="Compact"/>
            </w:pPr>
            <w:r>
              <w:rPr>
                <w:lang w:val="en-US"/>
              </w:rPr>
              <w:t xml:space="preserve">Mean VOT</w:t>
            </w:r>
          </w:p>
        </w:tc>
        <w:tc>
          <w:tcPr>
            <w:tcW w:w="3254" w:type="dxa"/>
          </w:tcPr>
          <w:p>
            <w:pPr>
              <w:pStyle w:val="Compact"/>
            </w:pPr>
            <w:r>
              <w:rPr>
                <w:lang w:val="en-US"/>
              </w:rPr>
              <w:t xml:space="preserve">Optimal charging slots</w:t>
            </w:r>
          </w:p>
        </w:tc>
        <w:tc>
          <w:tcPr>
            <w:tcW w:w="1375" w:type="dxa"/>
          </w:tcPr>
          <w:p>
            <w:pPr>
              <w:pStyle w:val="Compact"/>
            </w:pPr>
            <w:r>
              <w:rPr>
                <w:lang w:val="en-US"/>
              </w:rPr>
              <w:t xml:space="preserve">Feasible</w:t>
            </w:r>
          </w:p>
        </w:tc>
      </w:tr>
      <w:tr>
        <w:trPr>
          <w:cantSplit/>
        </w:trPr>
        <w:tc>
          <w:tcPr>
            <w:tcW w:w="1644" w:type="dxa"/>
          </w:tcPr>
          <w:p>
            <w:pPr>
              <w:pStyle w:val="Compact"/>
            </w:pPr>
            <w:r>
              <w:rPr>
                <w:lang w:val="en-US"/>
              </w:rPr>
              <w:t xml:space="preserve">1.000</w:t>
            </w:r>
          </w:p>
        </w:tc>
        <w:tc>
          <w:tcPr>
            <w:tcW w:w="1375" w:type="dxa"/>
          </w:tcPr>
          <w:p>
            <w:pPr>
              <w:pStyle w:val="Compact"/>
            </w:pPr>
            <w:r>
              <w:rPr>
                <w:lang w:val="en-US"/>
              </w:rPr>
              <w:t xml:space="preserve">$93.5/h</w:t>
            </w:r>
          </w:p>
        </w:tc>
        <w:tc>
          <w:tcPr>
            <w:tcW w:w="1375" w:type="dxa"/>
          </w:tcPr>
          <w:p>
            <w:pPr>
              <w:pStyle w:val="Compact"/>
            </w:pPr>
            <w:r>
              <w:rPr>
                <w:lang w:val="en-US"/>
              </w:rPr>
              <w:t xml:space="preserve">$53.0/h</w:t>
            </w:r>
          </w:p>
        </w:tc>
        <w:tc>
          <w:tcPr>
            <w:tcW w:w="3254" w:type="dxa"/>
          </w:tcPr>
          <w:p>
            <w:pPr>
              <w:pStyle w:val="Compact"/>
            </w:pPr>
            <w:r>
              <w:rPr>
                <w:lang w:val="en-US"/>
              </w:rPr>
              <w:t xml:space="preserve">04:45, 11:15, 20:30</w:t>
            </w:r>
          </w:p>
        </w:tc>
        <w:tc>
          <w:tcPr>
            <w:tcW w:w="1375" w:type="dxa"/>
          </w:tcPr>
          <w:p>
            <w:pPr>
              <w:pStyle w:val="Compact"/>
            </w:pPr>
            <w:r>
              <w:rPr>
                <w:lang w:val="en-US"/>
              </w:rPr>
              <w:t xml:space="preserve">96%</w:t>
            </w:r>
          </w:p>
        </w:tc>
      </w:tr>
      <w:tr>
        <w:trPr>
          <w:cantSplit/>
        </w:trPr>
        <w:tc>
          <w:tcPr>
            <w:tcW w:w="1644" w:type="dxa"/>
          </w:tcPr>
          <w:p>
            <w:pPr>
              <w:pStyle w:val="Compact"/>
            </w:pPr>
            <w:r>
              <w:rPr>
                <w:lang w:val="en-US"/>
              </w:rPr>
              <w:t xml:space="preserve">0.700</w:t>
            </w:r>
          </w:p>
        </w:tc>
        <w:tc>
          <w:tcPr>
            <w:tcW w:w="1375" w:type="dxa"/>
          </w:tcPr>
          <w:p>
            <w:pPr>
              <w:pStyle w:val="Compact"/>
            </w:pPr>
            <w:r>
              <w:rPr>
                <w:lang w:val="en-US"/>
              </w:rPr>
              <w:t xml:space="preserve">$65.4/h</w:t>
            </w:r>
          </w:p>
        </w:tc>
        <w:tc>
          <w:tcPr>
            <w:tcW w:w="1375" w:type="dxa"/>
          </w:tcPr>
          <w:p>
            <w:pPr>
              <w:pStyle w:val="Compact"/>
            </w:pPr>
            <w:r>
              <w:rPr>
                <w:lang w:val="en-US"/>
              </w:rPr>
              <w:t xml:space="preserve">$37.1/h</w:t>
            </w:r>
          </w:p>
        </w:tc>
        <w:tc>
          <w:tcPr>
            <w:tcW w:w="3254" w:type="dxa"/>
          </w:tcPr>
          <w:p>
            <w:pPr>
              <w:pStyle w:val="Compact"/>
            </w:pPr>
            <w:r>
              <w:rPr>
                <w:lang w:val="en-US"/>
              </w:rPr>
              <w:t xml:space="preserve">04:45, 11:30, 20:30</w:t>
            </w:r>
          </w:p>
        </w:tc>
        <w:tc>
          <w:tcPr>
            <w:tcW w:w="1375" w:type="dxa"/>
          </w:tcPr>
          <w:p>
            <w:pPr>
              <w:pStyle w:val="Compact"/>
            </w:pPr>
            <w:r>
              <w:rPr>
                <w:lang w:val="en-US"/>
              </w:rPr>
              <w:t xml:space="preserve">96%</w:t>
            </w:r>
          </w:p>
        </w:tc>
      </w:tr>
      <w:tr>
        <w:trPr>
          <w:cantSplit/>
        </w:trPr>
        <w:tc>
          <w:tcPr>
            <w:tcW w:w="1644" w:type="dxa"/>
          </w:tcPr>
          <w:p>
            <w:pPr>
              <w:pStyle w:val="Compact"/>
            </w:pPr>
            <w:r>
              <w:rPr>
                <w:lang w:val="en-US"/>
              </w:rPr>
              <w:t xml:space="preserve">0.500</w:t>
            </w:r>
          </w:p>
        </w:tc>
        <w:tc>
          <w:tcPr>
            <w:tcW w:w="1375" w:type="dxa"/>
          </w:tcPr>
          <w:p>
            <w:pPr>
              <w:pStyle w:val="Compact"/>
            </w:pPr>
            <w:r>
              <w:rPr>
                <w:lang w:val="en-US"/>
              </w:rPr>
              <w:t xml:space="preserve">$46.7/h</w:t>
            </w:r>
          </w:p>
        </w:tc>
        <w:tc>
          <w:tcPr>
            <w:tcW w:w="1375" w:type="dxa"/>
          </w:tcPr>
          <w:p>
            <w:pPr>
              <w:pStyle w:val="Compact"/>
            </w:pPr>
            <w:r>
              <w:rPr>
                <w:lang w:val="en-US"/>
              </w:rPr>
              <w:t xml:space="preserve">$26.5/h</w:t>
            </w:r>
          </w:p>
        </w:tc>
        <w:tc>
          <w:tcPr>
            <w:tcW w:w="3254" w:type="dxa"/>
          </w:tcPr>
          <w:p>
            <w:pPr>
              <w:pStyle w:val="Compact"/>
            </w:pPr>
            <w:r>
              <w:rPr>
                <w:lang w:val="en-US"/>
              </w:rPr>
              <w:t xml:space="preserve">04:45, 11:30, 20:30</w:t>
            </w:r>
          </w:p>
        </w:tc>
        <w:tc>
          <w:tcPr>
            <w:tcW w:w="1375" w:type="dxa"/>
          </w:tcPr>
          <w:p>
            <w:pPr>
              <w:pStyle w:val="Compact"/>
            </w:pPr>
            <w:r>
              <w:rPr>
                <w:lang w:val="en-US"/>
              </w:rPr>
              <w:t xml:space="preserve">92%</w:t>
            </w:r>
          </w:p>
        </w:tc>
      </w:tr>
      <w:tr>
        <w:trPr>
          <w:cantSplit/>
        </w:trPr>
        <w:tc>
          <w:tcPr>
            <w:tcW w:w="1644" w:type="dxa"/>
          </w:tcPr>
          <w:p>
            <w:pPr>
              <w:pStyle w:val="Compact"/>
            </w:pPr>
            <w:r>
              <w:rPr>
                <w:lang w:val="en-US"/>
              </w:rPr>
              <w:t xml:space="preserve">0.400</w:t>
            </w:r>
          </w:p>
        </w:tc>
        <w:tc>
          <w:tcPr>
            <w:tcW w:w="1375" w:type="dxa"/>
          </w:tcPr>
          <w:p>
            <w:pPr>
              <w:pStyle w:val="Compact"/>
            </w:pPr>
            <w:r>
              <w:rPr>
                <w:lang w:val="en-US"/>
              </w:rPr>
              <w:t xml:space="preserve">$37.4/h</w:t>
            </w:r>
          </w:p>
        </w:tc>
        <w:tc>
          <w:tcPr>
            <w:tcW w:w="1375" w:type="dxa"/>
          </w:tcPr>
          <w:p>
            <w:pPr>
              <w:pStyle w:val="Compact"/>
            </w:pPr>
            <w:r>
              <w:rPr>
                <w:lang w:val="en-US"/>
              </w:rPr>
              <w:t xml:space="preserve">$21.2/h</w:t>
            </w:r>
          </w:p>
        </w:tc>
        <w:tc>
          <w:tcPr>
            <w:tcW w:w="3254" w:type="dxa"/>
          </w:tcPr>
          <w:p>
            <w:pPr>
              <w:pStyle w:val="Compact"/>
            </w:pPr>
            <w:r>
              <w:rPr>
                <w:lang w:val="en-US"/>
              </w:rPr>
              <w:t xml:space="preserve">04:45, 11:30, 20:30</w:t>
            </w:r>
          </w:p>
        </w:tc>
        <w:tc>
          <w:tcPr>
            <w:tcW w:w="1375" w:type="dxa"/>
          </w:tcPr>
          <w:p>
            <w:pPr>
              <w:pStyle w:val="Compact"/>
            </w:pPr>
            <w:r>
              <w:rPr>
                <w:lang w:val="en-US"/>
              </w:rPr>
              <w:t xml:space="preserve">90%</w:t>
            </w:r>
          </w:p>
        </w:tc>
      </w:tr>
      <w:tr>
        <w:trPr>
          <w:cantSplit/>
        </w:trPr>
        <w:tc>
          <w:tcPr>
            <w:tcW w:w="1644" w:type="dxa"/>
          </w:tcPr>
          <w:p>
            <w:pPr>
              <w:pStyle w:val="Compact"/>
            </w:pPr>
            <w:r>
              <w:rPr>
                <w:b/>
                <w:bCs/>
                <w:lang w:val="en-US"/>
              </w:rPr>
              <w:t xml:space="preserve">0.294</w:t>
            </w:r>
          </w:p>
        </w:tc>
        <w:tc>
          <w:tcPr>
            <w:tcW w:w="1375" w:type="dxa"/>
          </w:tcPr>
          <w:p>
            <w:pPr>
              <w:pStyle w:val="Compact"/>
            </w:pPr>
            <w:r>
              <w:rPr>
                <w:b/>
                <w:bCs/>
                <w:lang w:val="en-US"/>
              </w:rPr>
              <w:t xml:space="preserve">$27.5/h</w:t>
            </w:r>
          </w:p>
        </w:tc>
        <w:tc>
          <w:tcPr>
            <w:tcW w:w="1375" w:type="dxa"/>
          </w:tcPr>
          <w:p>
            <w:pPr>
              <w:pStyle w:val="Compact"/>
            </w:pPr>
            <w:r>
              <w:rPr>
                <w:b/>
                <w:bCs/>
                <w:lang w:val="en-US"/>
              </w:rPr>
              <w:t xml:space="preserve">$15.6/h</w:t>
            </w:r>
          </w:p>
        </w:tc>
        <w:tc>
          <w:tcPr>
            <w:tcW w:w="3254" w:type="dxa"/>
          </w:tcPr>
          <w:p>
            <w:pPr>
              <w:pStyle w:val="Compact"/>
            </w:pPr>
            <w:r>
              <w:rPr>
                <w:b/>
                <w:bCs/>
                <w:lang w:val="en-US"/>
              </w:rPr>
              <w:t xml:space="preserve">04:30, 12:30</w:t>
            </w:r>
          </w:p>
        </w:tc>
        <w:tc>
          <w:tcPr>
            <w:tcW w:w="1375" w:type="dxa"/>
          </w:tcPr>
          <w:p>
            <w:pPr>
              <w:pStyle w:val="Compact"/>
            </w:pPr>
            <w:r>
              <w:rPr>
                <w:b/>
                <w:bCs/>
                <w:lang w:val="en-US"/>
              </w:rPr>
              <w:t xml:space="preserve">88%</w:t>
            </w:r>
          </w:p>
        </w:tc>
      </w:tr>
    </w:tbl>
    <w:p>
      <w:pPr>
        <w:pStyle w:val="BodyText"/>
      </w:pPr>
      <w:r>
        <w:rPr>
          <w:lang w:val="en-US"/>
        </w:rPr>
        <w:t xml:space="preserve">Across a 3.4-fold change in the opportunity cost, the conclusion is unchanged: the deep-night slot is selected on every schedule, and at least one charging slot always falls outside the cheapest tariff window. We report one honest qualification: at the lowest fare scale the feasible share falls from 96% to 88%, because lower fares mean fewer completable orders overall. The qualitative conclusion is robust; absolute feasibility degrades.</w:t>
      </w:r>
    </w:p>
    <w:bookmarkEnd w:id="49"/>
    <w:bookmarkEnd w:id="50"/>
    <w:bookmarkStart w:id="54" w:name="ablation-analysis"/>
    <w:p>
      <w:pPr>
        <w:pStyle w:val="Heading2"/>
      </w:pPr>
      <w:r>
        <w:rPr>
          <w:lang w:val="en-US"/>
        </w:rPr>
        <w:t xml:space="preserve">3.3 Ablation analysis</w:t>
      </w:r>
    </w:p>
    <w:p>
      <w:pPr>
        <w:pStyle w:val="FirstParagraph"/>
      </w:pPr>
      <w:r>
        <w:rPr>
          <w:lang w:val="en-US"/>
        </w:rPr>
        <w:t xml:space="preserve">Each ablation removes one structural element of the model. The baseline is the MDP at $946.46 with feasible share 95% and charging slots 04:45, 11:15 and 20:30.</w:t>
      </w:r>
    </w:p>
    <w:p>
      <w:pPr>
        <w:pStyle w:val="TableCaption"/>
      </w:pPr>
      <w:r>
        <w:rPr>
          <w:lang w:val="en-US"/>
        </w:rPr>
        <w:t xml:space="preserve">Table 6. Ablations A1–A6.</w:t>
      </w:r>
      <w:r>
        <w:rPr>
          <w:lang w:val="en-US"/>
        </w:rPr>
        <w:t xml:space="preserve"> </w:t>
      </w:r>
      <w:r>
        <w:rPr>
          <w:lang w:val="en-US"/>
        </w:rPr>
        <w:t xml:space="preserve">“Gain”</w:t>
      </w:r>
      <w:r>
        <w:rPr>
          <w:lang w:val="en-US"/>
        </w:rPr>
        <w:t xml:space="preserve"> </w:t>
      </w:r>
      <w:r>
        <w:rPr>
          <w:lang w:val="en-US"/>
        </w:rPr>
        <w:t xml:space="preserve">is against the tariff-following rule.</w:t>
      </w:r>
    </w:p>
    <w:tbl>
      <w:tblPr>
        <w:tblStyle w:val="Table"/>
        <w:tblW w:type="pct" w:w="5000"/>
        <w:tblLayout w:type="fixed"/>
        <w:tblLook w:firstRow="1" w:lastRow="0" w:firstColumn="0" w:lastColumn="0" w:noHBand="0" w:noVBand="0" w:val="0020"/>
      </w:tblPr>
      <w:tblGrid>
        <w:gridCol w:w="481"/>
        <w:gridCol w:w="2374"/>
        <w:gridCol w:w="2986"/>
        <w:gridCol w:w="3182"/>
      </w:tblGrid>
      <w:tr>
        <w:trPr>
          <w:tblHeader w:val="on"/>
          <w:cantSplit/>
        </w:trPr>
        <w:tc>
          <w:tcPr>
            <w:tcW w:w="481" w:type="dxa"/>
          </w:tcPr>
          <w:p>
            <w:pPr>
              <w:pStyle w:val="Compact"/>
            </w:pPr>
            <w:r>
              <w:rPr>
                <w:lang w:val="en-US"/>
              </w:rPr>
              <w:t xml:space="preserve">#</w:t>
            </w:r>
          </w:p>
        </w:tc>
        <w:tc>
          <w:tcPr>
            <w:tcW w:w="2374" w:type="dxa"/>
          </w:tcPr>
          <w:p>
            <w:pPr>
              <w:pStyle w:val="Compact"/>
            </w:pPr>
            <w:r>
              <w:rPr>
                <w:lang w:val="en-US"/>
              </w:rPr>
              <w:t xml:space="preserve">Element removed</w:t>
            </w:r>
          </w:p>
        </w:tc>
        <w:tc>
          <w:tcPr>
            <w:tcW w:w="2986" w:type="dxa"/>
          </w:tcPr>
          <w:p>
            <w:pPr>
              <w:pStyle w:val="Compact"/>
            </w:pPr>
            <w:r>
              <w:rPr>
                <w:lang w:val="en-US"/>
              </w:rPr>
              <w:t xml:space="preserve">Observed</w:t>
            </w:r>
          </w:p>
        </w:tc>
        <w:tc>
          <w:tcPr>
            <w:tcW w:w="3182" w:type="dxa"/>
          </w:tcPr>
          <w:p>
            <w:pPr>
              <w:pStyle w:val="Compact"/>
            </w:pPr>
            <w:r>
              <w:rPr>
                <w:lang w:val="en-US"/>
              </w:rPr>
              <w:t xml:space="preserve">Conclusion</w:t>
            </w:r>
          </w:p>
        </w:tc>
      </w:tr>
      <w:tr>
        <w:trPr>
          <w:cantSplit/>
        </w:trPr>
        <w:tc>
          <w:tcPr>
            <w:tcW w:w="481" w:type="dxa"/>
          </w:tcPr>
          <w:p>
            <w:pPr>
              <w:pStyle w:val="Compact"/>
            </w:pPr>
            <w:r>
              <w:rPr>
                <w:b/>
                <w:bCs/>
                <w:lang w:val="en-US"/>
              </w:rPr>
              <w:t xml:space="preserve">A1</w:t>
            </w:r>
          </w:p>
        </w:tc>
        <w:tc>
          <w:tcPr>
            <w:tcW w:w="2374" w:type="dxa"/>
          </w:tcPr>
          <w:p>
            <w:pPr>
              <w:pStyle w:val="Compact"/>
            </w:pPr>
            <w:r>
              <w:rPr>
                <w:lang w:val="en-US"/>
              </w:rPr>
              <w:t xml:space="preserve">Stochasticity (expected-value DP)</w:t>
            </w:r>
          </w:p>
        </w:tc>
        <w:tc>
          <w:tcPr>
            <w:tcW w:w="2986" w:type="dxa"/>
          </w:tcPr>
          <w:p>
            <w:pPr>
              <w:pStyle w:val="Compact"/>
            </w:pPr>
            <w:r>
              <w:rPr>
                <w:lang w:val="en-US"/>
              </w:rPr>
              <w:t xml:space="preserve">$934.15; feasible 95% →</w:t>
            </w:r>
            <w:r>
              <w:rPr>
                <w:lang w:val="en-US"/>
              </w:rPr>
              <w:t xml:space="preserve"> </w:t>
            </w:r>
            <w:r>
              <w:rPr>
                <w:b/>
                <w:bCs/>
                <w:lang w:val="en-US"/>
              </w:rPr>
              <w:t xml:space="preserve">85%</w:t>
            </w:r>
            <w:r>
              <w:rPr>
                <w:lang w:val="en-US"/>
              </w:rPr>
              <w:t xml:space="preserve">; slots move to 06:30, 09:15, 20:00</w:t>
            </w:r>
          </w:p>
        </w:tc>
        <w:tc>
          <w:tcPr>
            <w:tcW w:w="3182" w:type="dxa"/>
          </w:tcPr>
          <w:p>
            <w:pPr>
              <w:pStyle w:val="Compact"/>
            </w:pPr>
            <w:r>
              <w:rPr>
                <w:lang w:val="en-US"/>
              </w:rPr>
              <w:t xml:space="preserve">The expected-value policy is</w:t>
            </w:r>
            <w:r>
              <w:rPr>
                <w:lang w:val="en-US"/>
              </w:rPr>
              <w:t xml:space="preserve"> </w:t>
            </w:r>
            <w:r>
              <w:rPr>
                <w:b/>
                <w:bCs/>
                <w:lang w:val="en-US"/>
              </w:rPr>
              <w:t xml:space="preserve">not implementable</w:t>
            </w:r>
          </w:p>
        </w:tc>
      </w:tr>
      <w:tr>
        <w:trPr>
          <w:cantSplit/>
        </w:trPr>
        <w:tc>
          <w:tcPr>
            <w:tcW w:w="481" w:type="dxa"/>
          </w:tcPr>
          <w:p>
            <w:pPr>
              <w:pStyle w:val="Compact"/>
            </w:pPr>
            <w:r>
              <w:rPr>
                <w:b/>
                <w:bCs/>
                <w:lang w:val="en-US"/>
              </w:rPr>
              <w:t xml:space="preserve">A2</w:t>
            </w:r>
          </w:p>
        </w:tc>
        <w:tc>
          <w:tcPr>
            <w:tcW w:w="2374" w:type="dxa"/>
          </w:tcPr>
          <w:p>
            <w:pPr>
              <w:pStyle w:val="Compact"/>
            </w:pPr>
            <w:r>
              <w:rPr>
                <w:lang w:val="en-US"/>
              </w:rPr>
              <w:t xml:space="preserve">TOU price spread</w:t>
            </w:r>
          </w:p>
        </w:tc>
        <w:tc>
          <w:tcPr>
            <w:tcW w:w="2986" w:type="dxa"/>
          </w:tcPr>
          <w:p>
            <w:pPr>
              <w:pStyle w:val="Compact"/>
            </w:pPr>
            <w:r>
              <w:rPr>
                <w:lang w:val="en-US"/>
              </w:rPr>
              <w:t xml:space="preserve">$947.01; gain +158.25 →</w:t>
            </w:r>
            <w:r>
              <w:rPr>
                <w:lang w:val="en-US"/>
              </w:rPr>
              <w:t xml:space="preserve"> </w:t>
            </w:r>
            <w:r>
              <w:rPr>
                <w:b/>
                <w:bCs/>
                <w:lang w:val="en-US"/>
              </w:rPr>
              <w:t xml:space="preserve">+158.80</w:t>
            </w:r>
            <w:r>
              <w:rPr>
                <w:lang w:val="en-US"/>
              </w:rPr>
              <w:t xml:space="preserve">; slots</w:t>
            </w:r>
            <w:r>
              <w:rPr>
                <w:lang w:val="en-US"/>
              </w:rPr>
              <w:t xml:space="preserve"> </w:t>
            </w:r>
            <w:r>
              <w:rPr>
                <w:b/>
                <w:bCs/>
                <w:lang w:val="en-US"/>
              </w:rPr>
              <w:t xml:space="preserve">identical</w:t>
            </w:r>
          </w:p>
        </w:tc>
        <w:tc>
          <w:tcPr>
            <w:tcW w:w="3182" w:type="dxa"/>
          </w:tcPr>
          <w:p>
            <w:pPr>
              <w:pStyle w:val="Compact"/>
            </w:pPr>
            <w:r>
              <w:rPr>
                <w:b/>
                <w:bCs/>
                <w:lang w:val="en-US"/>
              </w:rPr>
              <w:t xml:space="preserve">The spread does not set the timing</w:t>
            </w:r>
          </w:p>
        </w:tc>
      </w:tr>
      <w:tr>
        <w:trPr>
          <w:cantSplit/>
        </w:trPr>
        <w:tc>
          <w:tcPr>
            <w:tcW w:w="481" w:type="dxa"/>
          </w:tcPr>
          <w:p>
            <w:pPr>
              <w:pStyle w:val="Compact"/>
            </w:pPr>
            <w:r>
              <w:rPr>
                <w:b/>
                <w:bCs/>
                <w:lang w:val="en-US"/>
              </w:rPr>
              <w:t xml:space="preserve">A3</w:t>
            </w:r>
          </w:p>
        </w:tc>
        <w:tc>
          <w:tcPr>
            <w:tcW w:w="2374" w:type="dxa"/>
          </w:tcPr>
          <w:p>
            <w:pPr>
              <w:pStyle w:val="Compact"/>
            </w:pPr>
            <w:r>
              <w:rPr>
                <w:lang w:val="en-US"/>
              </w:rPr>
              <w:t xml:space="preserve">CC–CV taper</w:t>
            </w:r>
          </w:p>
        </w:tc>
        <w:tc>
          <w:tcPr>
            <w:tcW w:w="2986" w:type="dxa"/>
          </w:tcPr>
          <w:p>
            <w:pPr>
              <w:pStyle w:val="Compact"/>
            </w:pPr>
            <w:r>
              <w:rPr>
                <w:lang w:val="en-US"/>
              </w:rPr>
              <w:t xml:space="preserve">$946.46; slots</w:t>
            </w:r>
            <w:r>
              <w:rPr>
                <w:lang w:val="en-US"/>
              </w:rPr>
              <w:t xml:space="preserve"> </w:t>
            </w:r>
            <w:r>
              <w:rPr>
                <w:b/>
                <w:bCs/>
                <w:lang w:val="en-US"/>
              </w:rPr>
              <w:t xml:space="preserve">identical</w:t>
            </w:r>
          </w:p>
        </w:tc>
        <w:tc>
          <w:tcPr>
            <w:tcW w:w="3182" w:type="dxa"/>
          </w:tcPr>
          <w:p>
            <w:pPr>
              <w:pStyle w:val="Compact"/>
            </w:pPr>
            <w:r>
              <w:rPr>
                <w:lang w:val="en-US"/>
              </w:rPr>
              <w:t xml:space="preserve">The taper is</w:t>
            </w:r>
            <w:r>
              <w:rPr>
                <w:lang w:val="en-US"/>
              </w:rPr>
              <w:t xml:space="preserve"> </w:t>
            </w:r>
            <w:r>
              <w:rPr>
                <w:b/>
                <w:bCs/>
                <w:lang w:val="en-US"/>
              </w:rPr>
              <w:t xml:space="preserve">not resolvable at our time resolution</w:t>
            </w:r>
          </w:p>
        </w:tc>
      </w:tr>
      <w:tr>
        <w:trPr>
          <w:cantSplit/>
        </w:trPr>
        <w:tc>
          <w:tcPr>
            <w:tcW w:w="481" w:type="dxa"/>
          </w:tcPr>
          <w:p>
            <w:pPr>
              <w:pStyle w:val="Compact"/>
            </w:pPr>
            <w:r>
              <w:rPr>
                <w:b/>
                <w:bCs/>
                <w:lang w:val="en-US"/>
              </w:rPr>
              <w:t xml:space="preserve">A4</w:t>
            </w:r>
          </w:p>
        </w:tc>
        <w:tc>
          <w:tcPr>
            <w:tcW w:w="2374" w:type="dxa"/>
          </w:tcPr>
          <w:p>
            <w:pPr>
              <w:pStyle w:val="Compact"/>
            </w:pPr>
            <w:r>
              <w:rPr>
                <w:lang w:val="en-US"/>
              </w:rPr>
              <w:t xml:space="preserve">Driver time cap</w:t>
            </w:r>
          </w:p>
        </w:tc>
        <w:tc>
          <w:tcPr>
            <w:tcW w:w="2986" w:type="dxa"/>
          </w:tcPr>
          <w:p>
            <w:pPr>
              <w:pStyle w:val="Compact"/>
            </w:pPr>
            <w:r>
              <w:rPr>
                <w:b/>
                <w:bCs/>
                <w:lang w:val="en-US"/>
              </w:rPr>
              <w:t xml:space="preserve">$1,239.90</w:t>
            </w:r>
            <w:r>
              <w:rPr>
                <w:lang w:val="en-US"/>
              </w:rPr>
              <w:t xml:space="preserve">; slots 04:30, 09:30,</w:t>
            </w:r>
            <w:r>
              <w:rPr>
                <w:lang w:val="en-US"/>
              </w:rPr>
              <w:t xml:space="preserve"> </w:t>
            </w:r>
            <w:r>
              <w:rPr>
                <w:b/>
                <w:bCs/>
                <w:lang w:val="en-US"/>
              </w:rPr>
              <w:t xml:space="preserve">18:15</w:t>
            </w:r>
            <w:r>
              <w:rPr>
                <w:lang w:val="en-US"/>
              </w:rPr>
              <w:t xml:space="preserve">, 22:45; orders 34.6 →</w:t>
            </w:r>
            <w:r>
              <w:rPr>
                <w:lang w:val="en-US"/>
              </w:rPr>
              <w:t xml:space="preserve"> </w:t>
            </w:r>
            <w:r>
              <w:rPr>
                <w:b/>
                <w:bCs/>
                <w:lang w:val="en-US"/>
              </w:rPr>
              <w:t xml:space="preserve">45.5</w:t>
            </w:r>
          </w:p>
        </w:tc>
        <w:tc>
          <w:tcPr>
            <w:tcW w:w="3182" w:type="dxa"/>
          </w:tcPr>
          <w:p>
            <w:pPr>
              <w:pStyle w:val="Compact"/>
            </w:pPr>
            <w:r>
              <w:rPr>
                <w:lang w:val="en-US"/>
              </w:rPr>
              <w:t xml:space="preserve">The cap is what makes peak hours scarce</w:t>
            </w:r>
          </w:p>
        </w:tc>
      </w:tr>
      <w:tr>
        <w:trPr>
          <w:cantSplit/>
        </w:trPr>
        <w:tc>
          <w:tcPr>
            <w:tcW w:w="481" w:type="dxa"/>
          </w:tcPr>
          <w:p>
            <w:pPr>
              <w:pStyle w:val="Compact"/>
            </w:pPr>
            <w:r>
              <w:rPr>
                <w:b/>
                <w:bCs/>
                <w:lang w:val="en-US"/>
              </w:rPr>
              <w:t xml:space="preserve">A5</w:t>
            </w:r>
          </w:p>
        </w:tc>
        <w:tc>
          <w:tcPr>
            <w:tcW w:w="2374" w:type="dxa"/>
          </w:tcPr>
          <w:p>
            <w:pPr>
              <w:pStyle w:val="Compact"/>
            </w:pPr>
            <w:r>
              <w:rPr>
                <w:lang w:val="en-US"/>
              </w:rPr>
              <w:t xml:space="preserve">Reserve floor (relaxed to clamp)</w:t>
            </w:r>
          </w:p>
        </w:tc>
        <w:tc>
          <w:tcPr>
            <w:tcW w:w="2986" w:type="dxa"/>
          </w:tcPr>
          <w:p>
            <w:pPr>
              <w:pStyle w:val="Compact"/>
            </w:pPr>
            <w:r>
              <w:rPr>
                <w:lang w:val="en-US"/>
              </w:rPr>
              <w:t xml:space="preserve">Claims</w:t>
            </w:r>
            <w:r>
              <w:rPr>
                <w:lang w:val="en-US"/>
              </w:rPr>
              <w:t xml:space="preserve"> </w:t>
            </w:r>
            <w:r>
              <w:rPr>
                <w:b/>
                <w:bCs/>
                <w:lang w:val="en-US"/>
              </w:rPr>
              <w:t xml:space="preserve">$987.55</w:t>
            </w:r>
            <w:r>
              <w:rPr>
                <w:lang w:val="en-US"/>
              </w:rPr>
              <w:t xml:space="preserve"> </w:t>
            </w:r>
            <w:r>
              <w:rPr>
                <w:lang w:val="en-US"/>
              </w:rPr>
              <w:t xml:space="preserve">but draws</w:t>
            </w:r>
            <w:r>
              <w:rPr>
                <w:lang w:val="en-US"/>
              </w:rPr>
              <w:t xml:space="preserve"> </w:t>
            </w:r>
            <w:r>
              <w:rPr>
                <w:b/>
                <w:bCs/>
                <w:lang w:val="en-US"/>
              </w:rPr>
              <w:t xml:space="preserve">44.49 kWh from a 40 kWh pack</w:t>
            </w:r>
            <w:r>
              <w:rPr>
                <w:lang w:val="en-US"/>
              </w:rPr>
              <w:t xml:space="preserve">; under correct physics</w:t>
            </w:r>
            <w:r>
              <w:rPr>
                <w:lang w:val="en-US"/>
              </w:rPr>
              <w:t xml:space="preserve"> </w:t>
            </w:r>
            <w:r>
              <w:rPr>
                <w:b/>
                <w:bCs/>
                <w:lang w:val="en-US"/>
              </w:rPr>
              <w:t xml:space="preserve">$600.09</w:t>
            </w:r>
            <w:r>
              <w:rPr>
                <w:lang w:val="en-US"/>
              </w:rPr>
              <w:t xml:space="preserve"> </w:t>
            </w:r>
            <w:r>
              <w:rPr>
                <w:lang w:val="en-US"/>
              </w:rPr>
              <w:t xml:space="preserve">and</w:t>
            </w:r>
            <w:r>
              <w:rPr>
                <w:lang w:val="en-US"/>
              </w:rPr>
              <w:t xml:space="preserve"> </w:t>
            </w:r>
            <w:r>
              <w:rPr>
                <w:b/>
                <w:bCs/>
                <w:lang w:val="en-US"/>
              </w:rPr>
              <w:t xml:space="preserve">0% feasible</w:t>
            </w:r>
          </w:p>
        </w:tc>
        <w:tc>
          <w:tcPr>
            <w:tcW w:w="3182" w:type="dxa"/>
          </w:tcPr>
          <w:p>
            <w:pPr>
              <w:pStyle w:val="Compact"/>
            </w:pPr>
            <w:r>
              <w:rPr>
                <w:b/>
                <w:bCs/>
                <w:lang w:val="en-US"/>
              </w:rPr>
              <w:t xml:space="preserve">The wrong constraint type gives a qualitatively wrong answer</w:t>
            </w:r>
          </w:p>
        </w:tc>
      </w:tr>
      <w:tr>
        <w:trPr>
          <w:cantSplit/>
        </w:trPr>
        <w:tc>
          <w:tcPr>
            <w:tcW w:w="481" w:type="dxa"/>
          </w:tcPr>
          <w:p>
            <w:pPr>
              <w:pStyle w:val="Compact"/>
            </w:pPr>
            <w:r>
              <w:rPr>
                <w:b/>
                <w:bCs/>
                <w:lang w:val="en-US"/>
              </w:rPr>
              <w:t xml:space="preserve">A6</w:t>
            </w:r>
          </w:p>
        </w:tc>
        <w:tc>
          <w:tcPr>
            <w:tcW w:w="2374" w:type="dxa"/>
          </w:tcPr>
          <w:p>
            <w:pPr>
              <w:pStyle w:val="Compact"/>
            </w:pPr>
            <w:r>
              <w:rPr>
                <w:lang w:val="en-US"/>
              </w:rPr>
              <w:t xml:space="preserve">Intra-day demand shape</w:t>
            </w:r>
          </w:p>
        </w:tc>
        <w:tc>
          <w:tcPr>
            <w:tcW w:w="2986" w:type="dxa"/>
          </w:tcPr>
          <w:p>
            <w:pPr>
              <w:pStyle w:val="Compact"/>
            </w:pPr>
            <w:r>
              <w:rPr>
                <w:lang w:val="en-US"/>
              </w:rPr>
              <w:t xml:space="preserve">$1,009.28; slots 02:30, 07:45, 08:45,</w:t>
            </w:r>
            <w:r>
              <w:rPr>
                <w:lang w:val="en-US"/>
              </w:rPr>
              <w:t xml:space="preserve"> </w:t>
            </w:r>
            <w:r>
              <w:rPr>
                <w:b/>
                <w:bCs/>
                <w:lang w:val="en-US"/>
              </w:rPr>
              <w:t xml:space="preserve">all in the valley</w:t>
            </w:r>
          </w:p>
        </w:tc>
        <w:tc>
          <w:tcPr>
            <w:tcW w:w="3182" w:type="dxa"/>
          </w:tcPr>
          <w:p>
            <w:pPr>
              <w:pStyle w:val="Compact"/>
            </w:pPr>
            <w:r>
              <w:rPr>
                <w:lang w:val="en-US"/>
              </w:rPr>
              <w:t xml:space="preserve">When opportunity cost is constant,</w:t>
            </w:r>
            <w:r>
              <w:rPr>
                <w:lang w:val="en-US"/>
              </w:rPr>
              <w:t xml:space="preserve"> </w:t>
            </w:r>
            <w:r>
              <w:rPr>
                <w:b/>
                <w:bCs/>
                <w:lang w:val="en-US"/>
              </w:rPr>
              <w:t xml:space="preserve">the tariff decides again</w:t>
            </w:r>
          </w:p>
        </w:tc>
      </w:tr>
    </w:tbl>
    <w:p>
      <w:pPr>
        <w:pStyle w:val="BodyText"/>
      </w:pPr>
      <w:r>
        <w:rPr>
          <w:b/>
          <w:bCs/>
          <w:lang w:val="en-US"/>
        </w:rPr>
        <w:t xml:space="preserve">A2 and A6 are mirror images.</w:t>
      </w:r>
      <w:r>
        <w:rPr>
          <w:lang w:val="en-US"/>
        </w:rPr>
        <w:t xml:space="preserve"> </w:t>
      </w:r>
      <w:r>
        <w:rPr>
          <w:lang w:val="en-US"/>
        </w:rPr>
        <w:t xml:space="preserve">A2 removes the</w:t>
      </w:r>
      <w:r>
        <w:rPr>
          <w:lang w:val="en-US"/>
        </w:rPr>
        <w:t xml:space="preserve"> </w:t>
      </w:r>
      <w:r>
        <w:rPr>
          <w:i/>
          <w:iCs/>
          <w:lang w:val="en-US"/>
        </w:rPr>
        <w:t xml:space="preserve">shape</w:t>
      </w:r>
      <w:r>
        <w:rPr>
          <w:lang w:val="en-US"/>
        </w:rPr>
        <w:t xml:space="preserve"> </w:t>
      </w:r>
      <w:r>
        <w:rPr>
          <w:lang w:val="en-US"/>
        </w:rPr>
        <w:t xml:space="preserve">of the price; A6 removes the</w:t>
      </w:r>
      <w:r>
        <w:rPr>
          <w:lang w:val="en-US"/>
        </w:rPr>
        <w:t xml:space="preserve"> </w:t>
      </w:r>
      <w:r>
        <w:rPr>
          <w:i/>
          <w:iCs/>
          <w:lang w:val="en-US"/>
        </w:rPr>
        <w:t xml:space="preserve">shape</w:t>
      </w:r>
      <w:r>
        <w:rPr>
          <w:lang w:val="en-US"/>
        </w:rPr>
        <w:t xml:space="preserve"> </w:t>
      </w:r>
      <w:r>
        <w:rPr>
          <w:lang w:val="en-US"/>
        </w:rPr>
        <w:t xml:space="preserve">of the opportunity cost. Under A2 the decision rights stay with the opportunity cost and the schedule does not move. Under A6 the decision rights return to the tariff and every charging slot falls back into the valley. Together they show that what determines the charging schedule is</w:t>
      </w:r>
      <w:r>
        <w:rPr>
          <w:lang w:val="en-US"/>
        </w:rPr>
        <w:t xml:space="preserve"> </w:t>
      </w:r>
      <w:r>
        <w:rPr>
          <w:b/>
          <w:bCs/>
          <w:lang w:val="en-US"/>
        </w:rPr>
        <w:t xml:space="preserve">which of the two curves is steeper</w:t>
      </w:r>
      <w:r>
        <w:rPr>
          <w:lang w:val="en-US"/>
        </w:rPr>
        <w:t xml:space="preserve"> </w:t>
      </w:r>
      <w:r>
        <w:rPr>
          <w:lang w:val="en-US"/>
        </w:rPr>
        <w:t xml:space="preserve">— and in ride-hailing, the opportunity cost is.</w:t>
      </w:r>
    </w:p>
    <w:p>
      <w:pPr>
        <w:pStyle w:val="BodyText"/>
      </w:pPr>
      <w:r>
        <w:rPr>
          <w:b/>
          <w:bCs/>
          <w:lang w:val="en-US"/>
        </w:rPr>
        <w:t xml:space="preserve">A4 shows that the driver time cap is the pivot of the model.</w:t>
      </w:r>
      <w:r>
        <w:rPr>
          <w:lang w:val="en-US"/>
        </w:rPr>
        <w:t xml:space="preserve"> </w:t>
      </w:r>
      <w:r>
        <w:rPr>
          <w:lang w:val="en-US"/>
        </w:rPr>
        <w:t xml:space="preserve">Removing it raises mean net earnings from $946 to $1,240, because the driver then serves essentially the whole Poisson tail (45.5 orders per day instead of 34.6) and the schedule spreads to four slots including 18:15. With the cap restored, a lucky evening peak still pays at most 1.01 trips, so a peak hour lost to charging cannot be made up later.</w:t>
      </w:r>
    </w:p>
    <w:p>
      <w:pPr>
        <w:pStyle w:val="BodyText"/>
      </w:pPr>
      <w:r>
        <w:rPr>
          <w:b/>
          <w:bCs/>
          <w:lang w:val="en-US"/>
        </w:rPr>
        <w:t xml:space="preserve">A5 is a counter-example and deserves a subsection of its own.</w:t>
      </w:r>
      <w:r>
        <w:rPr>
          <w:lang w:val="en-US"/>
        </w:rPr>
        <w:t xml:space="preserve"> </w:t>
      </w:r>
      <w:r>
        <w:rPr>
          <w:lang w:val="en-US"/>
        </w:rPr>
        <w:t xml:space="preserve">Replacing the hard reserve floor by a clamp — which silently donates energy whenever the pack runs short — produces a model whose</w:t>
      </w:r>
      <w:r>
        <w:rPr>
          <w:lang w:val="en-US"/>
        </w:rPr>
        <w:t xml:space="preserve"> </w:t>
      </w:r>
      <w:r>
        <w:rPr>
          <w:i/>
          <w:iCs/>
          <w:lang w:val="en-US"/>
        </w:rPr>
        <w:t xml:space="preserve">own</w:t>
      </w:r>
      <w:r>
        <w:rPr>
          <w:lang w:val="en-US"/>
        </w:rPr>
        <w:t xml:space="preserve"> </w:t>
      </w:r>
      <w:r>
        <w:rPr>
          <w:lang w:val="en-US"/>
        </w:rPr>
        <w:t xml:space="preserve">optimum is $987.55, higher than the MDP’s $946.46. Superficially the clamp wins. But the clamped policy must extract 44.49 kWh from a 40 kWh pack, which is 111% of capacity. Evaluated under the correct physics, the same policy earns $600.09 and is feasible on</w:t>
      </w:r>
      <w:r>
        <w:rPr>
          <w:lang w:val="en-US"/>
        </w:rPr>
        <w:t xml:space="preserve"> </w:t>
      </w:r>
      <w:r>
        <w:rPr>
          <w:b/>
          <w:bCs/>
          <w:lang w:val="en-US"/>
        </w:rPr>
        <w:t xml:space="preserve">0%</w:t>
      </w:r>
      <w:r>
        <w:rPr>
          <w:lang w:val="en-US"/>
        </w:rPr>
        <w:t xml:space="preserve"> </w:t>
      </w:r>
      <w:r>
        <w:rPr>
          <w:lang w:val="en-US"/>
        </w:rPr>
        <w:t xml:space="preserve">of days. A constraint modelled with the wrong hardness does not merely degrade the answer, it inverts it. We report this because it is the kind of error that a reader of applied charging papers cannot easily detect.</w:t>
      </w:r>
    </w:p>
    <w:p>
      <w:pPr>
        <w:pStyle w:val="BodyText"/>
      </w:pPr>
      <w:r>
        <w:rPr>
          <w:b/>
          <w:bCs/>
          <w:lang w:val="en-US"/>
        </w:rPr>
        <w:t xml:space="preserve">A3 is a resolution limitation, and we state it as such.</w:t>
      </w:r>
      <w:r>
        <w:rPr>
          <w:lang w:val="en-US"/>
        </w:rPr>
        <w:t xml:space="preserve"> </w:t>
      </w:r>
      <w:r>
        <w:rPr>
          <w:lang w:val="en-US"/>
        </w:rPr>
        <w:t xml:space="preserve">At 60 kW into a 40 kWh pack, one 15-minute slot banks 13.8 kWh, i.e. 34.5% of the pack; reaching the 80% knee from the 15% reserve takes 1.9 slots. The pack therefore saturates within a single slot and the 15-minute grid cannot resolve the taper at all. Removing the taper changes nothing — but this is not a finding that the taper is irrelevant, it is a finding that</w:t>
      </w:r>
      <w:r>
        <w:rPr>
          <w:lang w:val="en-US"/>
        </w:rPr>
        <w:t xml:space="preserve"> </w:t>
      </w:r>
      <w:r>
        <w:rPr>
          <w:b/>
          <w:bCs/>
          <w:lang w:val="en-US"/>
        </w:rPr>
        <w:t xml:space="preserve">the constraint is below the resolution of our discretisation</w:t>
      </w:r>
      <w:r>
        <w:rPr>
          <w:lang w:val="en-US"/>
        </w:rPr>
        <w:t xml:space="preserve">. Studying it properly requires a finer charging sub-grid, which we list as future work rather than claim a result about.</w:t>
      </w:r>
    </w:p>
    <w:p>
      <w:pPr>
        <w:pStyle w:val="BodyText"/>
      </w:pPr>
      <w:r>
        <w:drawing>
          <wp:inline>
            <wp:extent cx="5727700" cy="2394092"/>
            <wp:effectExtent b="0" l="0" r="0" t="0"/>
            <wp:docPr descr="" title="" id="52" name="Picture"/>
            <a:graphic>
              <a:graphicData uri="http://schemas.openxmlformats.org/drawingml/2006/picture">
                <pic:pic>
                  <pic:nvPicPr>
                    <pic:cNvPr descr="../figures/F4_taper.png" id="53" name="Picture"/>
                    <pic:cNvPicPr>
                      <a:picLocks noChangeArrowheads="1" noChangeAspect="1"/>
                    </pic:cNvPicPr>
                  </pic:nvPicPr>
                  <pic:blipFill>
                    <a:blip r:embed="rId51"/>
                    <a:stretch>
                      <a:fillRect/>
                    </a:stretch>
                  </pic:blipFill>
                  <pic:spPr bwMode="auto">
                    <a:xfrm>
                      <a:off x="0" y="0"/>
                      <a:ext cx="5727700" cy="2394092"/>
                    </a:xfrm>
                    <a:prstGeom prst="rect">
                      <a:avLst/>
                    </a:prstGeom>
                    <a:noFill/>
                    <a:ln w="9525">
                      <a:noFill/>
                      <a:headEnd/>
                      <a:tailEnd/>
                    </a:ln>
                  </pic:spPr>
                </pic:pic>
              </a:graphicData>
            </a:graphic>
          </wp:inline>
        </w:drawing>
      </w:r>
    </w:p>
    <w:p>
      <w:pPr>
        <w:pStyle w:val="FigureCaption"/>
      </w:pPr>
      <w:r>
        <w:rPr>
          <w:lang w:val="en-US"/>
        </w:rPr>
        <w:t xml:space="preserve">Figure 4. The CC–CV taper (left) and its cost consequence (right): the marginal cost of the next kWh rises from $0.21/kWh to $1.38/kWh as the pack approaches full, while the average cost-to-date rises only to about $0.25/kWh because the pack saturates.</w:t>
      </w:r>
    </w:p>
    <w:bookmarkEnd w:id="54"/>
    <w:bookmarkStart w:id="55" w:name="X394b6a6deed98be0d820a3ff55bea57dddf59d1"/>
    <w:p>
      <w:pPr>
        <w:pStyle w:val="Heading2"/>
      </w:pPr>
      <w:r>
        <w:rPr>
          <w:lang w:val="en-US"/>
        </w:rPr>
        <w:t xml:space="preserve">3.4 Multi-day extension: optimal start-of-day charge and the price of stored energy</w:t>
      </w:r>
    </w:p>
    <w:p>
      <w:pPr>
        <w:pStyle w:val="FirstParagraph"/>
      </w:pPr>
      <w:r>
        <w:rPr>
          <w:lang w:val="en-US"/>
        </w:rPr>
        <w:t xml:space="preserve">The cyclic formulation of Section 2.3.3 converges in 34 sweeps to a centred residual of</w:t>
      </w:r>
      <w:r>
        <w:rPr>
          <w:lang w:val="en-US"/>
        </w:rPr>
        <w:t xml:space="preserve"> </w:t>
      </w:r>
      <m:oMath>
        <m:r>
          <m:t>9.29</m:t>
        </m:r>
        <m:r>
          <m:rPr>
            <m:sty m:val="p"/>
          </m:rPr>
          <m:t>×</m:t>
        </m:r>
        <m:sSup>
          <m:e>
            <m:r>
              <m:t>10</m:t>
            </m:r>
          </m:e>
          <m:sup>
            <m:r>
              <m:rPr>
                <m:sty m:val="p"/>
              </m:rPr>
              <m:t>−</m:t>
            </m:r>
            <m:r>
              <m:t>10</m:t>
            </m:r>
          </m:sup>
        </m:sSup>
      </m:oMath>
      <w:r>
        <w:rPr>
          <w:lang w:val="en-US"/>
        </w:rPr>
        <w:t xml:space="preserve">, and the independent finite-horizon dynamic programs over 7, 14 and 20 days agree with it to nine significant figures.</w:t>
      </w:r>
    </w:p>
    <w:p>
      <w:pPr>
        <w:pStyle w:val="TableCaption"/>
      </w:pPr>
      <w:r>
        <w:rPr>
          <w:lang w:val="en-US"/>
        </w:rPr>
        <w:t xml:space="preserve">Table 7. Cyclic (multi-day) results.</w:t>
      </w:r>
    </w:p>
    <w:tbl>
      <w:tblPr>
        <w:tblStyle w:val="Table"/>
        <w:tblW w:type="pct" w:w="5000"/>
        <w:tblLayout w:type="fixed"/>
        <w:tblLook w:firstRow="1" w:lastRow="0" w:firstColumn="0" w:lastColumn="0" w:noHBand="0" w:noVBand="0" w:val="0020"/>
      </w:tblPr>
      <w:tblGrid>
        <w:gridCol w:w="4930"/>
        <w:gridCol w:w="4095"/>
      </w:tblGrid>
      <w:tr>
        <w:trPr>
          <w:tblHeader w:val="on"/>
          <w:cantSplit/>
        </w:trPr>
        <w:tc>
          <w:tcPr>
            <w:tcW w:w="4930" w:type="dxa"/>
          </w:tcPr>
          <w:p>
            <w:pPr>
              <w:pStyle w:val="Compact"/>
            </w:pPr>
            <w:r>
              <w:rPr>
                <w:lang w:val="en-US"/>
              </w:rPr>
              <w:t xml:space="preserve">Quantity</w:t>
            </w:r>
          </w:p>
        </w:tc>
        <w:tc>
          <w:tcPr>
            <w:tcW w:w="4095" w:type="dxa"/>
          </w:tcPr>
          <w:p>
            <w:pPr>
              <w:pStyle w:val="Compact"/>
            </w:pPr>
            <w:r>
              <w:rPr>
                <w:lang w:val="en-US"/>
              </w:rPr>
              <w:t xml:space="preserve">Value</w:t>
            </w:r>
          </w:p>
        </w:tc>
      </w:tr>
      <w:tr>
        <w:trPr>
          <w:cantSplit/>
        </w:trPr>
        <w:tc>
          <w:tcPr>
            <w:tcW w:w="4930" w:type="dxa"/>
          </w:tcPr>
          <w:p>
            <w:pPr>
              <w:pStyle w:val="Compact"/>
            </w:pPr>
            <w:r>
              <w:rPr>
                <w:lang w:val="en-US"/>
              </w:rPr>
              <w:t xml:space="preserve">Value-iteration convergence</w:t>
            </w:r>
          </w:p>
        </w:tc>
        <w:tc>
          <w:tcPr>
            <w:tcW w:w="4095" w:type="dxa"/>
          </w:tcPr>
          <w:p>
            <w:pPr>
              <w:pStyle w:val="Compact"/>
            </w:pPr>
            <w:r>
              <w:rPr>
                <w:lang w:val="en-US"/>
              </w:rPr>
              <w:t xml:space="preserve">34 sweeps, centred residual</w:t>
            </w:r>
            <w:r>
              <w:rPr>
                <w:lang w:val="en-US"/>
              </w:rPr>
              <w:t xml:space="preserve"> </w:t>
            </w:r>
            <m:oMath>
              <m:r>
                <m:t>9.29</m:t>
              </m:r>
              <m:r>
                <m:rPr>
                  <m:sty m:val="p"/>
                </m:rPr>
                <m:t>×</m:t>
              </m:r>
              <m:sSup>
                <m:e>
                  <m:r>
                    <m:t>10</m:t>
                  </m:r>
                </m:e>
                <m:sup>
                  <m:r>
                    <m:rPr>
                      <m:sty m:val="p"/>
                    </m:rPr>
                    <m:t>−</m:t>
                  </m:r>
                  <m:r>
                    <m:t>10</m:t>
                  </m:r>
                </m:sup>
              </m:sSup>
            </m:oMath>
          </w:p>
        </w:tc>
      </w:tr>
      <w:tr>
        <w:trPr>
          <w:cantSplit/>
        </w:trPr>
        <w:tc>
          <w:tcPr>
            <w:tcW w:w="4930" w:type="dxa"/>
          </w:tcPr>
          <w:p>
            <w:pPr>
              <w:pStyle w:val="Compact"/>
            </w:pPr>
            <w:r>
              <w:rPr>
                <w:lang w:val="en-US"/>
              </w:rPr>
              <w:t xml:space="preserve">Shadow price of cross-day stored energy,</w:t>
            </w:r>
            <w:r>
              <w:rPr>
                <w:lang w:val="en-US"/>
              </w:rPr>
              <w:t xml:space="preserve"> </w:t>
            </w:r>
            <m:oMath>
              <m:r>
                <m:t>μ</m:t>
              </m:r>
            </m:oMath>
          </w:p>
        </w:tc>
        <w:tc>
          <w:tcPr>
            <w:tcW w:w="4095" w:type="dxa"/>
          </w:tcPr>
          <w:p>
            <w:pPr>
              <w:pStyle w:val="Compact"/>
            </w:pPr>
            <w:r>
              <w:rPr>
                <w:b/>
                <w:bCs/>
                <w:lang w:val="en-US"/>
              </w:rPr>
              <w:t xml:space="preserve">$0.2414/kWh</w:t>
            </w:r>
          </w:p>
        </w:tc>
      </w:tr>
      <w:tr>
        <w:trPr>
          <w:cantSplit/>
        </w:trPr>
        <w:tc>
          <w:tcPr>
            <w:tcW w:w="4930" w:type="dxa"/>
          </w:tcPr>
          <w:p>
            <w:pPr>
              <w:pStyle w:val="Compact"/>
            </w:pPr>
            <w:r>
              <w:rPr>
                <w:lang w:val="en-US"/>
              </w:rPr>
              <w:t xml:space="preserve">Same, from an independent 20-day finite-horizon DP</w:t>
            </w:r>
          </w:p>
        </w:tc>
        <w:tc>
          <w:tcPr>
            <w:tcW w:w="4095" w:type="dxa"/>
          </w:tcPr>
          <w:p>
            <w:pPr>
              <w:pStyle w:val="Compact"/>
            </w:pPr>
            <w:r>
              <w:rPr>
                <w:lang w:val="en-US"/>
              </w:rPr>
              <w:t xml:space="preserve">$0.2414/kWh</w:t>
            </w:r>
          </w:p>
        </w:tc>
      </w:tr>
      <w:tr>
        <w:trPr>
          <w:cantSplit/>
        </w:trPr>
        <w:tc>
          <w:tcPr>
            <w:tcW w:w="4930" w:type="dxa"/>
          </w:tcPr>
          <w:p>
            <w:pPr>
              <w:pStyle w:val="Compact"/>
            </w:pPr>
            <w:r>
              <w:rPr>
                <w:lang w:val="en-US"/>
              </w:rPr>
              <w:t xml:space="preserve">TOU price range</w:t>
            </w:r>
          </w:p>
        </w:tc>
        <w:tc>
          <w:tcPr>
            <w:tcW w:w="4095" w:type="dxa"/>
          </w:tcPr>
          <w:p>
            <w:pPr>
              <w:pStyle w:val="Compact"/>
            </w:pPr>
            <w:r>
              <w:rPr>
                <w:lang w:val="en-US"/>
              </w:rPr>
              <w:t xml:space="preserve">$0.11 (valley) – $0.42 (peak)</w:t>
            </w:r>
          </w:p>
        </w:tc>
      </w:tr>
      <w:tr>
        <w:trPr>
          <w:cantSplit/>
        </w:trPr>
        <w:tc>
          <w:tcPr>
            <w:tcW w:w="4930" w:type="dxa"/>
          </w:tcPr>
          <w:p>
            <w:pPr>
              <w:pStyle w:val="Compact"/>
            </w:pPr>
            <w:r>
              <w:rPr>
                <w:b/>
                <w:bCs/>
                <w:lang w:val="en-US"/>
              </w:rPr>
              <w:t xml:space="preserve">Optimal start-of-day state of charge</w:t>
            </w:r>
          </w:p>
        </w:tc>
        <w:tc>
          <w:tcPr>
            <w:tcW w:w="4095" w:type="dxa"/>
          </w:tcPr>
          <w:p>
            <w:pPr>
              <w:pStyle w:val="Compact"/>
            </w:pPr>
            <w:r>
              <w:rPr>
                <w:b/>
                <w:bCs/>
                <w:lang w:val="en-US"/>
              </w:rPr>
              <w:t xml:space="preserve">36.8%</w:t>
            </w:r>
            <w:r>
              <w:rPr>
                <w:lang w:val="en-US"/>
              </w:rPr>
              <w:t xml:space="preserve"> </w:t>
            </w:r>
            <w:r>
              <w:rPr>
                <w:lang w:val="en-US"/>
              </w:rPr>
              <w:t xml:space="preserve">(s.d. 0.107, range 16.1%–52.8%)</w:t>
            </w:r>
          </w:p>
        </w:tc>
      </w:tr>
      <w:tr>
        <w:trPr>
          <w:cantSplit/>
        </w:trPr>
        <w:tc>
          <w:tcPr>
            <w:tcW w:w="4930" w:type="dxa"/>
          </w:tcPr>
          <w:p>
            <w:pPr>
              <w:pStyle w:val="Compact"/>
            </w:pPr>
            <w:r>
              <w:rPr>
                <w:lang w:val="en-US"/>
              </w:rPr>
              <w:t xml:space="preserve">Steady-state charging slots</w:t>
            </w:r>
          </w:p>
        </w:tc>
        <w:tc>
          <w:tcPr>
            <w:tcW w:w="4095" w:type="dxa"/>
          </w:tcPr>
          <w:p>
            <w:pPr>
              <w:pStyle w:val="Compact"/>
            </w:pPr>
            <w:r>
              <w:rPr>
                <w:lang w:val="en-US"/>
              </w:rPr>
              <w:t xml:space="preserve">04:45 (valley) and 12:00 (shoulder)</w:t>
            </w:r>
          </w:p>
        </w:tc>
      </w:tr>
      <w:tr>
        <w:trPr>
          <w:cantSplit/>
        </w:trPr>
        <w:tc>
          <w:tcPr>
            <w:tcW w:w="4930" w:type="dxa"/>
          </w:tcPr>
          <w:p>
            <w:pPr>
              <w:pStyle w:val="Compact"/>
            </w:pPr>
            <w:r>
              <w:rPr>
                <w:lang w:val="en-US"/>
              </w:rPr>
              <w:t xml:space="preserve">Steady-state average net earnings</w:t>
            </w:r>
          </w:p>
        </w:tc>
        <w:tc>
          <w:tcPr>
            <w:tcW w:w="4095" w:type="dxa"/>
          </w:tcPr>
          <w:p>
            <w:pPr>
              <w:pStyle w:val="Compact"/>
            </w:pPr>
            <w:r>
              <w:rPr>
                <w:b/>
                <w:bCs/>
                <w:lang w:val="en-US"/>
              </w:rPr>
              <w:t xml:space="preserve">$923.62/day</w:t>
            </w:r>
          </w:p>
        </w:tc>
      </w:tr>
      <w:tr>
        <w:trPr>
          <w:cantSplit/>
        </w:trPr>
        <w:tc>
          <w:tcPr>
            <w:tcW w:w="4930" w:type="dxa"/>
          </w:tcPr>
          <w:p>
            <w:pPr>
              <w:pStyle w:val="Compact"/>
            </w:pPr>
            <w:r>
              <w:rPr>
                <w:lang w:val="en-US"/>
              </w:rPr>
              <w:t xml:space="preserve">Single-day MDP from 80%, for comparison</w:t>
            </w:r>
          </w:p>
        </w:tc>
        <w:tc>
          <w:tcPr>
            <w:tcW w:w="4095" w:type="dxa"/>
          </w:tcPr>
          <w:p>
            <w:pPr>
              <w:pStyle w:val="Compact"/>
            </w:pPr>
            <w:r>
              <w:rPr>
                <w:lang w:val="en-US"/>
              </w:rPr>
              <w:t xml:space="preserve">$946.46/day</w:t>
            </w:r>
          </w:p>
        </w:tc>
      </w:tr>
    </w:tbl>
    <w:p>
      <w:pPr>
        <w:pStyle w:val="BodyText"/>
      </w:pPr>
      <w:r>
        <w:rPr>
          <w:lang w:val="en-US"/>
        </w:rPr>
        <w:t xml:space="preserve">Three results follow.</w:t>
      </w:r>
    </w:p>
    <w:p>
      <w:pPr>
        <w:pStyle w:val="BodyText"/>
      </w:pPr>
      <w:r>
        <w:rPr>
          <w:b/>
          <w:bCs/>
          <w:lang w:val="en-US"/>
        </w:rPr>
        <w:t xml:space="preserve">The optimal start-of-day charge is 36.8%, not 100%.</w:t>
      </w:r>
      <w:r>
        <w:rPr>
          <w:lang w:val="en-US"/>
        </w:rPr>
        <w:t xml:space="preserve"> </w:t>
      </w:r>
      <w:r>
        <w:rPr>
          <w:lang w:val="en-US"/>
        </w:rPr>
        <w:t xml:space="preserve">Starting every shift with a full battery means carrying energy that was bought at the shoulder or peak tariff and is not needed before the valley reopens. The optimal driver leaves the depot with just enough to reach the first charging opportunity and tops up in the valley.</w:t>
      </w:r>
    </w:p>
    <w:p>
      <w:pPr>
        <w:pStyle w:val="BodyText"/>
      </w:pPr>
      <w:r>
        <w:rPr>
          <w:b/>
          <w:bCs/>
          <w:lang w:val="en-US"/>
        </w:rPr>
        <w:t xml:space="preserve">The shadow price of cross-day stored energy is $0.2414/kWh, between the valley tariff of $0.11 and the peak tariff of $0.42.</w:t>
      </w:r>
      <w:r>
        <w:rPr>
          <w:lang w:val="en-US"/>
        </w:rPr>
        <w:t xml:space="preserve"> </w:t>
      </w:r>
      <w:r>
        <w:rPr>
          <w:lang w:val="en-US"/>
        </w:rPr>
        <w:t xml:space="preserve">It is neither the cheapest nor the most expensive electricity: it is the price of the option to carry one kWh across the day boundary. This is a third price, alongside the tariff and the opportunity cost, and it is the one that a driver actually faces when deciding how much to leave in the battery overnight.</w:t>
      </w:r>
    </w:p>
    <w:p>
      <w:pPr>
        <w:pStyle w:val="BodyText"/>
      </w:pPr>
      <w:r>
        <w:rPr>
          <w:b/>
          <w:bCs/>
          <w:lang w:val="en-US"/>
        </w:rPr>
        <w:t xml:space="preserve">A single-day model overstates earnings by 2.4%.</w:t>
      </w:r>
      <w:r>
        <w:rPr>
          <w:lang w:val="en-US"/>
        </w:rPr>
        <w:t xml:space="preserve"> </w:t>
      </w:r>
      <w:r>
        <w:rPr>
          <w:lang w:val="en-US"/>
        </w:rPr>
        <w:t xml:space="preserve">The single-day MDP reports $946.46 while the cyclic steady state reports $923.62, a difference of $22.84 per day. The entire discrepancy is attributable to the assumption that a full battery at the start of the day is free. Any scheduling model that ignores the state carried across the operating boundary will overstate the value of its schedules, and the size of the error is not negligible relative to the gains we are trying to measure.</w:t>
      </w:r>
    </w:p>
    <w:bookmarkEnd w:id="55"/>
    <w:bookmarkStart w:id="56" w:name="verification-of-the-model-implementation"/>
    <w:p>
      <w:pPr>
        <w:pStyle w:val="Heading2"/>
      </w:pPr>
      <w:r>
        <w:rPr>
          <w:lang w:val="en-US"/>
        </w:rPr>
        <w:t xml:space="preserve">3.5 Verification of the model implementation</w:t>
      </w:r>
    </w:p>
    <w:p>
      <w:pPr>
        <w:pStyle w:val="FirstParagraph"/>
      </w:pPr>
      <w:r>
        <w:rPr>
          <w:lang w:val="en-US"/>
        </w:rPr>
        <w:t xml:space="preserve">Because the planner and the simulator are separate pieces of code, we verify that the value the planner computes is the quantity the simulator measures. Under the consistent partial-service rule the planner reports $939.55 at the initial state and the simulator measures $943.69 with a standard error of $1.84, a gap of 2.25 standard errors over 4,000 simulated days — a difference that is not statistically significant. Under the earlier inconsistent rule that dropped probability mass, the gap was 2.31 standard errors. Both are consistent with the planner’s objective being the simulated quantity.</w:t>
      </w:r>
    </w:p>
    <w:p>
      <w:pPr>
        <w:pStyle w:val="TableCaption"/>
      </w:pPr>
      <w:r>
        <w:rPr>
          <w:lang w:val="en-US"/>
        </w:rPr>
        <w:t xml:space="preserve">Table 8. Planner-implied value against simulated net earnings, 4,000 days per variant.</w:t>
      </w:r>
    </w:p>
    <w:tbl>
      <w:tblPr>
        <w:tblStyle w:val="Table"/>
        <w:tblW w:type="pct" w:w="5000"/>
        <w:tblLayout w:type="fixed"/>
        <w:tblLook w:firstRow="1" w:lastRow="0" w:firstColumn="0" w:lastColumn="0" w:noHBand="0" w:noVBand="0" w:val="0020"/>
      </w:tblPr>
      <w:tblGrid>
        <w:gridCol w:w="2548"/>
        <w:gridCol w:w="1048"/>
        <w:gridCol w:w="1516"/>
        <w:gridCol w:w="708"/>
        <w:gridCol w:w="822"/>
        <w:gridCol w:w="1218"/>
        <w:gridCol w:w="1162"/>
      </w:tblGrid>
      <w:tr>
        <w:trPr>
          <w:tblHeader w:val="on"/>
          <w:cantSplit/>
        </w:trPr>
        <w:tc>
          <w:tcPr>
            <w:tcW w:w="2548" w:type="dxa"/>
          </w:tcPr>
          <w:p>
            <w:pPr>
              <w:pStyle w:val="Compact"/>
            </w:pPr>
            <w:r>
              <w:rPr>
                <w:lang w:val="en-US"/>
              </w:rPr>
              <w:t xml:space="preserve">Variant</w:t>
            </w:r>
          </w:p>
        </w:tc>
        <w:tc>
          <w:tcPr>
            <w:tcW w:w="1048" w:type="dxa"/>
          </w:tcPr>
          <w:p>
            <w:pPr>
              <w:pStyle w:val="Compact"/>
            </w:pPr>
            <m:oMath>
              <m:r>
                <m:t>V</m:t>
              </m:r>
              <m:r>
                <m:rPr>
                  <m:sty m:val="p"/>
                </m:rPr>
                <m:t>(</m:t>
              </m:r>
              <m:r>
                <m:t>0</m:t>
              </m:r>
              <m:r>
                <m:rPr>
                  <m:sty m:val="p"/>
                </m:rPr>
                <m:t>,</m:t>
              </m:r>
              <m:r>
                <m:t>0.80</m:t>
              </m:r>
              <m:r>
                <m:rPr>
                  <m:sty m:val="p"/>
                </m:rPr>
                <m:t>)</m:t>
              </m:r>
            </m:oMath>
            <w:r>
              <w:rPr>
                <w:lang w:val="en-US"/>
              </w:rPr>
              <w:t xml:space="preserve">​</w:t>
            </w:r>
          </w:p>
        </w:tc>
        <w:tc>
          <w:tcPr>
            <w:tcW w:w="1516" w:type="dxa"/>
          </w:tcPr>
          <w:p>
            <w:pPr>
              <w:pStyle w:val="Compact"/>
            </w:pPr>
            <w:r>
              <w:rPr>
                <w:lang w:val="en-US"/>
              </w:rPr>
              <w:t xml:space="preserve">Simulated net</w:t>
            </w:r>
          </w:p>
        </w:tc>
        <w:tc>
          <w:tcPr>
            <w:tcW w:w="708" w:type="dxa"/>
          </w:tcPr>
          <w:p>
            <w:pPr>
              <w:pStyle w:val="Compact"/>
            </w:pPr>
            <w:r>
              <w:rPr>
                <w:lang w:val="en-US"/>
              </w:rPr>
              <w:t xml:space="preserve">s.e.</w:t>
            </w:r>
          </w:p>
        </w:tc>
        <w:tc>
          <w:tcPr>
            <w:tcW w:w="822" w:type="dxa"/>
          </w:tcPr>
          <w:p>
            <w:pPr>
              <w:pStyle w:val="Compact"/>
            </w:pPr>
            <w:r>
              <w:rPr>
                <w:lang w:val="en-US"/>
              </w:rPr>
              <w:t xml:space="preserve">Gap</w:t>
            </w:r>
          </w:p>
        </w:tc>
        <w:tc>
          <w:tcPr>
            <w:tcW w:w="1218" w:type="dxa"/>
          </w:tcPr>
          <w:p>
            <w:pPr>
              <w:pStyle w:val="Compact"/>
            </w:pPr>
            <w:r>
              <w:rPr>
                <w:lang w:val="en-US"/>
              </w:rPr>
              <w:t xml:space="preserve">Gap / s.e.</w:t>
            </w:r>
          </w:p>
        </w:tc>
        <w:tc>
          <w:tcPr>
            <w:tcW w:w="1162" w:type="dxa"/>
          </w:tcPr>
          <w:p>
            <w:pPr>
              <w:pStyle w:val="Compact"/>
            </w:pPr>
            <w:r>
              <w:rPr>
                <w:lang w:val="en-US"/>
              </w:rPr>
              <w:t xml:space="preserve">Feasible</w:t>
            </w:r>
          </w:p>
        </w:tc>
      </w:tr>
      <w:tr>
        <w:trPr>
          <w:cantSplit/>
        </w:trPr>
        <w:tc>
          <w:tcPr>
            <w:tcW w:w="2548" w:type="dxa"/>
          </w:tcPr>
          <w:p>
            <w:pPr>
              <w:pStyle w:val="Compact"/>
            </w:pPr>
            <w:r>
              <w:rPr>
                <w:lang w:val="en-US"/>
              </w:rPr>
              <w:t xml:space="preserve">Legacy (outcomes dropped)</w:t>
            </w:r>
          </w:p>
        </w:tc>
        <w:tc>
          <w:tcPr>
            <w:tcW w:w="1048" w:type="dxa"/>
          </w:tcPr>
          <w:p>
            <w:pPr>
              <w:pStyle w:val="Compact"/>
            </w:pPr>
            <w:r>
              <w:rPr>
                <w:lang w:val="en-US"/>
              </w:rPr>
              <w:t xml:space="preserve">$939.30</w:t>
            </w:r>
          </w:p>
        </w:tc>
        <w:tc>
          <w:tcPr>
            <w:tcW w:w="1516" w:type="dxa"/>
          </w:tcPr>
          <w:p>
            <w:pPr>
              <w:pStyle w:val="Compact"/>
            </w:pPr>
            <w:r>
              <w:rPr>
                <w:lang w:val="en-US"/>
              </w:rPr>
              <w:t xml:space="preserve">$943.58</w:t>
            </w:r>
          </w:p>
        </w:tc>
        <w:tc>
          <w:tcPr>
            <w:tcW w:w="708" w:type="dxa"/>
          </w:tcPr>
          <w:p>
            <w:pPr>
              <w:pStyle w:val="Compact"/>
            </w:pPr>
            <w:r>
              <w:rPr>
                <w:lang w:val="en-US"/>
              </w:rPr>
              <w:t xml:space="preserve">1.85</w:t>
            </w:r>
          </w:p>
        </w:tc>
        <w:tc>
          <w:tcPr>
            <w:tcW w:w="822" w:type="dxa"/>
          </w:tcPr>
          <w:p>
            <w:pPr>
              <w:pStyle w:val="Compact"/>
            </w:pPr>
            <w:r>
              <w:rPr>
                <w:lang w:val="en-US"/>
              </w:rPr>
              <w:t xml:space="preserve">$4.28</w:t>
            </w:r>
          </w:p>
        </w:tc>
        <w:tc>
          <w:tcPr>
            <w:tcW w:w="1218" w:type="dxa"/>
          </w:tcPr>
          <w:p>
            <w:pPr>
              <w:pStyle w:val="Compact"/>
            </w:pPr>
            <w:r>
              <w:rPr>
                <w:lang w:val="en-US"/>
              </w:rPr>
              <w:t xml:space="preserve">2.31</w:t>
            </w:r>
          </w:p>
        </w:tc>
        <w:tc>
          <w:tcPr>
            <w:tcW w:w="1162" w:type="dxa"/>
          </w:tcPr>
          <w:p>
            <w:pPr>
              <w:pStyle w:val="Compact"/>
            </w:pPr>
            <w:r>
              <w:rPr>
                <w:lang w:val="en-US"/>
              </w:rPr>
              <w:t xml:space="preserve">98.5%</w:t>
            </w:r>
          </w:p>
        </w:tc>
      </w:tr>
      <w:tr>
        <w:trPr>
          <w:cantSplit/>
        </w:trPr>
        <w:tc>
          <w:tcPr>
            <w:tcW w:w="2548" w:type="dxa"/>
          </w:tcPr>
          <w:p>
            <w:pPr>
              <w:pStyle w:val="Compact"/>
            </w:pPr>
            <w:r>
              <w:rPr>
                <w:b/>
                <w:bCs/>
                <w:lang w:val="en-US"/>
              </w:rPr>
              <w:t xml:space="preserve">Consistent (partial service)</w:t>
            </w:r>
          </w:p>
        </w:tc>
        <w:tc>
          <w:tcPr>
            <w:tcW w:w="1048" w:type="dxa"/>
          </w:tcPr>
          <w:p>
            <w:pPr>
              <w:pStyle w:val="Compact"/>
            </w:pPr>
            <w:r>
              <w:rPr>
                <w:b/>
                <w:bCs/>
                <w:lang w:val="en-US"/>
              </w:rPr>
              <w:t xml:space="preserve">$939.55</w:t>
            </w:r>
          </w:p>
        </w:tc>
        <w:tc>
          <w:tcPr>
            <w:tcW w:w="1516" w:type="dxa"/>
          </w:tcPr>
          <w:p>
            <w:pPr>
              <w:pStyle w:val="Compact"/>
            </w:pPr>
            <w:r>
              <w:rPr>
                <w:b/>
                <w:bCs/>
                <w:lang w:val="en-US"/>
              </w:rPr>
              <w:t xml:space="preserve">$943.69</w:t>
            </w:r>
          </w:p>
        </w:tc>
        <w:tc>
          <w:tcPr>
            <w:tcW w:w="708" w:type="dxa"/>
          </w:tcPr>
          <w:p>
            <w:pPr>
              <w:pStyle w:val="Compact"/>
            </w:pPr>
            <w:r>
              <w:rPr>
                <w:b/>
                <w:bCs/>
                <w:lang w:val="en-US"/>
              </w:rPr>
              <w:t xml:space="preserve">1.84</w:t>
            </w:r>
          </w:p>
        </w:tc>
        <w:tc>
          <w:tcPr>
            <w:tcW w:w="822" w:type="dxa"/>
          </w:tcPr>
          <w:p>
            <w:pPr>
              <w:pStyle w:val="Compact"/>
            </w:pPr>
            <w:r>
              <w:rPr>
                <w:b/>
                <w:bCs/>
                <w:lang w:val="en-US"/>
              </w:rPr>
              <w:t xml:space="preserve">$4.13</w:t>
            </w:r>
          </w:p>
        </w:tc>
        <w:tc>
          <w:tcPr>
            <w:tcW w:w="1218" w:type="dxa"/>
          </w:tcPr>
          <w:p>
            <w:pPr>
              <w:pStyle w:val="Compact"/>
            </w:pPr>
            <w:r>
              <w:rPr>
                <w:b/>
                <w:bCs/>
                <w:lang w:val="en-US"/>
              </w:rPr>
              <w:t xml:space="preserve">2.25</w:t>
            </w:r>
          </w:p>
        </w:tc>
        <w:tc>
          <w:tcPr>
            <w:tcW w:w="1162" w:type="dxa"/>
          </w:tcPr>
          <w:p>
            <w:pPr>
              <w:pStyle w:val="Compact"/>
            </w:pPr>
            <w:r>
              <w:rPr>
                <w:lang w:val="en-US"/>
              </w:rPr>
              <w:t xml:space="preserve">94.1%</w:t>
            </w:r>
          </w:p>
        </w:tc>
      </w:tr>
    </w:tbl>
    <w:p>
      <w:pPr>
        <w:pStyle w:val="BodyText"/>
      </w:pPr>
      <w:r>
        <w:rPr>
          <w:lang w:val="en-US"/>
        </w:rPr>
        <w:t xml:space="preserve">We report this as an implementation-correctness check rather than as a headline result.</w:t>
      </w:r>
    </w:p>
    <w:bookmarkEnd w:id="56"/>
    <w:bookmarkEnd w:id="57"/>
    <w:bookmarkStart w:id="58" w:name="conclusion"/>
    <w:p>
      <w:pPr>
        <w:pStyle w:val="Heading1"/>
      </w:pPr>
      <w:r>
        <w:rPr>
          <w:lang w:val="en-US"/>
        </w:rPr>
        <w:t xml:space="preserve">4. Conclusion</w:t>
      </w:r>
    </w:p>
    <w:p>
      <w:pPr>
        <w:pStyle w:val="FirstParagraph"/>
      </w:pPr>
      <w:r>
        <w:rPr>
          <w:lang w:val="en-US"/>
        </w:rPr>
        <w:t xml:space="preserve">This paper asked a narrow question — when should an electric ride-hailing driver charge — and answered it with a model that is small enough to solve exactly and a dataset that is large enough to be credible.</w:t>
      </w:r>
    </w:p>
    <w:p>
      <w:pPr>
        <w:pStyle w:val="BodyText"/>
      </w:pPr>
      <w:r>
        <w:rPr>
          <w:lang w:val="en-US"/>
        </w:rPr>
        <w:t xml:space="preserve">The answer is not the cheapest tariff window. Off-peak hours are cheap precisely because almost nobody is working then, so the opportunity cost of charging during them is not small; on 74.4% of simulated working days the optimal policy charges at least once outside the cheapest tariff window, while selecting a deep-night slot on every feasible day. The two effects that might be expected to determine the answer — the price spread and the demand shape — turn out to be separable, and the ablations isolate them: flattening the price changes nothing, and flattening the demand hands the decision back to the tariff entirely. What determines the schedule is the relative steepness of the price curve and the opportunity-cost curve, and for a driver who must earn, the opportunity cost is steeper.</w:t>
      </w:r>
    </w:p>
    <w:p>
      <w:pPr>
        <w:pStyle w:val="BodyText"/>
      </w:pPr>
      <w:r>
        <w:rPr>
          <w:lang w:val="en-US"/>
        </w:rPr>
        <w:t xml:space="preserve">Two negative or corrective results deserve emphasis. First, widening the peak-to-valley spread by a factor of two changes the value of optimisation by 1.3%, which means that tariff design alone cannot substitute for scheduling when the decision-maker is an individual earning a fare. Second, a single-day formulation overstates earnings by 2.4% because it treats the battery carried across the operating boundary as free; the cyclic formulation shows that the optimal start-of-day charge is 36.8% and places a price of $0.2414/kWh on cross-day stored energy.</w:t>
      </w:r>
    </w:p>
    <w:p>
      <w:pPr>
        <w:pStyle w:val="BodyText"/>
      </w:pPr>
      <w:r>
        <w:rPr>
          <w:lang w:val="en-US"/>
        </w:rPr>
        <w:t xml:space="preserve">Several limitations are explicit. The model treats one driver in isolation: charger queueing, travel time to a charger and interactions between drivers are all omitted, although the fleet-scale literature shows they matter [1,6,7]. The charger-power taper is present but below the resolution of our fifteen-minute grid, so we report it as unresolved rather than as a result. The driver has no</w:t>
      </w:r>
      <w:r>
        <w:rPr>
          <w:lang w:val="en-US"/>
        </w:rPr>
        <w:t xml:space="preserve"> </w:t>
      </w:r>
      <w:r>
        <w:rPr>
          <w:lang w:val="en-US"/>
        </w:rPr>
        <w:t xml:space="preserve">“go off shift”</w:t>
      </w:r>
      <w:r>
        <w:rPr>
          <w:lang w:val="en-US"/>
        </w:rPr>
        <w:t xml:space="preserve"> </w:t>
      </w:r>
      <w:r>
        <w:rPr>
          <w:lang w:val="en-US"/>
        </w:rPr>
        <w:t xml:space="preserve">action, which is why the implied value of time falls to $7/h in the deep hours when a real driver would have stopped working; this makes our opportunity-cost profile optimistic, which is why we recalibrated against measured values of time and verified that the conclusion survives. The multi-driver extension is a single-driver value function composed across days, not a market equilibrium, and does not capture the congestion that arises when many drivers charge simultaneously.</w:t>
      </w:r>
    </w:p>
    <w:p>
      <w:pPr>
        <w:pStyle w:val="BodyText"/>
      </w:pPr>
      <w:r>
        <w:rPr>
          <w:lang w:val="en-US"/>
        </w:rPr>
        <w:t xml:space="preserve">The most promising directions for further work are, in order: a finer charging sub-grid so that the taper becomes resolvable; explicit charger queueing and access time, which would require moving from a sequential decision problem to a queueing system; and a market-level extension in which the driver’s own charging decision and the availability of the chargers are jointly determined.</w:t>
      </w:r>
    </w:p>
    <w:bookmarkEnd w:id="58"/>
    <w:bookmarkStart w:id="59" w:name="ai-use-statement"/>
    <w:p>
      <w:pPr>
        <w:pStyle w:val="Heading1"/>
      </w:pPr>
      <w:r>
        <w:rPr>
          <w:lang w:val="en-US"/>
        </w:rPr>
        <w:t xml:space="preserve">AI Use Statement</w:t>
      </w:r>
    </w:p>
    <w:p>
      <w:pPr>
        <w:pStyle w:val="FirstParagraph"/>
      </w:pPr>
      <w:r>
        <w:rPr>
          <w:lang w:val="en-US"/>
        </w:rPr>
        <w:t xml:space="preserve">Generative AI tools — specifically Claude Code (Anthropic) and MiniMax Code — were used as assistants in the preparation of this work. They were used for four purposes: (i) assisting the design and drafting of the model formulation in Section 2 and the corresponding Python implementation; (ii) assisting the literature search and the verification of bibliographic identifiers through the Crossref and arXiv APIs, including correcting three DOIs that had initially been recorded incorrectly; (iii) assisting with code debugging, in particular the identification of the reserve-floor modelling error described in ablation A5 and the planner–simulator inconsistency described in Section 3.5; and (iv) language editing and structural formatting of the manuscript.</w:t>
      </w:r>
    </w:p>
    <w:p>
      <w:pPr>
        <w:pStyle w:val="BodyText"/>
      </w:pPr>
      <w:r>
        <w:rPr>
          <w:lang w:val="en-US"/>
        </w:rPr>
        <w:t xml:space="preserve">Every equation, every line of code, every number reported in Section 3 and every conclusion drawn was checked against the executable output in the</w:t>
      </w:r>
      <w:r>
        <w:rPr>
          <w:lang w:val="en-US"/>
        </w:rPr>
        <w:t xml:space="preserve"> </w:t>
      </w:r>
      <w:r>
        <w:rPr>
          <w:rStyle w:val="VerbatimChar"/>
          <w:lang w:val="en-US"/>
        </w:rPr>
        <w:t xml:space="preserve">results/</w:t>
      </w:r>
      <w:r>
        <w:rPr>
          <w:lang w:val="en-US"/>
        </w:rPr>
        <w:t xml:space="preserve"> </w:t>
      </w:r>
      <w:r>
        <w:rPr>
          <w:lang w:val="en-US"/>
        </w:rPr>
        <w:t xml:space="preserve">directory and the</w:t>
      </w:r>
      <w:r>
        <w:rPr>
          <w:lang w:val="en-US"/>
        </w:rPr>
        <w:t xml:space="preserve"> </w:t>
      </w:r>
      <w:r>
        <w:rPr>
          <w:rStyle w:val="VerbatimChar"/>
          <w:lang w:val="en-US"/>
        </w:rPr>
        <w:t xml:space="preserve">code/src/</w:t>
      </w:r>
      <w:r>
        <w:rPr>
          <w:lang w:val="en-US"/>
        </w:rPr>
        <w:t xml:space="preserve"> </w:t>
      </w:r>
      <w:r>
        <w:rPr>
          <w:lang w:val="en-US"/>
        </w:rPr>
        <w:t xml:space="preserve">sources; the quantitative claims in this paper are reproducible by running the scripts with the fixed seed 20261001, and the raw outputs of each experiment are included with the submission. The authors understand the model, the derivation of each equation, the algorithmic structure of the dynamic program and the Markov decision process, the design of every experiment, and the interpretation of every result reported here, and take full responsibility for the content of this submission.</w:t>
      </w:r>
    </w:p>
    <w:bookmarkEnd w:id="59"/>
    <w:bookmarkStart w:id="60" w:name="references"/>
    <w:p>
      <w:pPr>
        <w:pStyle w:val="Heading1"/>
      </w:pPr>
      <w:r>
        <w:rPr>
          <w:lang w:val="en-US"/>
        </w:rPr>
        <w:t xml:space="preserve">References</w:t>
      </w:r>
    </w:p>
    <w:p>
      <w:pPr>
        <w:pStyle w:val="Bibliography"/>
      </w:pPr>
      <w:r>
        <w:rPr>
          <w:lang w:val="en-US"/>
        </w:rPr>
        <w:t xml:space="preserve">[1] Ma, T.-Y. (2021). Two-stage battery recharge scheduling and vehicle-charger assignment policy for dynamic electric dial-a-ride services.</w:t>
      </w:r>
      <w:r>
        <w:rPr>
          <w:lang w:val="en-US"/>
        </w:rPr>
        <w:t xml:space="preserve"> </w:t>
      </w:r>
      <w:r>
        <w:rPr>
          <w:i/>
          <w:iCs/>
          <w:lang w:val="en-US"/>
        </w:rPr>
        <w:t xml:space="preserve">PLOS ONE</w:t>
      </w:r>
      <w:r>
        <w:rPr>
          <w:lang w:val="en-US"/>
        </w:rPr>
        <w:t xml:space="preserve">, 16(5), e0251582. https://doi.org/10.1371/journal.pone.0251582</w:t>
      </w:r>
    </w:p>
    <w:p>
      <w:pPr>
        <w:pStyle w:val="Bibliography"/>
      </w:pPr>
      <w:r>
        <w:rPr>
          <w:lang w:val="en-US"/>
        </w:rPr>
        <w:t xml:space="preserve">[2] New York City Taxi and Limousine Commission.</w:t>
      </w:r>
      <w:r>
        <w:rPr>
          <w:lang w:val="en-US"/>
        </w:rPr>
        <w:t xml:space="preserve"> </w:t>
      </w:r>
      <w:r>
        <w:rPr>
          <w:i/>
          <w:iCs/>
          <w:lang w:val="en-US"/>
        </w:rPr>
        <w:t xml:space="preserve">Trip Record Data: Yellow Taxi, January 2024</w:t>
      </w:r>
      <w:r>
        <w:rPr>
          <w:lang w:val="en-US"/>
        </w:rPr>
        <w:t xml:space="preserve">. https://www.nyc.gov/site/tlc/about/tlc-trip-record-data.page</w:t>
      </w:r>
    </w:p>
    <w:p>
      <w:pPr>
        <w:pStyle w:val="Bibliography"/>
      </w:pPr>
      <w:r>
        <w:rPr>
          <w:lang w:val="en-US"/>
        </w:rPr>
        <w:t xml:space="preserve">[3] Ke, J., Cen, X., Yang, H., and Chen, X. (2019). Modelling drivers’ working and recharging schedules in a ride-sourcing market with electric vehicles and gasoline vehicles.</w:t>
      </w:r>
      <w:r>
        <w:rPr>
          <w:lang w:val="en-US"/>
        </w:rPr>
        <w:t xml:space="preserve"> </w:t>
      </w:r>
      <w:r>
        <w:rPr>
          <w:i/>
          <w:iCs/>
          <w:lang w:val="en-US"/>
        </w:rPr>
        <w:t xml:space="preserve">Transportation Research Part E: Logistics and Transportation Review</w:t>
      </w:r>
      <w:r>
        <w:rPr>
          <w:lang w:val="en-US"/>
        </w:rPr>
        <w:t xml:space="preserve">, 125, 160–180. https://doi.org/10.1016/j.tre.2019.03.010</w:t>
      </w:r>
    </w:p>
    <w:p>
      <w:pPr>
        <w:pStyle w:val="Bibliography"/>
      </w:pPr>
      <w:r>
        <w:rPr>
          <w:lang w:val="en-US"/>
        </w:rPr>
        <w:t xml:space="preserve">[4] Liu, Y., Chen, Z., Xie, C., and Liu, K. (2023). Temporal equilibrium for electrified ride-sourcing markets considering charging capacity and driving fatigue.</w:t>
      </w:r>
      <w:r>
        <w:rPr>
          <w:lang w:val="en-US"/>
        </w:rPr>
        <w:t xml:space="preserve"> </w:t>
      </w:r>
      <w:r>
        <w:rPr>
          <w:i/>
          <w:iCs/>
          <w:lang w:val="en-US"/>
        </w:rPr>
        <w:t xml:space="preserve">Transportation Research Part C: Emerging Technologies</w:t>
      </w:r>
      <w:r>
        <w:rPr>
          <w:lang w:val="en-US"/>
        </w:rPr>
        <w:t xml:space="preserve">, 147, 104008. https://doi.org/10.1016/j.trc.2022.104008</w:t>
      </w:r>
    </w:p>
    <w:p>
      <w:pPr>
        <w:pStyle w:val="Bibliography"/>
      </w:pPr>
      <w:r>
        <w:rPr>
          <w:lang w:val="en-US"/>
        </w:rPr>
        <w:t xml:space="preserve">[5] Qin, Y., Dai, Y., Huang, J., Xu, H., Lu, L., Han, X., Du, J., Ouyang, M., et al. (2023). Charging patterns analysis and multiscale infrastructure deployment: based on the real trajectories and battery data of the plug-in electric vehicles in Shanghai.</w:t>
      </w:r>
      <w:r>
        <w:rPr>
          <w:lang w:val="en-US"/>
        </w:rPr>
        <w:t xml:space="preserve"> </w:t>
      </w:r>
      <w:r>
        <w:rPr>
          <w:i/>
          <w:iCs/>
          <w:lang w:val="en-US"/>
        </w:rPr>
        <w:t xml:space="preserve">Journal of Cleaner Production</w:t>
      </w:r>
      <w:r>
        <w:rPr>
          <w:lang w:val="en-US"/>
        </w:rPr>
        <w:t xml:space="preserve">, 425, 138847. https://doi.org/10.1016/j.jclepro.2023.138847</w:t>
      </w:r>
    </w:p>
    <w:p>
      <w:pPr>
        <w:pStyle w:val="Bibliography"/>
      </w:pPr>
      <w:r>
        <w:rPr>
          <w:lang w:val="en-US"/>
        </w:rPr>
        <w:t xml:space="preserve">[6] Ma, T.-Y. (2023). Dynamic charging management for electric vehicle demand responsive transport. In</w:t>
      </w:r>
      <w:r>
        <w:rPr>
          <w:lang w:val="en-US"/>
        </w:rPr>
        <w:t xml:space="preserve"> </w:t>
      </w:r>
      <w:r>
        <w:rPr>
          <w:i/>
          <w:iCs/>
          <w:lang w:val="en-US"/>
        </w:rPr>
        <w:t xml:space="preserve">Lecture Notes in Intelligent Transportation and Infrastructure</w:t>
      </w:r>
      <w:r>
        <w:rPr>
          <w:lang w:val="en-US"/>
        </w:rPr>
        <w:t xml:space="preserve"> </w:t>
      </w:r>
      <w:r>
        <w:rPr>
          <w:lang w:val="en-US"/>
        </w:rPr>
        <w:t xml:space="preserve">(pp. 171–182). Springer. https://doi.org/10.1007/978-3-031-23721-8_14</w:t>
      </w:r>
    </w:p>
    <w:p>
      <w:pPr>
        <w:pStyle w:val="Bibliography"/>
      </w:pPr>
      <w:r>
        <w:rPr>
          <w:lang w:val="en-US"/>
        </w:rPr>
        <w:t xml:space="preserve">[7] Ma, T.-Y., Connors, R. D., and Viti, F. (2024). Congestion-aware charging coordination for electric ride-hailing fleets under stochastic demand.</w:t>
      </w:r>
      <w:r>
        <w:rPr>
          <w:lang w:val="en-US"/>
        </w:rPr>
        <w:t xml:space="preserve"> </w:t>
      </w:r>
      <w:r>
        <w:rPr>
          <w:i/>
          <w:iCs/>
          <w:lang w:val="en-US"/>
        </w:rPr>
        <w:t xml:space="preserve">arXiv preprint</w:t>
      </w:r>
      <w:r>
        <w:rPr>
          <w:lang w:val="en-US"/>
        </w:rPr>
        <w:t xml:space="preserve"> </w:t>
      </w:r>
      <w:r>
        <w:rPr>
          <w:lang w:val="en-US"/>
        </w:rPr>
        <w:t xml:space="preserve">arXiv:2412.09978.</w:t>
      </w:r>
    </w:p>
    <w:p>
      <w:pPr>
        <w:pStyle w:val="Bibliography"/>
      </w:pPr>
      <w:r>
        <w:rPr>
          <w:lang w:val="en-US"/>
        </w:rPr>
        <w:t xml:space="preserve">[8] Alam, S., and Guo, R. (2022). Charging infrastructure planning for ride-sourcing electric vehicles considering drivers’ value of time.</w:t>
      </w:r>
      <w:r>
        <w:rPr>
          <w:lang w:val="en-US"/>
        </w:rPr>
        <w:t xml:space="preserve"> </w:t>
      </w:r>
      <w:r>
        <w:rPr>
          <w:i/>
          <w:iCs/>
          <w:lang w:val="en-US"/>
        </w:rPr>
        <w:t xml:space="preserve">Transportation Letters</w:t>
      </w:r>
      <w:r>
        <w:rPr>
          <w:lang w:val="en-US"/>
        </w:rPr>
        <w:t xml:space="preserve">, 15(5), 573–583. https://doi.org/10.1080/19427867.2022.2077003</w:t>
      </w:r>
    </w:p>
    <w:p>
      <w:pPr>
        <w:pStyle w:val="Bibliography"/>
      </w:pPr>
      <w:r>
        <w:rPr>
          <w:lang w:val="en-US"/>
        </w:rPr>
        <w:t xml:space="preserve">[9] Ma, J., Zhang, Y., Duan, L., et al. (2023). PROLIFIC: deep reinforcement learning for efficient EV fleet scheduling and charging.</w:t>
      </w:r>
      <w:r>
        <w:rPr>
          <w:lang w:val="en-US"/>
        </w:rPr>
        <w:t xml:space="preserve"> </w:t>
      </w:r>
      <w:r>
        <w:rPr>
          <w:i/>
          <w:iCs/>
          <w:lang w:val="en-US"/>
        </w:rPr>
        <w:t xml:space="preserve">Sustainability</w:t>
      </w:r>
      <w:r>
        <w:rPr>
          <w:lang w:val="en-US"/>
        </w:rPr>
        <w:t xml:space="preserve">, 15(18), 13553. https://doi.org/10.3390/su151813553</w:t>
      </w:r>
    </w:p>
    <w:p>
      <w:pPr>
        <w:pStyle w:val="Bibliography"/>
      </w:pPr>
      <w:r>
        <w:rPr>
          <w:lang w:val="en-US"/>
        </w:rPr>
        <w:t xml:space="preserve">[10] Mehditabrizi, A., Namadi, S. S., and Cirillo, C. (2026). From pumps to plugs: valuing time in refueling and EV charging transitions.</w:t>
      </w:r>
      <w:r>
        <w:rPr>
          <w:lang w:val="en-US"/>
        </w:rPr>
        <w:t xml:space="preserve"> </w:t>
      </w:r>
      <w:r>
        <w:rPr>
          <w:i/>
          <w:iCs/>
          <w:lang w:val="en-US"/>
        </w:rPr>
        <w:t xml:space="preserve">Travel Behaviour and Society</w:t>
      </w:r>
      <w:r>
        <w:rPr>
          <w:lang w:val="en-US"/>
        </w:rPr>
        <w:t xml:space="preserve">, 44, 101279. https://doi.org/10.1016/j.tbs.2026.101279</w:t>
      </w:r>
    </w:p>
    <w:p>
      <w:pPr>
        <w:pStyle w:val="Bibliography"/>
      </w:pPr>
      <w:r>
        <w:rPr>
          <w:lang w:val="en-US"/>
        </w:rPr>
        <w:t xml:space="preserve">[11] Dorsey, J., Langer, A., and McRae, S. (2022).</w:t>
      </w:r>
      <w:r>
        <w:rPr>
          <w:lang w:val="en-US"/>
        </w:rPr>
        <w:t xml:space="preserve"> </w:t>
      </w:r>
      <w:r>
        <w:rPr>
          <w:i/>
          <w:iCs/>
          <w:lang w:val="en-US"/>
        </w:rPr>
        <w:t xml:space="preserve">Fueling alternatives: Gas station choice and the implications for electric charging</w:t>
      </w:r>
      <w:r>
        <w:rPr>
          <w:lang w:val="en-US"/>
        </w:rPr>
        <w:t xml:space="preserve"> </w:t>
      </w:r>
      <w:r>
        <w:rPr>
          <w:lang w:val="en-US"/>
        </w:rPr>
        <w:t xml:space="preserve">(NBER Working Paper 29831). National Bureau of Economic Research.</w:t>
      </w:r>
    </w:p>
    <w:p>
      <w:pPr>
        <w:pStyle w:val="Bibliography"/>
      </w:pPr>
      <w:r>
        <w:rPr>
          <w:lang w:val="en-US"/>
        </w:rPr>
        <w:t xml:space="preserve">[12] Sunada, and Xia (2026).</w:t>
      </w:r>
      <w:r>
        <w:rPr>
          <w:lang w:val="en-US"/>
        </w:rPr>
        <w:t xml:space="preserve"> </w:t>
      </w:r>
      <w:r>
        <w:rPr>
          <w:i/>
          <w:iCs/>
          <w:lang w:val="en-US"/>
        </w:rPr>
        <w:t xml:space="preserve">From pumps to plugs: Value of time and charging policies</w:t>
      </w:r>
      <w:r>
        <w:rPr>
          <w:lang w:val="en-US"/>
        </w:rPr>
        <w:t xml:space="preserve"> </w:t>
      </w:r>
      <w:r>
        <w:rPr>
          <w:lang w:val="en-US"/>
        </w:rPr>
        <w:t xml:space="preserve">(SSRN Working Paper 6296418). Social Science Research Network. https://doi.org/10.2139/ssrn.6296418</w:t>
      </w:r>
    </w:p>
    <w:bookmarkEnd w:id="60"/>
    <w:bookmarkStart w:id="64" w:name="appendix"/>
    <w:p>
      <w:pPr>
        <w:pStyle w:val="Heading1"/>
      </w:pPr>
      <w:r>
        <w:rPr>
          <w:lang w:val="en-US"/>
        </w:rPr>
        <w:t xml:space="preserve">Appendix</w:t>
      </w:r>
    </w:p>
    <w:bookmarkStart w:id="61" w:name="a.1-reproducing-the-results"/>
    <w:p>
      <w:pPr>
        <w:pStyle w:val="Heading2"/>
      </w:pPr>
      <w:r>
        <w:rPr>
          <w:lang w:val="en-US"/>
        </w:rPr>
        <w:t xml:space="preserve">A.1 Reproducing the results</w:t>
      </w:r>
    </w:p>
    <w:p>
      <w:pPr>
        <w:pStyle w:val="SourceCode"/>
      </w:pPr>
      <w:r>
        <w:rPr>
          <w:rStyle w:val="BuiltInTok"/>
        </w:rPr>
        <w:t xml:space="preserve">cd</w:t>
      </w:r>
      <w:r>
        <w:rPr>
          <w:rStyle w:val="NormalTok"/>
        </w:rPr>
        <w:t xml:space="preserve"> code/src</w:t>
      </w:r>
      <w:r>
        <w:br/>
      </w:r>
      <w:r>
        <w:rPr>
          <w:rStyle w:val="ExtensionTok"/>
        </w:rPr>
        <w:t xml:space="preserve">python</w:t>
      </w:r>
      <w:r>
        <w:rPr>
          <w:rStyle w:val="NormalTok"/>
        </w:rPr>
        <w:t xml:space="preserve"> build_profile.py      </w:t>
      </w:r>
      <w:r>
        <w:rPr>
          <w:rStyle w:val="CommentTok"/>
        </w:rPr>
        <w:t xml:space="preserve"># rebuild data/profile.json from the raw parquet</w:t>
      </w:r>
      <w:r>
        <w:br/>
      </w:r>
      <w:r>
        <w:rPr>
          <w:rStyle w:val="ExtensionTok"/>
        </w:rPr>
        <w:t xml:space="preserve">python</w:t>
      </w:r>
      <w:r>
        <w:rPr>
          <w:rStyle w:val="NormalTok"/>
        </w:rPr>
        <w:t xml:space="preserve"> run_experiments.py    </w:t>
      </w:r>
      <w:r>
        <w:rPr>
          <w:rStyle w:val="CommentTok"/>
        </w:rPr>
        <w:t xml:space="preserve"># Tables 3-4, Figures 1-2</w:t>
      </w:r>
      <w:r>
        <w:br/>
      </w:r>
      <w:r>
        <w:rPr>
          <w:rStyle w:val="ExtensionTok"/>
        </w:rPr>
        <w:t xml:space="preserve">python</w:t>
      </w:r>
      <w:r>
        <w:rPr>
          <w:rStyle w:val="NormalTok"/>
        </w:rPr>
        <w:t xml:space="preserve"> ablations.py          </w:t>
      </w:r>
      <w:r>
        <w:rPr>
          <w:rStyle w:val="CommentTok"/>
        </w:rPr>
        <w:t xml:space="preserve"># Tables 6-7</w:t>
      </w:r>
      <w:r>
        <w:br/>
      </w:r>
      <w:r>
        <w:rPr>
          <w:rStyle w:val="ExtensionTok"/>
        </w:rPr>
        <w:t xml:space="preserve">python</w:t>
      </w:r>
      <w:r>
        <w:rPr>
          <w:rStyle w:val="NormalTok"/>
        </w:rPr>
        <w:t xml:space="preserve"> policy_stats.py       </w:t>
      </w:r>
      <w:r>
        <w:rPr>
          <w:rStyle w:val="CommentTok"/>
        </w:rPr>
        <w:t xml:space="preserve"># the 600-day charging-slot distribution</w:t>
      </w:r>
      <w:r>
        <w:br/>
      </w:r>
      <w:r>
        <w:rPr>
          <w:rStyle w:val="ExtensionTok"/>
        </w:rPr>
        <w:t xml:space="preserve">python</w:t>
      </w:r>
      <w:r>
        <w:rPr>
          <w:rStyle w:val="NormalTok"/>
        </w:rPr>
        <w:t xml:space="preserve"> vot_check.py          </w:t>
      </w:r>
      <w:r>
        <w:rPr>
          <w:rStyle w:val="CommentTok"/>
        </w:rPr>
        <w:t xml:space="preserve"># the implied value of time and its literature comparison</w:t>
      </w:r>
      <w:r>
        <w:br/>
      </w:r>
      <w:r>
        <w:rPr>
          <w:rStyle w:val="ExtensionTok"/>
        </w:rPr>
        <w:t xml:space="preserve">python</w:t>
      </w:r>
      <w:r>
        <w:rPr>
          <w:rStyle w:val="NormalTok"/>
        </w:rPr>
        <w:t xml:space="preserve"> vot_rescale.py        </w:t>
      </w:r>
      <w:r>
        <w:rPr>
          <w:rStyle w:val="CommentTok"/>
        </w:rPr>
        <w:t xml:space="preserve"># the value-of-time robustness table (Table 5)</w:t>
      </w:r>
      <w:r>
        <w:br/>
      </w:r>
      <w:r>
        <w:rPr>
          <w:rStyle w:val="ExtensionTok"/>
        </w:rPr>
        <w:t xml:space="preserve">python</w:t>
      </w:r>
      <w:r>
        <w:rPr>
          <w:rStyle w:val="NormalTok"/>
        </w:rPr>
        <w:t xml:space="preserve"> make_figures.py       </w:t>
      </w:r>
      <w:r>
        <w:rPr>
          <w:rStyle w:val="CommentTok"/>
        </w:rPr>
        <w:t xml:space="preserve"># Figures 1-4</w:t>
      </w:r>
    </w:p>
    <w:p>
      <w:pPr>
        <w:pStyle w:val="FirstParagraph"/>
      </w:pPr>
      <w:r>
        <w:rPr>
          <w:lang w:val="en-US"/>
        </w:rPr>
        <w:t xml:space="preserve">The random seed is fixed at 20261001 in every script. Environment: Python 3.12.7, NumPy 1.26.4, pandas 3.0.2, SciPy 1.13.1, Matplotlib 3.9.2. There is no solver dependency: the dynamic program and the Markov decision process are implemented directly in NumPy.</w:t>
      </w:r>
    </w:p>
    <w:bookmarkEnd w:id="61"/>
    <w:bookmarkStart w:id="62" w:name="a.2-source-data"/>
    <w:p>
      <w:pPr>
        <w:pStyle w:val="Heading2"/>
      </w:pPr>
      <w:r>
        <w:rPr>
          <w:lang w:val="en-US"/>
        </w:rPr>
        <w:t xml:space="preserve">A.2 Source data</w:t>
      </w:r>
    </w:p>
    <w:p>
      <w:pPr>
        <w:pStyle w:val="FirstParagraph"/>
      </w:pPr>
      <w:r>
        <w:rPr>
          <w:lang w:val="en-US"/>
        </w:rPr>
        <w:t xml:space="preserve">The dataset is the public New York TLC yellow-taxi trip record data for January 2024. The raw Parquet file (47.6 MB) is not redistributed; the download address and the complete cleaning rules are given in Section 2.2.1 and in</w:t>
      </w:r>
      <w:r>
        <w:rPr>
          <w:lang w:val="en-US"/>
        </w:rPr>
        <w:t xml:space="preserve"> </w:t>
      </w:r>
      <w:r>
        <w:rPr>
          <w:rStyle w:val="VerbatimChar"/>
          <w:lang w:val="en-US"/>
        </w:rPr>
        <w:t xml:space="preserve">data/DATA_SOURCE.md</w:t>
      </w:r>
      <w:r>
        <w:rPr>
          <w:lang w:val="en-US"/>
        </w:rPr>
        <w:t xml:space="preserve">. The derived 96-slot demand profile (</w:t>
      </w:r>
      <w:r>
        <w:rPr>
          <w:rStyle w:val="VerbatimChar"/>
          <w:lang w:val="en-US"/>
        </w:rPr>
        <w:t xml:space="preserve">data/profile.json</w:t>
      </w:r>
      <w:r>
        <w:rPr>
          <w:lang w:val="en-US"/>
        </w:rPr>
        <w:t xml:space="preserve"> </w:t>
      </w:r>
      <w:r>
        <w:rPr>
          <w:lang w:val="en-US"/>
        </w:rPr>
        <w:t xml:space="preserve">and</w:t>
      </w:r>
      <w:r>
        <w:rPr>
          <w:lang w:val="en-US"/>
        </w:rPr>
        <w:t xml:space="preserve"> </w:t>
      </w:r>
      <w:r>
        <w:rPr>
          <w:rStyle w:val="VerbatimChar"/>
          <w:lang w:val="en-US"/>
        </w:rPr>
        <w:t xml:space="preserve">data/demand_profile.csv</w:t>
      </w:r>
      <w:r>
        <w:rPr>
          <w:lang w:val="en-US"/>
        </w:rPr>
        <w:t xml:space="preserve">) is included with the submission.</w:t>
      </w:r>
    </w:p>
    <w:bookmarkEnd w:id="62"/>
    <w:bookmarkStart w:id="63" w:name="a.3-additional-model-parameters"/>
    <w:p>
      <w:pPr>
        <w:pStyle w:val="Heading2"/>
      </w:pPr>
      <w:r>
        <w:rPr>
          <w:lang w:val="en-US"/>
        </w:rPr>
        <w:t xml:space="preserve">A.3 Additional model parameters</w:t>
      </w:r>
    </w:p>
    <w:p>
      <w:pPr>
        <w:pStyle w:val="TableCaption"/>
      </w:pPr>
      <w:r>
        <w:rPr>
          <w:lang w:val="en-US"/>
        </w:rPr>
        <w:t xml:space="preserve">Table 9. Model parameters not listed in Section 2.2.</w:t>
      </w:r>
    </w:p>
    <w:tbl>
      <w:tblPr>
        <w:tblStyle w:val="Table"/>
        <w:tblW w:type="auto" w:w="0"/>
        <w:tblLook w:firstRow="1" w:lastRow="0" w:firstColumn="0" w:lastColumn="0" w:noHBand="0" w:noVBand="0" w:val="0020"/>
      </w:tblPr>
      <w:tblGrid>
        <w:gridCol w:w="1289"/>
        <w:gridCol w:w="5978"/>
        <w:gridCol w:w="1758"/>
      </w:tblGrid>
      <w:tr>
        <w:trPr>
          <w:tblHeader w:val="on"/>
          <w:cantSplit/>
        </w:trPr>
        <w:tc>
          <w:tcPr>
            <w:tcW w:w="1289" w:type="dxa"/>
          </w:tcPr>
          <w:p>
            <w:pPr>
              <w:pStyle w:val="Compact"/>
            </w:pPr>
            <w:r>
              <w:rPr>
                <w:lang w:val="en-US"/>
              </w:rPr>
              <w:t xml:space="preserve">Symbol</w:t>
            </w:r>
          </w:p>
        </w:tc>
        <w:tc>
          <w:tcPr>
            <w:tcW w:w="5978" w:type="dxa"/>
          </w:tcPr>
          <w:p>
            <w:pPr>
              <w:pStyle w:val="Compact"/>
            </w:pPr>
            <w:r>
              <w:rPr>
                <w:lang w:val="en-US"/>
              </w:rPr>
              <w:t xml:space="preserve">Meaning</w:t>
            </w:r>
          </w:p>
        </w:tc>
        <w:tc>
          <w:tcPr>
            <w:tcW w:w="1758" w:type="dxa"/>
          </w:tcPr>
          <w:p>
            <w:pPr>
              <w:pStyle w:val="Compact"/>
            </w:pPr>
            <w:r>
              <w:rPr>
                <w:lang w:val="en-US"/>
              </w:rPr>
              <w:t xml:space="preserve">Value</w:t>
            </w:r>
          </w:p>
        </w:tc>
      </w:tr>
      <w:tr>
        <w:trPr>
          <w:cantSplit/>
        </w:trPr>
        <w:tc>
          <w:tcPr>
            <w:tcW w:w="1289" w:type="dxa"/>
          </w:tcPr>
          <w:p>
            <w:pPr>
              <w:pStyle w:val="Compact"/>
            </w:pPr>
            <m:oMath>
              <m:r>
                <m:rPr>
                  <m:sty m:val="p"/>
                </m:rPr>
                <m:t>Δ</m:t>
              </m:r>
              <m:r>
                <m:t>t</m:t>
              </m:r>
            </m:oMath>
            <w:r>
              <w:rPr>
                <w:lang w:val="en-US"/>
              </w:rPr>
              <w:t xml:space="preserve">​</w:t>
            </w:r>
          </w:p>
        </w:tc>
        <w:tc>
          <w:tcPr>
            <w:tcW w:w="5978" w:type="dxa"/>
          </w:tcPr>
          <w:p>
            <w:pPr>
              <w:pStyle w:val="Compact"/>
            </w:pPr>
            <w:r>
              <w:rPr>
                <w:lang w:val="en-US"/>
              </w:rPr>
              <w:t xml:space="preserve">slot duration in hours</w:t>
            </w:r>
          </w:p>
        </w:tc>
        <w:tc>
          <w:tcPr>
            <w:tcW w:w="1758" w:type="dxa"/>
          </w:tcPr>
          <w:p>
            <w:pPr>
              <w:pStyle w:val="Compact"/>
            </w:pPr>
            <w:r>
              <w:rPr>
                <w:lang w:val="en-US"/>
              </w:rPr>
              <w:t xml:space="preserve">0.25</w:t>
            </w:r>
          </w:p>
        </w:tc>
      </w:tr>
      <w:tr>
        <w:trPr>
          <w:cantSplit/>
        </w:trPr>
        <w:tc>
          <w:tcPr>
            <w:tcW w:w="1289" w:type="dxa"/>
          </w:tcPr>
          <w:p>
            <w:pPr>
              <w:pStyle w:val="Compact"/>
            </w:pPr>
            <m:oMath>
              <m:r>
                <m:rPr>
                  <m:nor/>
                  <m:scr m:val="sans-serif"/>
                  <m:sty m:val="p"/>
                </m:rPr>
                <m:t>kWh/km</m:t>
              </m:r>
            </m:oMath>
            <w:r>
              <w:rPr>
                <w:lang w:val="en-US"/>
              </w:rPr>
              <w:t xml:space="preserve">​</w:t>
            </w:r>
          </w:p>
        </w:tc>
        <w:tc>
          <w:tcPr>
            <w:tcW w:w="5978" w:type="dxa"/>
          </w:tcPr>
          <w:p>
            <w:pPr>
              <w:pStyle w:val="Compact"/>
            </w:pPr>
            <w:r>
              <w:rPr>
                <w:lang w:val="en-US"/>
              </w:rPr>
              <w:t xml:space="preserve">energy consumption per kilometre</w:t>
            </w:r>
          </w:p>
        </w:tc>
        <w:tc>
          <w:tcPr>
            <w:tcW w:w="1758" w:type="dxa"/>
          </w:tcPr>
          <w:p>
            <w:pPr>
              <w:pStyle w:val="Compact"/>
            </w:pPr>
            <w:r>
              <w:rPr>
                <w:lang w:val="en-US"/>
              </w:rPr>
              <w:t xml:space="preserve">0.22</w:t>
            </w:r>
          </w:p>
        </w:tc>
      </w:tr>
      <w:tr>
        <w:trPr>
          <w:cantSplit/>
        </w:trPr>
        <w:tc>
          <w:tcPr>
            <w:tcW w:w="1289" w:type="dxa"/>
          </w:tcPr>
          <w:p>
            <w:pPr>
              <w:pStyle w:val="Compact"/>
            </w:pPr>
            <m:oMath>
              <m:r>
                <m:t>K</m:t>
              </m:r>
            </m:oMath>
            <w:r>
              <w:rPr>
                <w:lang w:val="en-US"/>
              </w:rPr>
              <w:t xml:space="preserve">​</w:t>
            </w:r>
          </w:p>
        </w:tc>
        <w:tc>
          <w:tcPr>
            <w:tcW w:w="5978" w:type="dxa"/>
          </w:tcPr>
          <w:p>
            <w:pPr>
              <w:pStyle w:val="Compact"/>
            </w:pPr>
            <w:r>
              <w:rPr>
                <w:lang w:val="en-US"/>
              </w:rPr>
              <w:t xml:space="preserve">Poisson truncation order</w:t>
            </w:r>
          </w:p>
        </w:tc>
        <w:tc>
          <w:tcPr>
            <w:tcW w:w="1758" w:type="dxa"/>
          </w:tcPr>
          <w:p>
            <w:pPr>
              <w:pStyle w:val="Compact"/>
            </w:pPr>
            <w:r>
              <w:rPr>
                <w:lang w:val="en-US"/>
              </w:rPr>
              <w:t xml:space="preserve">6</w:t>
            </w:r>
          </w:p>
        </w:tc>
      </w:tr>
      <w:tr>
        <w:trPr>
          <w:cantSplit/>
        </w:trPr>
        <w:tc>
          <w:tcPr>
            <w:tcW w:w="1289" w:type="dxa"/>
          </w:tcPr>
          <w:p>
            <w:pPr>
              <w:pStyle w:val="Compact"/>
            </w:pPr>
            <m:oMath>
              <m:r>
                <m:rPr>
                  <m:nor/>
                  <m:scr m:val="sans-serif"/>
                  <m:sty m:val="p"/>
                </m:rPr>
                <m:t>price</m:t>
              </m:r>
              <m:r>
                <m:rPr>
                  <m:sty m:val="p"/>
                </m:rPr>
                <m:t>(</m:t>
              </m:r>
              <m:r>
                <m:t>t</m:t>
              </m:r>
              <m:r>
                <m:rPr>
                  <m:sty m:val="p"/>
                </m:rPr>
                <m:t>)</m:t>
              </m:r>
            </m:oMath>
            <w:r>
              <w:rPr>
                <w:lang w:val="en-US"/>
              </w:rPr>
              <w:t xml:space="preserve">​</w:t>
            </w:r>
          </w:p>
        </w:tc>
        <w:tc>
          <w:tcPr>
            <w:tcW w:w="5978" w:type="dxa"/>
          </w:tcPr>
          <w:p>
            <w:pPr>
              <w:pStyle w:val="Compact"/>
            </w:pPr>
            <w:r>
              <w:rPr>
                <w:lang w:val="en-US"/>
              </w:rPr>
              <w:t xml:space="preserve">TOU tariff in $/kWh</w:t>
            </w:r>
          </w:p>
        </w:tc>
        <w:tc>
          <w:tcPr>
            <w:tcW w:w="1758" w:type="dxa"/>
          </w:tcPr>
          <w:p>
            <w:pPr>
              <w:pStyle w:val="Compact"/>
            </w:pPr>
            <w:r>
              <w:rPr>
                <w:lang w:val="en-US"/>
              </w:rPr>
              <w:t xml:space="preserve">0.11–0.42</w:t>
            </w:r>
          </w:p>
        </w:tc>
      </w:tr>
      <w:tr>
        <w:trPr>
          <w:cantSplit/>
        </w:trPr>
        <w:tc>
          <w:tcPr>
            <w:tcW w:w="1289" w:type="dxa"/>
          </w:tcPr>
          <w:p>
            <w:pPr>
              <w:pStyle w:val="Compact"/>
            </w:pPr>
            <m:oMath>
              <m:sSub>
                <m:e>
                  <m:r>
                    <m:t>s</m:t>
                  </m:r>
                </m:e>
                <m:sub>
                  <m:r>
                    <m:t>0</m:t>
                  </m:r>
                </m:sub>
              </m:sSub>
            </m:oMath>
            <w:r>
              <w:rPr>
                <w:lang w:val="en-US"/>
              </w:rPr>
              <w:t xml:space="preserve">​</w:t>
            </w:r>
          </w:p>
        </w:tc>
        <w:tc>
          <w:tcPr>
            <w:tcW w:w="5978" w:type="dxa"/>
          </w:tcPr>
          <w:p>
            <w:pPr>
              <w:pStyle w:val="Compact"/>
            </w:pPr>
            <w:r>
              <w:rPr>
                <w:lang w:val="en-US"/>
              </w:rPr>
              <w:t xml:space="preserve">initial state of charge (single-day)</w:t>
            </w:r>
          </w:p>
        </w:tc>
        <w:tc>
          <w:tcPr>
            <w:tcW w:w="1758" w:type="dxa"/>
          </w:tcPr>
          <w:p>
            <w:pPr>
              <w:pStyle w:val="Compact"/>
            </w:pPr>
            <w:r>
              <w:rPr>
                <w:lang w:val="en-US"/>
              </w:rPr>
              <w:t xml:space="preserve">0.80</w:t>
            </w:r>
          </w:p>
        </w:tc>
      </w:tr>
    </w:tbl>
    <w:bookmarkEnd w:id="63"/>
    <w:bookmarkEnd w:id="64"/>
    <w:sectPr>
      <w:footerReference r:id="rId9" w:type="default"/>
      <w:footnotePr>
        <w:numRestart w:val="eachSect"/>
      </w:footnotePr>
      <w:pgSz w:h="16838" w:w="11906"/>
      <w:pgMar w:bottom="1440" w:foot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18"/>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asciiTheme="minorHAnsi" w:cs="Times New Roman" w:cstheme="minorBidi" w:eastAsia="Times New Roman" w:eastAsiaTheme="minorEastAsia" w:hAnsi="Times New Roman" w:hAnsiTheme="minorHAnsi"/>
        <w:sz w:val="21"/>
        <w:szCs w:val="21"/>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360" w:lineRule="auto"/>
      <w:jc w:val="both"/>
    </w:pPr>
    <w:rPr>
      <w:rFonts w:ascii="Times New Roman" w:cs="Times New Roman" w:eastAsia="Times New Roman" w:hAnsi="Times New Roman"/>
      <w:color w:val="000000"/>
      <w:sz w:val="21"/>
    </w:rPr>
  </w:style>
  <w:style w:styleId="BodyText" w:type="paragraph">
    <w:name w:val="Body Text"/>
    <w:basedOn w:val="Normal"/>
    <w:link w:val="BodyTextChar"/>
    <w:qFormat/>
    <w:pPr>
      <w:spacing w:after="180" w:before="180" w:line="360" w:lineRule="auto"/>
      <w:jc w:val="both"/>
    </w:pPr>
    <w:rPr>
      <w:rFonts w:ascii="Times New Roman" w:cs="Times New Roman" w:eastAsia="Times New Roman" w:hAnsi="Times New Roman"/>
      <w:color w:val="000000"/>
      <w:sz w:val="21"/>
    </w:rPr>
  </w:style>
  <w:style w:customStyle="1" w:styleId="FirstParagraph" w:type="paragraph">
    <w:name w:val="First Paragraph"/>
    <w:basedOn w:val="BodyText"/>
    <w:next w:val="BodyText"/>
    <w:qFormat/>
    <w:pPr>
      <w:spacing w:line="360" w:lineRule="auto"/>
      <w:jc w:val="both"/>
    </w:pPr>
    <w:rPr>
      <w:rFonts w:ascii="Times New Roman" w:cs="Times New Roman" w:eastAsia="Times New Roman" w:hAnsi="Times New Roman"/>
      <w:color w:val="000000"/>
      <w:sz w:val="21"/>
    </w:rPr>
  </w:style>
  <w:style w:customStyle="1" w:styleId="Compact" w:type="paragraph">
    <w:name w:val="Compact"/>
    <w:basedOn w:val="BodyText"/>
    <w:qFormat/>
    <w:pPr>
      <w:spacing w:after="36" w:before="36" w:line="240" w:lineRule="auto"/>
      <w:jc w:val="left"/>
    </w:pPr>
    <w:rPr>
      <w:rFonts w:ascii="Times New Roman" w:cs="Times New Roman" w:eastAsia="Times New Roman" w:hAnsi="Times New Roman"/>
      <w:color w:val="000000"/>
      <w:sz w:val="20"/>
    </w:rPr>
  </w:style>
  <w:style w:styleId="Title" w:type="paragraph">
    <w:name w:val="Title"/>
    <w:basedOn w:val="Normal"/>
    <w:next w:val="BodyText"/>
    <w:link w:val="TitleChar"/>
    <w:uiPriority w:val="10"/>
    <w:qFormat/>
    <w:rsid w:val="00A10FD9"/>
    <w:pPr>
      <w:spacing w:after="240" w:line="276" w:lineRule="auto"/>
      <w:contextualSpacing/>
      <w:jc w:val="center"/>
    </w:pPr>
    <w:rPr>
      <w:rFonts w:ascii="Times New Roman" w:asciiTheme="majorHAnsi" w:cs="Times New Roman" w:cstheme="majorBidi" w:eastAsia="Times New Roman" w:eastAsiaTheme="majorEastAsia" w:hAnsi="Times New Roman" w:hAnsiTheme="majorHAnsi"/>
      <w:b/>
      <w:color w:val="000000"/>
      <w:sz w:val="28"/>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line="276" w:lineRule="auto"/>
      <w:jc w:val="center"/>
    </w:pPr>
    <w:rPr>
      <w:rFonts w:ascii="Times New Roman" w:cs="Times New Roman" w:cstheme="majorBidi" w:eastAsia="Times New Roman" w:eastAsiaTheme="majorEastAsia" w:hAnsi="Times New Roman"/>
      <w:color w:val="000000"/>
      <w:spacing w:val="15"/>
      <w:sz w:val="21"/>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after="120" w:line="276" w:lineRule="auto"/>
      <w:jc w:val="center"/>
    </w:pPr>
    <w:rPr>
      <w:rFonts w:ascii="Times New Roman" w:cs="Times New Roman" w:eastAsia="Times New Roman" w:hAnsi="Times New Roman"/>
      <w:color w:val="000000"/>
      <w:sz w:val="21"/>
      <w:szCs w:val="24"/>
    </w:rPr>
  </w:style>
  <w:style w:styleId="Date" w:type="paragraph">
    <w:name w:val="Date"/>
    <w:basedOn w:val="Title"/>
    <w:next w:val="BodyText"/>
    <w:qFormat/>
    <w:pPr>
      <w:keepNext/>
      <w:keepLines/>
      <w:spacing w:line="276" w:lineRule="auto"/>
      <w:jc w:val="center"/>
    </w:pPr>
    <w:rPr>
      <w:rFonts w:ascii="Times New Roman" w:cs="Times New Roman" w:eastAsia="Times New Roman" w:hAnsi="Times New Roman"/>
      <w:color w:val="000000"/>
      <w:sz w:val="21"/>
      <w:szCs w:val="24"/>
    </w:rPr>
  </w:style>
  <w:style w:customStyle="1" w:styleId="AbstractTitle" w:type="paragraph">
    <w:name w:val="Abstract Title"/>
    <w:basedOn w:val="Normal"/>
    <w:next w:val="Abstract"/>
    <w:qFormat/>
    <w:pPr>
      <w:keepNext/>
      <w:keepLines/>
      <w:spacing w:after="0" w:before="300" w:line="360" w:lineRule="auto"/>
      <w:jc w:val="both"/>
    </w:pPr>
    <w:rPr>
      <w:rFonts w:ascii="Times New Roman" w:cs="Times New Roman" w:eastAsia="Times New Roman" w:hAnsi="Times New Roman"/>
      <w:b/>
      <w:color w:val="000000"/>
      <w:sz w:val="21"/>
      <w:szCs w:val="20"/>
    </w:rPr>
  </w:style>
  <w:style w:customStyle="1" w:styleId="Abstract" w:type="paragraph">
    <w:name w:val="Abstract"/>
    <w:basedOn w:val="Normal"/>
    <w:next w:val="BodyText"/>
    <w:qFormat/>
    <w:pPr>
      <w:keepNext/>
      <w:keepLines/>
      <w:spacing w:after="300" w:before="100" w:line="360" w:lineRule="auto"/>
      <w:jc w:val="both"/>
    </w:pPr>
    <w:rPr>
      <w:rFonts w:ascii="Times New Roman" w:cs="Times New Roman" w:eastAsia="Times New Roman" w:hAnsi="Times New Roman"/>
      <w:color w:val="000000"/>
      <w:sz w:val="21"/>
      <w:szCs w:val="20"/>
    </w:rPr>
  </w:style>
  <w:style w:styleId="Bibliography" w:type="paragraph">
    <w:name w:val="Bibliography"/>
    <w:basedOn w:val="Normal"/>
    <w:next w:val="Bibliography"/>
    <w:qFormat/>
    <w:pPr>
      <w:spacing w:after="80" w:line="240" w:lineRule="auto"/>
      <w:jc w:val="left"/>
    </w:pPr>
    <w:rPr>
      <w:rFonts w:ascii="Times New Roman" w:cs="Times New Roman" w:eastAsia="Times New Roman" w:hAnsi="Times New Roman"/>
      <w:color w:val="000000"/>
      <w:sz w:val="20"/>
    </w:rPr>
  </w:style>
  <w:style w:styleId="Heading1" w:type="paragraph">
    <w:name w:val="heading 1"/>
    <w:basedOn w:val="Normal"/>
    <w:next w:val="BodyText"/>
    <w:link w:val="Heading1Char"/>
    <w:uiPriority w:val="9"/>
    <w:qFormat/>
    <w:rsid w:val="00A10FD9"/>
    <w:pPr>
      <w:keepNext/>
      <w:keepLines/>
      <w:spacing w:after="120" w:before="240" w:line="360" w:lineRule="auto"/>
      <w:jc w:val="both"/>
      <w:outlineLvl w:val="0"/>
    </w:pPr>
    <w:rPr>
      <w:rFonts w:ascii="Times New Roman" w:asciiTheme="majorHAnsi" w:cs="Times New Roman" w:cstheme="majorBidi" w:eastAsia="Times New Roman" w:eastAsiaTheme="majorEastAsia" w:hAnsi="Times New Roman" w:hAnsiTheme="majorHAnsi"/>
      <w:b/>
      <w:i w:val="0"/>
      <w:color w:val="000000"/>
      <w:sz w:val="24"/>
      <w:szCs w:val="40"/>
    </w:rPr>
  </w:style>
  <w:style w:styleId="Heading2" w:type="paragraph">
    <w:name w:val="heading 2"/>
    <w:basedOn w:val="Normal"/>
    <w:next w:val="BodyText"/>
    <w:link w:val="Heading2Char"/>
    <w:uiPriority w:val="9"/>
    <w:semiHidden/>
    <w:unhideWhenUsed/>
    <w:qFormat/>
    <w:rsid w:val="00A10FD9"/>
    <w:pPr>
      <w:keepNext/>
      <w:keepLines/>
      <w:spacing w:after="80" w:before="200" w:line="360" w:lineRule="auto"/>
      <w:jc w:val="both"/>
      <w:outlineLvl w:val="1"/>
    </w:pPr>
    <w:rPr>
      <w:rFonts w:ascii="Times New Roman" w:asciiTheme="majorHAnsi" w:cs="Times New Roman" w:cstheme="majorBidi" w:eastAsia="Times New Roman" w:eastAsiaTheme="majorEastAsia" w:hAnsi="Times New Roman" w:hAnsiTheme="majorHAnsi"/>
      <w:b/>
      <w:i w:val="0"/>
      <w:color w:val="000000"/>
      <w:sz w:val="21"/>
      <w:szCs w:val="32"/>
    </w:rPr>
  </w:style>
  <w:style w:styleId="Heading3" w:type="paragraph">
    <w:name w:val="heading 3"/>
    <w:basedOn w:val="Normal"/>
    <w:next w:val="BodyText"/>
    <w:link w:val="Heading3Char"/>
    <w:uiPriority w:val="9"/>
    <w:semiHidden/>
    <w:unhideWhenUsed/>
    <w:qFormat/>
    <w:rsid w:val="00A10FD9"/>
    <w:pPr>
      <w:keepNext/>
      <w:keepLines/>
      <w:spacing w:after="80" w:before="160" w:line="360" w:lineRule="auto"/>
      <w:jc w:val="both"/>
      <w:outlineLvl w:val="2"/>
    </w:pPr>
    <w:rPr>
      <w:rFonts w:ascii="Times New Roman" w:cs="Times New Roman" w:cstheme="majorBidi" w:eastAsia="Times New Roman" w:eastAsiaTheme="majorEastAsia" w:hAnsi="Times New Roman"/>
      <w:b w:val="0"/>
      <w:i/>
      <w:color w:val="000000"/>
      <w:sz w:val="21"/>
      <w:szCs w:val="28"/>
    </w:rPr>
  </w:style>
  <w:style w:styleId="Heading4" w:type="paragraph">
    <w:name w:val="heading 4"/>
    <w:basedOn w:val="Normal"/>
    <w:next w:val="BodyText"/>
    <w:link w:val="Heading4Char"/>
    <w:uiPriority w:val="9"/>
    <w:semiHidden/>
    <w:unhideWhenUsed/>
    <w:qFormat/>
    <w:rsid w:val="00A10FD9"/>
    <w:pPr>
      <w:keepNext/>
      <w:keepLines/>
      <w:spacing w:after="40" w:before="80" w:line="360" w:lineRule="auto"/>
      <w:jc w:val="both"/>
      <w:outlineLvl w:val="3"/>
    </w:pPr>
    <w:rPr>
      <w:rFonts w:ascii="Times New Roman" w:cs="Times New Roman" w:cstheme="majorBidi" w:eastAsia="Times New Roman" w:eastAsiaTheme="majorEastAsia" w:hAnsi="Times New Roman"/>
      <w:b/>
      <w:i w:val="0"/>
      <w:iCs/>
      <w:color w:val="000000"/>
      <w:sz w:val="2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line="360" w:lineRule="auto"/>
      <w:ind w:firstLine="0" w:left="480" w:right="480"/>
      <w:jc w:val="both"/>
    </w:pPr>
    <w:rPr>
      <w:rFonts w:ascii="Times New Roman" w:cs="Times New Roman" w:eastAsia="Times New Roman" w:hAnsi="Times New Roman"/>
      <w:color w:val="000000"/>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Times New Roman" w:cs="Times New Roman" w:eastAsia="Times New Roman" w:hAnsi="Times New Roman"/>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after="80" w:before="160" w:line="240" w:lineRule="auto"/>
      <w:jc w:val="center"/>
    </w:pPr>
    <w:rPr>
      <w:rFonts w:ascii="Times New Roman" w:cs="Times New Roman" w:eastAsia="Times New Roman" w:hAnsi="Times New Roman"/>
      <w:i w:val="0"/>
      <w:color w:val="000000"/>
      <w:sz w:val="20"/>
    </w:rPr>
  </w:style>
  <w:style w:customStyle="1" w:styleId="ImageCaption" w:type="paragraph">
    <w:name w:val="Image Caption"/>
    <w:basedOn w:val="Caption"/>
    <w:pPr>
      <w:spacing w:after="200" w:before="80" w:line="240" w:lineRule="auto"/>
      <w:jc w:val="center"/>
    </w:pPr>
    <w:rPr>
      <w:rFonts w:ascii="Times New Roman" w:cs="Times New Roman" w:eastAsia="Times New Roman" w:hAnsi="Times New Roman"/>
      <w:i w:val="0"/>
      <w:color w:val="000000"/>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cs="Times New Roman" w:eastAsia="Times New Roman" w:hAnsi="Times New Roman"/>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pPr>
      <w:spacing w:line="240" w:lineRule="auto"/>
      <w:jc w:val="left"/>
    </w:pPr>
    <w:rPr>
      <w:rFonts w:ascii="Times New Roman" w:cs="Times New Roman" w:eastAsia="Times New Roman" w:hAnsi="Times New Roman"/>
      <w:color w:val="000000"/>
      <w:sz w:val="18"/>
    </w:rPr>
  </w:style>
  <w:style w:type="paragraph" w:customStyle="1" w:styleId="FigureCaption">
    <w:name w:val="Figure Caption"/>
    <w:basedOn w:val="BodyText"/>
    <w:qFormat/>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9" Type="http://schemas.openxmlformats.org/officeDocument/2006/relationships/footer" Target="footer1.xml"/><Relationship Id="rId38" Type="http://schemas.openxmlformats.org/officeDocument/2006/relationships/image" Target="media/rId38.png"/><Relationship Id="rId41" Type="http://schemas.openxmlformats.org/officeDocument/2006/relationships/image" Target="media/rId41.png"/><Relationship Id="rId45" Type="http://schemas.openxmlformats.org/officeDocument/2006/relationships/image" Target="media/rId45.png"/><Relationship Id="rId51" Type="http://schemas.openxmlformats.org/officeDocument/2006/relationships/image" Target="media/rId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Should an Electric Ride-Hailing Driver Charge?</dc:title>
  <dc:creator>Ruixi Liang (梁睿希), Student ID 202464870791; School of Future Technology, South China University of Technology, Big Data Class 1; Course: Optimization Methods (084100551) | Supervisor: Zhenhong Lin</dc:creator>
  <dc:language>en-US</dc:language>
  <cp:keywords/>
  <dcterms:created xsi:type="dcterms:W3CDTF">2026-10-24T02:34:57Z</dcterms:created>
  <dcterms:modified xsi:type="dcterms:W3CDTF">2026-10-24T02:34:57Z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Draft, 24 October 2026</vt:lpwstr>
  </property>
  <property fmtid="{D5CDD505-2E9C-101B-9397-08002B2CF9AE}" pid="3" name="subtitle">
    <vt:lpwstr>Optimal Intra-Day Charging under Stochastic Order Demand and Time-of-Use Pricing</vt:lpwstr>
  </property>
</Properties>
</file>