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TC-FE-001 – Frontend Server Startup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TC-FE-001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Frontend Server Startup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Verify React (Vite) frontend launches correctly.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Node.js 18+ installed. Dependencies installed via npm install.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Open terminal → cd 'Budgeting capstone Fall 2025/Front end code'</w:t>
              <w:br/>
              <w:t>2. Run: npm run dev</w:t>
              <w:br/>
              <w:t>3. Wait for 'Local: http://localhost:5173' in console.</w:t>
              <w:br/>
              <w:t>4. Open URL in browser.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Browser displays project dashboard homepage.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UI loads without console errors.</w:t>
              <w:br/>
              <w:t>FAIL – Terminal shows build or dependency errors.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Ensure backend also running for complete integration testing.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