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TC-IN-001 – Frontend ↔ Backend Data Fetch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TC-IN-001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Frontend ↔ Backend Data Fetch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Confirm frontend successfully retrieves and displays data from backend using proxy.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Backend and frontend both running. vite.config.js proxy configured.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Visit http://localhost:5173/headcount</w:t>
              <w:br/>
              <w:t>2. Enter '/api' in API Base URL field</w:t>
              <w:br/>
              <w:t>3. Click 'Refresh' button.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Roster table populates with one row showing Alice’s data (E001, Ops, etc.).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Data visible and accurate.</w:t>
              <w:br/>
              <w:t>FAIL – Empty table or fetch/network error.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Check backend logs or proxy setup if data not loaded.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