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TC-IN-002 – Proxy CORS Validation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TC-IN-002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Proxy CORS Validation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Ensure Vite proxy prevents CORS errors between frontend (5173) and backend (8000).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vite.config.js contains correct proxy block. Backend and frontend running.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Open browser DevTools → Network tab.</w:t>
              <w:br/>
              <w:t>2. Refresh Headcount page.</w:t>
              <w:br/>
              <w:t>3. Observe request URL for /api/headcount/list.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Request completes successfully with Status 200. No 'CORS policy' errors in console.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No CORS errors.</w:t>
              <w:br/>
              <w:t>FAIL – Browser shows CORS or blocked request message.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If CORS error appears, ensure API Base URL is '/api', not full backend URL.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