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EDAEA" w14:textId="77777777" w:rsidR="00C94DD2" w:rsidRPr="00C94DD2" w:rsidRDefault="00C94DD2" w:rsidP="00C94DD2">
      <w:pPr>
        <w:pStyle w:val="Bibliography"/>
        <w:ind w:left="0" w:firstLine="0"/>
        <w:jc w:val="center"/>
        <w:rPr>
          <w:iCs/>
          <w:szCs w:val="24"/>
        </w:rPr>
      </w:pPr>
      <w:r w:rsidRPr="00C94DD2">
        <w:rPr>
          <w:iCs/>
          <w:szCs w:val="24"/>
        </w:rPr>
        <w:t>CHAPTER VI</w:t>
      </w:r>
    </w:p>
    <w:p w14:paraId="18BE03A8" w14:textId="77777777" w:rsidR="00260190" w:rsidRDefault="00260190" w:rsidP="00260190">
      <w:pPr>
        <w:ind w:firstLine="720"/>
        <w:rPr>
          <w:szCs w:val="24"/>
        </w:rPr>
      </w:pPr>
    </w:p>
    <w:p w14:paraId="7D304733" w14:textId="2AE23FE3" w:rsidR="00260190" w:rsidRPr="00260190" w:rsidRDefault="00260190" w:rsidP="00260190">
      <w:pPr>
        <w:pStyle w:val="NoSpacing"/>
        <w:jc w:val="center"/>
        <w:rPr>
          <w:i w:val="0"/>
          <w:iCs/>
        </w:rPr>
      </w:pPr>
      <w:r>
        <w:rPr>
          <w:i w:val="0"/>
          <w:iCs/>
        </w:rPr>
        <w:t>Discussion</w:t>
      </w:r>
    </w:p>
    <w:p w14:paraId="4ED80CFF" w14:textId="77777777" w:rsidR="00D50406" w:rsidRDefault="00260190" w:rsidP="00260190">
      <w:pPr>
        <w:ind w:firstLine="720"/>
        <w:rPr>
          <w:rFonts w:cs="Calibri Light"/>
          <w:iCs/>
          <w:szCs w:val="24"/>
        </w:rPr>
      </w:pPr>
      <w:r w:rsidRPr="00C94DD2">
        <w:rPr>
          <w:rFonts w:cs="Calibri Light"/>
          <w:iCs/>
          <w:szCs w:val="24"/>
        </w:rPr>
        <w:t xml:space="preserve">Due to the large nature of this project, depicting 2,125 days would be rather disingenuous to mother nature should a printed copy need exist somewhere. </w:t>
      </w:r>
      <w:r>
        <w:rPr>
          <w:rFonts w:cs="Calibri Light"/>
          <w:iCs/>
          <w:szCs w:val="24"/>
        </w:rPr>
        <w:t>R</w:t>
      </w:r>
      <w:r w:rsidRPr="00C94DD2">
        <w:rPr>
          <w:rFonts w:cs="Calibri Light"/>
          <w:iCs/>
          <w:szCs w:val="24"/>
        </w:rPr>
        <w:t>andom</w:t>
      </w:r>
      <w:r>
        <w:rPr>
          <w:rFonts w:cs="Calibri Light"/>
          <w:iCs/>
          <w:szCs w:val="24"/>
        </w:rPr>
        <w:t xml:space="preserve">ly selecting 5 months </w:t>
      </w:r>
      <w:r w:rsidRPr="00C94DD2">
        <w:rPr>
          <w:rFonts w:cs="Calibri Light"/>
          <w:iCs/>
          <w:szCs w:val="24"/>
        </w:rPr>
        <w:t>keep</w:t>
      </w:r>
      <w:r>
        <w:rPr>
          <w:rFonts w:cs="Calibri Light"/>
          <w:iCs/>
          <w:szCs w:val="24"/>
        </w:rPr>
        <w:t>s</w:t>
      </w:r>
      <w:r w:rsidRPr="00C94DD2">
        <w:rPr>
          <w:rFonts w:cs="Calibri Light"/>
          <w:iCs/>
          <w:szCs w:val="24"/>
        </w:rPr>
        <w:t xml:space="preserve"> th</w:t>
      </w:r>
      <w:r>
        <w:rPr>
          <w:rFonts w:cs="Calibri Light"/>
          <w:iCs/>
          <w:szCs w:val="24"/>
        </w:rPr>
        <w:t>is</w:t>
      </w:r>
      <w:r w:rsidRPr="00C94DD2">
        <w:rPr>
          <w:rFonts w:cs="Calibri Light"/>
          <w:iCs/>
          <w:szCs w:val="24"/>
        </w:rPr>
        <w:t xml:space="preserve"> number down to 150</w:t>
      </w:r>
      <w:r>
        <w:rPr>
          <w:rFonts w:cs="Calibri Light"/>
          <w:iCs/>
          <w:szCs w:val="24"/>
        </w:rPr>
        <w:t>, along with first-of-month depictions created in ArcGIS Pro</w:t>
      </w:r>
      <w:r w:rsidRPr="00C94DD2">
        <w:rPr>
          <w:rFonts w:cs="Calibri Light"/>
          <w:iCs/>
          <w:szCs w:val="24"/>
        </w:rPr>
        <w:t>. It was imperative that all seasons were captured in this section</w:t>
      </w:r>
      <w:r>
        <w:rPr>
          <w:rFonts w:cs="Calibri Light"/>
          <w:iCs/>
          <w:szCs w:val="24"/>
        </w:rPr>
        <w:t xml:space="preserve">; random months for each season were selected with two months being selected from summer seasons. After the month was selected, a year was randomly associated with it. </w:t>
      </w:r>
      <w:r w:rsidRPr="00C94DD2">
        <w:rPr>
          <w:rFonts w:cs="Calibri Light"/>
          <w:iCs/>
          <w:szCs w:val="24"/>
        </w:rPr>
        <w:t>January 2019, October 2020, and April 2023 depict Winter, Fall, and Spring respectively</w:t>
      </w:r>
      <w:r>
        <w:rPr>
          <w:rFonts w:cs="Calibri Light"/>
          <w:iCs/>
          <w:szCs w:val="24"/>
        </w:rPr>
        <w:t xml:space="preserve"> while July 2021 and June 2023 depict Summer</w:t>
      </w:r>
      <w:r w:rsidRPr="00C94DD2">
        <w:rPr>
          <w:rFonts w:cs="Calibri Light"/>
          <w:iCs/>
          <w:szCs w:val="24"/>
        </w:rPr>
        <w:t xml:space="preserve">. </w:t>
      </w:r>
    </w:p>
    <w:p w14:paraId="699123E3" w14:textId="79FAE4C7" w:rsidR="00C94DD2" w:rsidRPr="00C94DD2" w:rsidRDefault="00260190" w:rsidP="00260190">
      <w:pPr>
        <w:ind w:firstLine="720"/>
        <w:rPr>
          <w:iCs/>
          <w:szCs w:val="24"/>
        </w:rPr>
      </w:pPr>
      <w:r w:rsidRPr="00C94DD2">
        <w:rPr>
          <w:rFonts w:cs="Calibri Light"/>
          <w:iCs/>
          <w:szCs w:val="24"/>
        </w:rPr>
        <w:t>Given the low variance in terrain</w:t>
      </w:r>
      <w:r>
        <w:rPr>
          <w:rFonts w:cs="Calibri Light"/>
          <w:iCs/>
          <w:szCs w:val="24"/>
        </w:rPr>
        <w:t>,</w:t>
      </w:r>
      <w:r w:rsidRPr="00C94DD2">
        <w:rPr>
          <w:rFonts w:cs="Calibri Light"/>
          <w:iCs/>
          <w:szCs w:val="24"/>
        </w:rPr>
        <w:t xml:space="preserve"> except around mountainous areas, many of the urban populations are in basins allowing for </w:t>
      </w:r>
      <w:r>
        <w:rPr>
          <w:rFonts w:cs="Calibri Light"/>
          <w:iCs/>
          <w:szCs w:val="24"/>
        </w:rPr>
        <w:t xml:space="preserve">the </w:t>
      </w:r>
      <w:r w:rsidRPr="00C94DD2">
        <w:rPr>
          <w:rFonts w:cs="Calibri Light"/>
          <w:iCs/>
          <w:szCs w:val="24"/>
        </w:rPr>
        <w:t>cumulation of</w:t>
      </w:r>
      <w:r>
        <w:rPr>
          <w:rFonts w:cs="Calibri Light"/>
          <w:iCs/>
          <w:szCs w:val="24"/>
        </w:rPr>
        <w:t xml:space="preserve"> surface O</w:t>
      </w:r>
      <w:r>
        <w:rPr>
          <w:rFonts w:cs="Calibri Light"/>
          <w:iCs/>
          <w:szCs w:val="24"/>
          <w:vertAlign w:val="subscript"/>
        </w:rPr>
        <w:t>3</w:t>
      </w:r>
      <w:r>
        <w:rPr>
          <w:rFonts w:cs="Calibri Light"/>
          <w:iCs/>
          <w:szCs w:val="24"/>
        </w:rPr>
        <w:t xml:space="preserve"> after its generation from higher elevations surrounding Phoenix and Tucson</w:t>
      </w:r>
      <w:r w:rsidRPr="00C94DD2">
        <w:rPr>
          <w:rFonts w:cs="Calibri Light"/>
          <w:iCs/>
          <w:szCs w:val="24"/>
        </w:rPr>
        <w:t>. The full daily outputs for each month are depicted starting on Map VIII.MAP.X V.2.2. and on. Only the first of each month was shown in detail</w:t>
      </w:r>
      <w:r>
        <w:rPr>
          <w:rFonts w:cs="Calibri Light"/>
          <w:iCs/>
          <w:szCs w:val="24"/>
        </w:rPr>
        <w:t xml:space="preserve"> using ArcGIS Pro; while high quality, these maps are left as example layouts to use for larger AOIs</w:t>
      </w:r>
      <w:r w:rsidRPr="00C94DD2">
        <w:rPr>
          <w:rFonts w:cs="Calibri Light"/>
          <w:iCs/>
          <w:szCs w:val="24"/>
        </w:rPr>
        <w:t xml:space="preserve">. Averages for each county </w:t>
      </w:r>
      <w:r>
        <w:rPr>
          <w:rFonts w:cs="Calibri Light"/>
          <w:iCs/>
          <w:szCs w:val="24"/>
        </w:rPr>
        <w:t xml:space="preserve">with XGBRK </w:t>
      </w:r>
      <w:r w:rsidRPr="00C94DD2">
        <w:rPr>
          <w:rFonts w:cs="Calibri Light"/>
          <w:iCs/>
          <w:szCs w:val="24"/>
        </w:rPr>
        <w:t xml:space="preserve">are </w:t>
      </w:r>
      <w:r>
        <w:rPr>
          <w:rFonts w:cs="Calibri Light"/>
          <w:iCs/>
          <w:szCs w:val="24"/>
        </w:rPr>
        <w:t>compared to monitor statistics</w:t>
      </w:r>
      <w:r w:rsidRPr="00C94DD2">
        <w:rPr>
          <w:rFonts w:cs="Calibri Light"/>
          <w:iCs/>
          <w:szCs w:val="24"/>
        </w:rPr>
        <w:t xml:space="preserve"> </w:t>
      </w:r>
      <w:r>
        <w:rPr>
          <w:rFonts w:cs="Calibri Light"/>
          <w:iCs/>
          <w:szCs w:val="24"/>
        </w:rPr>
        <w:t xml:space="preserve">followed by a brief analysis of potential </w:t>
      </w:r>
      <w:r w:rsidRPr="00C94DD2">
        <w:rPr>
          <w:rFonts w:cs="Calibri Light"/>
          <w:iCs/>
          <w:szCs w:val="24"/>
        </w:rPr>
        <w:t xml:space="preserve">health outcomes </w:t>
      </w:r>
      <w:r>
        <w:rPr>
          <w:rFonts w:cs="Calibri Light"/>
          <w:iCs/>
          <w:szCs w:val="24"/>
        </w:rPr>
        <w:t xml:space="preserve">due to </w:t>
      </w:r>
      <w:r w:rsidRPr="00C94DD2">
        <w:rPr>
          <w:rFonts w:cs="Calibri Light"/>
          <w:iCs/>
          <w:szCs w:val="24"/>
        </w:rPr>
        <w:t xml:space="preserve">exposures at concentrations greater than the EPA Standard of 70 ppb. Full applications, processing of the dataset and </w:t>
      </w:r>
      <w:r>
        <w:rPr>
          <w:rFonts w:cs="Calibri Light"/>
          <w:iCs/>
          <w:szCs w:val="24"/>
        </w:rPr>
        <w:t xml:space="preserve">future </w:t>
      </w:r>
      <w:r w:rsidRPr="00C94DD2">
        <w:rPr>
          <w:rFonts w:cs="Calibri Light"/>
          <w:iCs/>
          <w:szCs w:val="24"/>
        </w:rPr>
        <w:t xml:space="preserve">project management are </w:t>
      </w:r>
      <w:r w:rsidR="00957D5A">
        <w:rPr>
          <w:rFonts w:cs="Calibri Light"/>
          <w:iCs/>
          <w:szCs w:val="24"/>
        </w:rPr>
        <w:t xml:space="preserve">also </w:t>
      </w:r>
      <w:r w:rsidRPr="00C94DD2">
        <w:rPr>
          <w:rFonts w:cs="Calibri Light"/>
          <w:iCs/>
          <w:szCs w:val="24"/>
        </w:rPr>
        <w:t>discussed</w:t>
      </w:r>
      <w:r w:rsidR="00957D5A">
        <w:rPr>
          <w:rFonts w:cs="Calibri Light"/>
          <w:iCs/>
          <w:szCs w:val="24"/>
        </w:rPr>
        <w:t xml:space="preserve"> before concluding with general comments in Chapter VII</w:t>
      </w:r>
      <w:r w:rsidRPr="00C94DD2">
        <w:rPr>
          <w:rFonts w:cs="Calibri Light"/>
          <w:iCs/>
          <w:szCs w:val="24"/>
        </w:rPr>
        <w:t>.</w:t>
      </w:r>
    </w:p>
    <w:p w14:paraId="001AB65A" w14:textId="05BA6EC8" w:rsidR="00C94DD2" w:rsidRPr="00C94DD2" w:rsidRDefault="00C94DD2" w:rsidP="00C94DD2">
      <w:pPr>
        <w:jc w:val="center"/>
        <w:rPr>
          <w:szCs w:val="24"/>
        </w:rPr>
      </w:pPr>
      <w:r w:rsidRPr="00C94DD2">
        <w:rPr>
          <w:szCs w:val="24"/>
        </w:rPr>
        <w:t xml:space="preserve">A Brief </w:t>
      </w:r>
      <w:r w:rsidR="00430130">
        <w:rPr>
          <w:szCs w:val="24"/>
        </w:rPr>
        <w:t xml:space="preserve">Surface </w:t>
      </w:r>
      <w:r w:rsidR="00430130" w:rsidRPr="00430130">
        <w:rPr>
          <w:szCs w:val="24"/>
        </w:rPr>
        <w:t>O</w:t>
      </w:r>
      <w:r w:rsidR="00430130">
        <w:rPr>
          <w:szCs w:val="24"/>
          <w:vertAlign w:val="subscript"/>
        </w:rPr>
        <w:t>3</w:t>
      </w:r>
      <w:r w:rsidR="00430130">
        <w:rPr>
          <w:szCs w:val="24"/>
        </w:rPr>
        <w:t xml:space="preserve"> </w:t>
      </w:r>
      <w:r w:rsidRPr="00430130">
        <w:rPr>
          <w:szCs w:val="24"/>
        </w:rPr>
        <w:t>Case</w:t>
      </w:r>
      <w:r w:rsidRPr="00C94DD2">
        <w:rPr>
          <w:szCs w:val="24"/>
        </w:rPr>
        <w:t xml:space="preserve"> Study in Arizona</w:t>
      </w:r>
    </w:p>
    <w:p w14:paraId="0EAF3BB5" w14:textId="0CAA6DB1" w:rsidR="00FB4644" w:rsidRDefault="00C94DD2" w:rsidP="00260190">
      <w:pPr>
        <w:ind w:firstLine="720"/>
        <w:rPr>
          <w:iCs/>
          <w:szCs w:val="24"/>
        </w:rPr>
      </w:pPr>
      <w:r w:rsidRPr="00C94DD2">
        <w:rPr>
          <w:iCs/>
          <w:szCs w:val="24"/>
        </w:rPr>
        <w:t>Th</w:t>
      </w:r>
      <w:r w:rsidR="00957D5A">
        <w:rPr>
          <w:iCs/>
          <w:szCs w:val="24"/>
        </w:rPr>
        <w:t>e many maps created for this section</w:t>
      </w:r>
      <w:r w:rsidRPr="00C94DD2">
        <w:rPr>
          <w:iCs/>
          <w:szCs w:val="24"/>
        </w:rPr>
        <w:t xml:space="preserve"> </w:t>
      </w:r>
      <w:r w:rsidR="00957D5A">
        <w:rPr>
          <w:iCs/>
          <w:szCs w:val="24"/>
        </w:rPr>
        <w:t xml:space="preserve">are </w:t>
      </w:r>
      <w:r w:rsidRPr="00C94DD2">
        <w:rPr>
          <w:iCs/>
          <w:szCs w:val="24"/>
        </w:rPr>
        <w:t>dedicated to expanding the who, when, and where of surface O</w:t>
      </w:r>
      <w:r w:rsidRPr="00C94DD2">
        <w:rPr>
          <w:iCs/>
          <w:szCs w:val="24"/>
          <w:vertAlign w:val="subscript"/>
        </w:rPr>
        <w:t>3</w:t>
      </w:r>
      <w:r w:rsidRPr="00C94DD2">
        <w:rPr>
          <w:iCs/>
          <w:szCs w:val="24"/>
        </w:rPr>
        <w:t xml:space="preserve"> into what potential outcomes can occur in areas exposed to high concentrations.</w:t>
      </w:r>
      <w:r w:rsidR="00957D5A">
        <w:rPr>
          <w:iCs/>
          <w:szCs w:val="24"/>
        </w:rPr>
        <w:t xml:space="preserve"> While these thesis could delve more into the how, much of this has already been discussed (</w:t>
      </w:r>
      <w:proofErr w:type="spellStart"/>
      <w:r w:rsidR="00957D5A">
        <w:rPr>
          <w:iCs/>
          <w:szCs w:val="24"/>
        </w:rPr>
        <w:t>e.g</w:t>
      </w:r>
      <w:proofErr w:type="spellEnd"/>
      <w:r w:rsidR="00957D5A">
        <w:rPr>
          <w:iCs/>
          <w:szCs w:val="24"/>
        </w:rPr>
        <w:t xml:space="preserve"> Literature et al., 2020-2024)</w:t>
      </w:r>
      <w:r w:rsidRPr="00C94DD2">
        <w:rPr>
          <w:iCs/>
          <w:szCs w:val="24"/>
        </w:rPr>
        <w:t xml:space="preserve"> As mentioned in Chapter II.3.4, O</w:t>
      </w:r>
      <w:r w:rsidRPr="00C94DD2">
        <w:rPr>
          <w:iCs/>
          <w:szCs w:val="24"/>
          <w:vertAlign w:val="subscript"/>
        </w:rPr>
        <w:t>3</w:t>
      </w:r>
      <w:r w:rsidRPr="00C94DD2">
        <w:rPr>
          <w:iCs/>
          <w:szCs w:val="24"/>
        </w:rPr>
        <w:t xml:space="preserve"> is an oxidizing agent, participating in redox reactions while simultaneously reducing itself</w:t>
      </w:r>
      <w:r w:rsidR="00957D5A">
        <w:rPr>
          <w:iCs/>
          <w:szCs w:val="24"/>
        </w:rPr>
        <w:t xml:space="preserve"> due to instability</w:t>
      </w:r>
      <w:r w:rsidRPr="00C94DD2">
        <w:rPr>
          <w:iCs/>
          <w:szCs w:val="24"/>
        </w:rPr>
        <w:t xml:space="preserve"> </w:t>
      </w:r>
      <w:r w:rsidRPr="00C94DD2">
        <w:rPr>
          <w:iCs/>
          <w:szCs w:val="24"/>
        </w:rPr>
        <w:fldChar w:fldCharType="begin"/>
      </w:r>
      <w:r>
        <w:rPr>
          <w:iCs/>
          <w:szCs w:val="24"/>
        </w:rPr>
        <w:instrText xml:space="preserve"> ADDIN ZOTERO_ITEM CSL_CITATION {"citationID":"IaX9eDtl","properties":{"formattedCitation":"(Marmett et al. 2023; Qiu et al. 2025; Yang et al. 2024)","plainCitation":"(Marmett et al. 2023; Qiu et al. 2025; Yang et al. 2024)","noteIndex":0},"citationItems":[{"id":9316,"uris":["http://zotero.org/users/15391371/items/XF2D2A2A"],"itemData":{"id":9316,"type":"article-journal","abstract":"The exposure to traffic-related air pollutants, such as NO2 and O3, are associated with detrimental health effects, becoming one of the greatest public health issues worldwide. Exercising in polluted environments could result in harmful outcomes for health and may blunt the physiological adaptations of exercise training. This study aimed to investigate the influence of physical activity and O3 exposure on redox status, an inflammatory marker, response to stress, and pulmonary toxicity of healthy young individuals. We performed a cross-sectional study with 100 individuals that, based on their exposure to O3 and physical fitness (PF) level, were distributed in four groups: Low PF + Low O3; Low PF + High O3; High PF + Low O3; High PF + High O3. We evaluated personal exposure to NO2 and O3, physical activity level, variables of oxidative stress (SOD, ROS, CAT, GSH, TBARS), pulmonary toxicity (CC16), and inflammatory mediators (IL-1 beta, IL-4, IL-6, IL-10, TNF-alpha, HSP70). Spearman correlation test to check the association among the variables was used and to compare groups we used one-way ANOVA followed by Bonferroni's post hoc and Kruskal Wallis test followed by Dunn's post hoc. O3 levels correlated with physical activity (r = 0.25; p = 0.01) but not with age or markers of body composition (p &gt; 0.05). The individuals with high physical fitness that were less exposed to O3 presented higher CAT activity (p &lt; 0.001), lower TBARS (p &lt; 0.01) and IL-1 beta concentrations (p &lt; 0.01), higher IL-6 (p &lt; 0.05) and IL-10 concentrations (p &lt; 0.05), lower IL-6:1L-10 ratio (p &lt; 0.05), lower CC16 levels (p &lt; 0.05), and higher HSP70 concentration (p &lt; 0.05). Physical activity could result in higher exposure to O3 that could partially blunt some exercise adaptations, while high physical fitness improved the antioxidant defense system, systemic inflammatory mediators, and pulmonary toxicity.","archive_location":"WOS:001001317200001","container-title":"ENVIRONMENTAL RESEARCH","DOI":"10.1016/j.envres.2023.116020","ISSN":"0013-9351","title":"The role of O3 exposure and physical activity status on redox state, inflammation, and pulmonary toxicity of young men: A cross-sectional study","volume":"231","author":[{"family":"Marmett","given":"B"},{"family":"Carvalho","given":"RB"},{"family":"Silva","given":"GN","non-dropping-particle":"da"},{"family":"Dorneles","given":"GP"},{"family":"Romao","given":"PRT"},{"family":"Nunes","given":"RB"},{"family":"Rhoden","given":"CR"}],"issued":{"date-parts":[["2023",8,15]]}}},{"id":11054,"uris":["http://zotero.org/users/15391371/items/7C625ZFE"],"itemData":{"id":11054,"type":"article-journal","abstract":"The pursuit of advanced battery chemistries with enhanced energy density necessitates the exploration of new materials, a process intricately tied to synthesis science. Despite the promise of O3-type sodium oxygen anionic redox cathodes as high-capacity materials, their development has been severely hindered by a lack of understanding regarding synthetic mechanisms. Here, we elucidate the pivotal role of atmospheric conditions, particularly oxygen content, in the synthesis of such materials by synchronizing multiple operando characterization techniques to monitor changes in both solid and gaseous components. Utilizing the O3-Na[Li1/3Mn2/3]O2 system as a model, we demonstrate that a low oxygen environment is essential and the reaction is highly complex as evidenced by multiple oxygen uptake and release processes, resulting in numerous intermediates. This behavior contrasts sharply with Na-Mn-O and Li-Mn-O ternary systems which show less significant oxygen dynamics, underscoring the unique reaction mechanism within the Na-Li-Mn-O system. We further adopt a dynamic controlled atmosphere approach to modulate oxygen concentration and demonstrate successful synthesis of Ti-substituted NaLi1/3Mn2/3-xTixO2 materials, all exhibiting capacities surpassing 190 mAh g-1. Our findings highlight the importance of the atmospheric conditions for the synthesis of oxide cathode materials and these fundamental insights unlock avenues for developing novel high-energy-density sodium-ion battery chemistries.","archive_location":"WOS:001462675700017","container-title":"NATURE COMMUNICATIONS","DOI":"10.1038/s41467-025-57665-1","ISSN":"2041-1723","issue":"1","title":"Enabling the synthesis of O3-type sodium anion-redox cathodes via atmosphere modulation","volume":"16","author":[{"family":"Qiu","given":"YX"},{"family":"Liu","given":"QZ"},{"family":"Tao","given":"JW"},{"family":"Yan","given":"P"},{"family":"Tan","given":"GS"},{"family":"Liu","given":"FJ"},{"family":"Wang","given":"DY"},{"family":"Yu","given":"N"},{"family":"Zhang","given":"N"},{"family":"Yang","given":"Y"},{"family":"Wang","given":"WW"},{"family":"Wang","given":"YZ"},{"family":"Cao","given":"KC"},{"family":"Wang","given":"JY"},{"family":"Lun","given":"ZY"},{"family":"Xu","given":"C"}],"issued":{"date-parts":[["2025",3,8]]}}},{"id":11146,"uris":["http://zotero.org/users/15391371/items/J76HXNCJ"],"itemData":{"id":11146,"type":"article-journal","abstract":"Anionic redox chemistry can surpass theoretical limits of conventional layered oxide cathodes in energy density. A recent model system of sodium-ion batteries, O3-NaLi1/3Mn2/3O2, demonstrated full anionic redox capacity but is limited in reversibility and kinetics due to irreversible structural rearrangement and oxygen loss. Solutions to these issues are missing due to the challenging synthesis. Here, we harness the unique structural richness of sodium layered oxides and realize a controlled ratio of P2 structural intergrowth in this model compound with the overall composition maintained. The resulted O3 with 27 % P2 intergrowth structure delivers an excellent initial Coulombic efficiency of 87 %, comparable to the state-of-the-art Li-rich NMCs. This improvement is attributed to the effective suppression of irreversible oxygen release and structural changes, evidenced by operando Differential Electrochemical Mass Spectroscopy and X-ray Diffraction. The as-prepared intergrowth material, based on the environmentally benign Mn, exhibits a reversible capacity of 226 mAh g(-1) at C/20 rate with excellent cycling stability stemming from the redox reactions of oxygen and manganese. Our work isolates the role of P2 structural intergrowth and thereby introduces a novel strategy to enhance the reversibility and kinetics of anionic redox reactions in sodium layered cathodes without compromising capacity.","archive_location":"WOS:001341180800059","container-title":"ANGEWANDTE CHEMIE-INTERNATIONAL EDITION","DOI":"10.1002/anie.202411059","ISSN":"1433-7851","issue":"43","title":"Enhancing Reversibility and Kinetics of Anionic Redox in O3-NaLi1/3Mn2/3O2 through Controlled P2 Intergrowth","volume":"63","author":[{"family":"Yang","given":"YH"},{"family":"Wang","given":"Q"},{"family":"Hou","given":"JR"},{"family":"Liu","given":"J"},{"family":"Sun","given":"TY"},{"family":"Tang","given":"MX"},{"family":"Chen","given":"CT"},{"family":"Kuo","given":"CY"},{"family":"Hu","given":"ZW"},{"family":"Zheng","given":"TT"},{"family":"Yan","given":"GC"},{"family":"Ma","given":"JW"}],"issued":{"date-parts":[["2024",10,21]]}}}],"schema":"https://github.com/citation-style-language/schema/raw/master/csl-citation.json"} </w:instrText>
      </w:r>
      <w:r w:rsidRPr="00C94DD2">
        <w:rPr>
          <w:iCs/>
          <w:szCs w:val="24"/>
        </w:rPr>
        <w:fldChar w:fldCharType="separate"/>
      </w:r>
      <w:r w:rsidRPr="00C94DD2">
        <w:t>(</w:t>
      </w:r>
      <w:proofErr w:type="spellStart"/>
      <w:r w:rsidRPr="00C94DD2">
        <w:t>Marmett</w:t>
      </w:r>
      <w:proofErr w:type="spellEnd"/>
      <w:r w:rsidRPr="00C94DD2">
        <w:t xml:space="preserve"> et al. 2023; Qiu et al. 2025; Yang et al. 2024)</w:t>
      </w:r>
      <w:r w:rsidRPr="00C94DD2">
        <w:rPr>
          <w:iCs/>
          <w:szCs w:val="24"/>
        </w:rPr>
        <w:fldChar w:fldCharType="end"/>
      </w:r>
      <w:r w:rsidRPr="00C94DD2">
        <w:rPr>
          <w:iCs/>
          <w:szCs w:val="24"/>
        </w:rPr>
        <w:t xml:space="preserve">. </w:t>
      </w:r>
      <w:r w:rsidR="00957D5A">
        <w:rPr>
          <w:iCs/>
          <w:szCs w:val="24"/>
        </w:rPr>
        <w:t>U</w:t>
      </w:r>
      <w:r w:rsidR="000E28B7">
        <w:rPr>
          <w:iCs/>
          <w:szCs w:val="24"/>
        </w:rPr>
        <w:t>s</w:t>
      </w:r>
      <w:r w:rsidR="00957D5A">
        <w:rPr>
          <w:iCs/>
          <w:szCs w:val="24"/>
        </w:rPr>
        <w:t>ing</w:t>
      </w:r>
      <w:r w:rsidR="000E28B7">
        <w:rPr>
          <w:iCs/>
          <w:szCs w:val="24"/>
        </w:rPr>
        <w:t xml:space="preserve"> TD with extreme gradient boost (XGB)</w:t>
      </w:r>
      <w:r w:rsidR="00957D5A">
        <w:rPr>
          <w:iCs/>
          <w:szCs w:val="24"/>
        </w:rPr>
        <w:t>,</w:t>
      </w:r>
      <w:r w:rsidRPr="00C94DD2">
        <w:rPr>
          <w:iCs/>
          <w:szCs w:val="24"/>
        </w:rPr>
        <w:t xml:space="preserve"> </w:t>
      </w:r>
      <w:r w:rsidR="00957D5A">
        <w:rPr>
          <w:iCs/>
          <w:szCs w:val="24"/>
        </w:rPr>
        <w:t>m</w:t>
      </w:r>
      <w:r w:rsidR="00430130">
        <w:rPr>
          <w:iCs/>
          <w:szCs w:val="24"/>
        </w:rPr>
        <w:t xml:space="preserve">odels predicting surface </w:t>
      </w:r>
      <w:r w:rsidR="00957D5A">
        <w:rPr>
          <w:iCs/>
          <w:szCs w:val="24"/>
        </w:rPr>
        <w:t>O</w:t>
      </w:r>
      <w:r w:rsidR="00957D5A">
        <w:rPr>
          <w:iCs/>
          <w:szCs w:val="24"/>
          <w:vertAlign w:val="subscript"/>
        </w:rPr>
        <w:t>3</w:t>
      </w:r>
      <w:r w:rsidR="00957D5A">
        <w:rPr>
          <w:iCs/>
          <w:szCs w:val="24"/>
        </w:rPr>
        <w:t xml:space="preserve"> </w:t>
      </w:r>
      <w:r w:rsidR="00430130">
        <w:rPr>
          <w:iCs/>
          <w:szCs w:val="24"/>
        </w:rPr>
        <w:t xml:space="preserve">concentrations </w:t>
      </w:r>
      <w:r w:rsidRPr="00C94DD2">
        <w:rPr>
          <w:iCs/>
          <w:szCs w:val="24"/>
        </w:rPr>
        <w:t xml:space="preserve">are </w:t>
      </w:r>
      <w:r w:rsidR="00957D5A">
        <w:rPr>
          <w:iCs/>
          <w:szCs w:val="24"/>
        </w:rPr>
        <w:t xml:space="preserve">combined </w:t>
      </w:r>
      <w:r w:rsidR="00430130">
        <w:rPr>
          <w:iCs/>
          <w:szCs w:val="24"/>
        </w:rPr>
        <w:t xml:space="preserve">with </w:t>
      </w:r>
      <w:r w:rsidR="000E28B7">
        <w:rPr>
          <w:iCs/>
          <w:szCs w:val="24"/>
        </w:rPr>
        <w:t xml:space="preserve">basic </w:t>
      </w:r>
      <w:r w:rsidR="00430130">
        <w:rPr>
          <w:iCs/>
          <w:szCs w:val="24"/>
        </w:rPr>
        <w:t xml:space="preserve">population and income metrics </w:t>
      </w:r>
      <w:r w:rsidR="000E28B7">
        <w:rPr>
          <w:iCs/>
          <w:szCs w:val="24"/>
        </w:rPr>
        <w:t xml:space="preserve">from the US Census Bureau </w:t>
      </w:r>
      <w:r w:rsidR="00430130">
        <w:rPr>
          <w:iCs/>
          <w:szCs w:val="24"/>
        </w:rPr>
        <w:t>to show clear discrepancies in affected demographics</w:t>
      </w:r>
      <w:r w:rsidRPr="00C94DD2">
        <w:rPr>
          <w:iCs/>
          <w:szCs w:val="24"/>
        </w:rPr>
        <w:t>.</w:t>
      </w:r>
      <w:r w:rsidR="00430130">
        <w:rPr>
          <w:iCs/>
          <w:szCs w:val="24"/>
        </w:rPr>
        <w:t xml:space="preserve"> </w:t>
      </w:r>
      <w:r w:rsidR="00957D5A">
        <w:rPr>
          <w:iCs/>
          <w:szCs w:val="24"/>
        </w:rPr>
        <w:t xml:space="preserve">The initial goal of this was to create a unique depiction of urban density within the AOI. Final inspection of the predicted outputs </w:t>
      </w:r>
      <w:r w:rsidR="006A29BB">
        <w:rPr>
          <w:iCs/>
          <w:szCs w:val="24"/>
        </w:rPr>
        <w:t>reveals</w:t>
      </w:r>
      <w:r w:rsidR="00957D5A">
        <w:rPr>
          <w:iCs/>
          <w:szCs w:val="24"/>
        </w:rPr>
        <w:t xml:space="preserve"> clear transport trends which favor dense urban locations</w:t>
      </w:r>
      <w:r w:rsidR="006A29BB">
        <w:rPr>
          <w:iCs/>
          <w:szCs w:val="24"/>
        </w:rPr>
        <w:t xml:space="preserve">, </w:t>
      </w:r>
      <w:r w:rsidR="00957D5A">
        <w:rPr>
          <w:iCs/>
          <w:szCs w:val="24"/>
        </w:rPr>
        <w:t>little change in elevation</w:t>
      </w:r>
      <w:r w:rsidR="006A29BB">
        <w:rPr>
          <w:iCs/>
          <w:szCs w:val="24"/>
        </w:rPr>
        <w:t>, and large sources of healthy vegetation</w:t>
      </w:r>
      <w:r w:rsidR="00957D5A">
        <w:rPr>
          <w:iCs/>
          <w:szCs w:val="24"/>
        </w:rPr>
        <w:t>.</w:t>
      </w:r>
    </w:p>
    <w:p w14:paraId="187A2BDE" w14:textId="77777777" w:rsidR="00370883" w:rsidRPr="00C94DD2" w:rsidRDefault="006A29BB" w:rsidP="00370883">
      <w:pPr>
        <w:ind w:firstLine="720"/>
        <w:rPr>
          <w:iCs/>
          <w:szCs w:val="24"/>
        </w:rPr>
      </w:pPr>
      <w:r>
        <w:rPr>
          <w:iCs/>
          <w:szCs w:val="24"/>
        </w:rPr>
        <w:t>These interactions can be seen across daily images provided in Maps VIII.3.11-3.161.</w:t>
      </w:r>
      <w:r w:rsidR="00430130">
        <w:rPr>
          <w:iCs/>
          <w:szCs w:val="24"/>
        </w:rPr>
        <w:t xml:space="preserve"> </w:t>
      </w:r>
      <w:r>
        <w:rPr>
          <w:iCs/>
          <w:szCs w:val="24"/>
        </w:rPr>
        <w:t xml:space="preserve">Daily values within the </w:t>
      </w:r>
      <w:r w:rsidR="00430130">
        <w:rPr>
          <w:iCs/>
          <w:szCs w:val="24"/>
        </w:rPr>
        <w:t>time range</w:t>
      </w:r>
      <w:r>
        <w:rPr>
          <w:iCs/>
          <w:szCs w:val="24"/>
        </w:rPr>
        <w:t xml:space="preserve"> often depict </w:t>
      </w:r>
      <w:r w:rsidR="00957D5A">
        <w:rPr>
          <w:iCs/>
          <w:szCs w:val="24"/>
        </w:rPr>
        <w:t xml:space="preserve">extreme changes </w:t>
      </w:r>
      <w:r>
        <w:rPr>
          <w:iCs/>
          <w:szCs w:val="24"/>
        </w:rPr>
        <w:t xml:space="preserve">in </w:t>
      </w:r>
      <w:r w:rsidR="00957D5A" w:rsidRPr="00C94DD2">
        <w:rPr>
          <w:iCs/>
          <w:szCs w:val="24"/>
        </w:rPr>
        <w:t>surface O</w:t>
      </w:r>
      <w:r w:rsidR="00957D5A" w:rsidRPr="00C94DD2">
        <w:rPr>
          <w:iCs/>
          <w:szCs w:val="24"/>
          <w:vertAlign w:val="subscript"/>
        </w:rPr>
        <w:t>3</w:t>
      </w:r>
      <w:r w:rsidR="00957D5A">
        <w:rPr>
          <w:iCs/>
          <w:szCs w:val="24"/>
        </w:rPr>
        <w:t xml:space="preserve"> concentrations across </w:t>
      </w:r>
      <w:r>
        <w:rPr>
          <w:iCs/>
          <w:szCs w:val="24"/>
        </w:rPr>
        <w:t xml:space="preserve">rural areas dedicated to farming, golfing, and tourism like </w:t>
      </w:r>
      <w:r w:rsidR="00F93389">
        <w:rPr>
          <w:iCs/>
          <w:szCs w:val="24"/>
        </w:rPr>
        <w:t>Casa Grande, Rio Verde, and Mount Lemmon</w:t>
      </w:r>
      <w:r w:rsidR="00957D5A">
        <w:rPr>
          <w:iCs/>
          <w:szCs w:val="24"/>
        </w:rPr>
        <w:t xml:space="preserve">. </w:t>
      </w:r>
      <w:r>
        <w:rPr>
          <w:iCs/>
          <w:szCs w:val="24"/>
        </w:rPr>
        <w:t xml:space="preserve">Areas near the basins of the Rincon and Santa Catalina Mountain ranges would </w:t>
      </w:r>
      <w:r w:rsidR="00F93389">
        <w:rPr>
          <w:iCs/>
          <w:szCs w:val="24"/>
        </w:rPr>
        <w:t xml:space="preserve">also </w:t>
      </w:r>
      <w:r>
        <w:rPr>
          <w:iCs/>
          <w:szCs w:val="24"/>
        </w:rPr>
        <w:t>see prolonged aftereffects post ozone production</w:t>
      </w:r>
      <w:r w:rsidR="00F93389">
        <w:rPr>
          <w:iCs/>
          <w:szCs w:val="24"/>
        </w:rPr>
        <w:t>, likely</w:t>
      </w:r>
      <w:r>
        <w:rPr>
          <w:iCs/>
          <w:szCs w:val="24"/>
        </w:rPr>
        <w:t xml:space="preserve"> stemming </w:t>
      </w:r>
      <w:r w:rsidR="00F93389">
        <w:rPr>
          <w:iCs/>
          <w:szCs w:val="24"/>
        </w:rPr>
        <w:t>from nearby developing areas</w:t>
      </w:r>
      <w:r>
        <w:rPr>
          <w:iCs/>
          <w:szCs w:val="24"/>
        </w:rPr>
        <w:t>.</w:t>
      </w:r>
      <w:r w:rsidR="00957D5A">
        <w:rPr>
          <w:iCs/>
          <w:szCs w:val="24"/>
        </w:rPr>
        <w:t xml:space="preserve"> During winter seasons, </w:t>
      </w:r>
      <w:r w:rsidR="00FF3CD2">
        <w:rPr>
          <w:iCs/>
          <w:szCs w:val="24"/>
        </w:rPr>
        <w:t>settling</w:t>
      </w:r>
      <w:r w:rsidR="00F93389">
        <w:rPr>
          <w:iCs/>
          <w:szCs w:val="24"/>
        </w:rPr>
        <w:t xml:space="preserve"> can be seen settling</w:t>
      </w:r>
      <w:r w:rsidR="00FF3CD2">
        <w:rPr>
          <w:iCs/>
          <w:szCs w:val="24"/>
        </w:rPr>
        <w:t xml:space="preserve"> in the suburbs of both Phoenix </w:t>
      </w:r>
      <w:r w:rsidR="00FF3CD2">
        <w:rPr>
          <w:iCs/>
          <w:szCs w:val="24"/>
        </w:rPr>
        <w:lastRenderedPageBreak/>
        <w:t xml:space="preserve">and Tucson post-production. </w:t>
      </w:r>
      <w:r w:rsidR="00F93389">
        <w:rPr>
          <w:iCs/>
          <w:szCs w:val="24"/>
        </w:rPr>
        <w:t xml:space="preserve">While the lower end of concentrations </w:t>
      </w:r>
      <w:proofErr w:type="gramStart"/>
      <w:r w:rsidR="00F93389">
        <w:rPr>
          <w:iCs/>
          <w:szCs w:val="24"/>
        </w:rPr>
        <w:t>are</w:t>
      </w:r>
      <w:proofErr w:type="gramEnd"/>
      <w:r w:rsidR="00F93389">
        <w:rPr>
          <w:iCs/>
          <w:szCs w:val="24"/>
        </w:rPr>
        <w:t xml:space="preserve"> well below</w:t>
      </w:r>
      <w:r w:rsidR="00310C32">
        <w:rPr>
          <w:iCs/>
          <w:szCs w:val="24"/>
        </w:rPr>
        <w:t xml:space="preserve"> the EPA’s</w:t>
      </w:r>
      <w:r w:rsidR="00F93389">
        <w:rPr>
          <w:iCs/>
          <w:szCs w:val="24"/>
        </w:rPr>
        <w:t xml:space="preserve"> 70 ppb </w:t>
      </w:r>
      <w:r w:rsidR="00310C32">
        <w:rPr>
          <w:iCs/>
          <w:szCs w:val="24"/>
        </w:rPr>
        <w:t xml:space="preserve">standard </w:t>
      </w:r>
      <w:r w:rsidR="00F93389">
        <w:rPr>
          <w:iCs/>
          <w:szCs w:val="24"/>
        </w:rPr>
        <w:t>during off-production seasons, these same areas typically see high risk to surface O</w:t>
      </w:r>
      <w:r w:rsidR="00F93389">
        <w:rPr>
          <w:iCs/>
          <w:szCs w:val="24"/>
          <w:vertAlign w:val="subscript"/>
        </w:rPr>
        <w:t>3</w:t>
      </w:r>
      <w:r w:rsidR="00F93389">
        <w:rPr>
          <w:iCs/>
          <w:szCs w:val="24"/>
        </w:rPr>
        <w:t xml:space="preserve"> during summer and spring. This is likely due to CO</w:t>
      </w:r>
      <w:r w:rsidR="00F93389">
        <w:rPr>
          <w:iCs/>
          <w:szCs w:val="24"/>
          <w:vertAlign w:val="subscript"/>
        </w:rPr>
        <w:t>2</w:t>
      </w:r>
      <w:r w:rsidR="00310C32">
        <w:rPr>
          <w:iCs/>
          <w:szCs w:val="24"/>
        </w:rPr>
        <w:t xml:space="preserve"> from healthy vegetation and </w:t>
      </w:r>
      <w:proofErr w:type="spellStart"/>
      <w:r w:rsidR="00310C32">
        <w:rPr>
          <w:iCs/>
          <w:szCs w:val="24"/>
        </w:rPr>
        <w:t>VoCs</w:t>
      </w:r>
      <w:proofErr w:type="spellEnd"/>
      <w:r w:rsidR="00310C32">
        <w:rPr>
          <w:iCs/>
          <w:szCs w:val="24"/>
        </w:rPr>
        <w:t xml:space="preserve"> found near predominantly urban areas.</w:t>
      </w:r>
      <w:r w:rsidR="00C94DD2" w:rsidRPr="00C94DD2">
        <w:rPr>
          <w:iCs/>
          <w:szCs w:val="24"/>
        </w:rPr>
        <w:t xml:space="preserve"> </w:t>
      </w:r>
      <w:r w:rsidR="00310C32">
        <w:rPr>
          <w:iCs/>
          <w:szCs w:val="24"/>
        </w:rPr>
        <w:t xml:space="preserve">Along the boundary of these sources </w:t>
      </w:r>
      <w:r w:rsidR="000E28B7">
        <w:rPr>
          <w:iCs/>
          <w:szCs w:val="24"/>
        </w:rPr>
        <w:t xml:space="preserve">are mainly </w:t>
      </w:r>
      <w:r w:rsidR="00310C32">
        <w:rPr>
          <w:iCs/>
          <w:szCs w:val="24"/>
        </w:rPr>
        <w:t xml:space="preserve">in areas lacking in vegetation due to the natural desert-like environment found across the AOI. </w:t>
      </w:r>
    </w:p>
    <w:p w14:paraId="27D93679" w14:textId="549620AE" w:rsidR="00370883" w:rsidRPr="00370883" w:rsidRDefault="00370883" w:rsidP="00370883">
      <w:pPr>
        <w:contextualSpacing/>
        <w:jc w:val="center"/>
        <w:rPr>
          <w:szCs w:val="24"/>
        </w:rPr>
      </w:pPr>
      <w:r w:rsidRPr="00C94DD2">
        <w:rPr>
          <w:szCs w:val="24"/>
        </w:rPr>
        <w:t>VI.1. Trends Over PHOTUC for Five Months</w:t>
      </w:r>
    </w:p>
    <w:p w14:paraId="01174DEF" w14:textId="2ABFBB1E" w:rsidR="00C94DD2" w:rsidRPr="005B317C" w:rsidRDefault="00310C32" w:rsidP="00370883">
      <w:pPr>
        <w:ind w:firstLine="720"/>
        <w:rPr>
          <w:szCs w:val="24"/>
        </w:rPr>
      </w:pPr>
      <w:r>
        <w:rPr>
          <w:iCs/>
          <w:szCs w:val="24"/>
        </w:rPr>
        <w:t xml:space="preserve">Aside from high altitudes, which see many high concentrations in general, most of these areas are </w:t>
      </w:r>
      <w:r w:rsidRPr="00C94DD2">
        <w:rPr>
          <w:iCs/>
          <w:szCs w:val="24"/>
        </w:rPr>
        <w:t>exposed to ample heat</w:t>
      </w:r>
      <w:r w:rsidR="000E28B7">
        <w:rPr>
          <w:iCs/>
          <w:szCs w:val="24"/>
        </w:rPr>
        <w:t xml:space="preserve">, </w:t>
      </w:r>
      <w:r>
        <w:rPr>
          <w:iCs/>
          <w:szCs w:val="24"/>
        </w:rPr>
        <w:t xml:space="preserve">and result in the larger </w:t>
      </w:r>
      <w:r w:rsidR="000E28B7">
        <w:rPr>
          <w:iCs/>
          <w:szCs w:val="24"/>
        </w:rPr>
        <w:t>RK corrections. While certain urban areas of the AOI remain stable around 40-60ppb,</w:t>
      </w:r>
      <w:r w:rsidR="00C94DD2" w:rsidRPr="00C94DD2">
        <w:rPr>
          <w:iCs/>
          <w:szCs w:val="24"/>
        </w:rPr>
        <w:t xml:space="preserve"> Maps XI.3.6-XI.3.11 </w:t>
      </w:r>
      <w:r w:rsidR="00FF3CD2">
        <w:rPr>
          <w:iCs/>
          <w:szCs w:val="24"/>
        </w:rPr>
        <w:t xml:space="preserve">utilizing XGBRK predictions </w:t>
      </w:r>
      <w:r w:rsidR="00C94DD2" w:rsidRPr="00C94DD2">
        <w:rPr>
          <w:iCs/>
          <w:szCs w:val="24"/>
        </w:rPr>
        <w:t xml:space="preserve">show clear splits </w:t>
      </w:r>
      <w:r w:rsidR="000E28B7">
        <w:rPr>
          <w:iCs/>
          <w:szCs w:val="24"/>
        </w:rPr>
        <w:t xml:space="preserve">in areas exposed to upwards of 80ppb. </w:t>
      </w:r>
      <w:r>
        <w:rPr>
          <w:iCs/>
          <w:szCs w:val="24"/>
        </w:rPr>
        <w:t>S</w:t>
      </w:r>
      <w:r w:rsidR="00260190">
        <w:rPr>
          <w:iCs/>
          <w:szCs w:val="24"/>
        </w:rPr>
        <w:t xml:space="preserve">ome </w:t>
      </w:r>
      <w:r>
        <w:rPr>
          <w:iCs/>
          <w:szCs w:val="24"/>
        </w:rPr>
        <w:t xml:space="preserve">of the more exposed </w:t>
      </w:r>
      <w:r w:rsidR="00260190">
        <w:rPr>
          <w:iCs/>
          <w:szCs w:val="24"/>
        </w:rPr>
        <w:t xml:space="preserve">urban census tracts scattered </w:t>
      </w:r>
      <w:r>
        <w:rPr>
          <w:iCs/>
          <w:szCs w:val="24"/>
        </w:rPr>
        <w:t>throughout</w:t>
      </w:r>
      <w:r w:rsidR="00260190">
        <w:rPr>
          <w:iCs/>
          <w:szCs w:val="24"/>
        </w:rPr>
        <w:t xml:space="preserve"> Phoenix and Tucson </w:t>
      </w:r>
      <w:r w:rsidR="00FB4644">
        <w:rPr>
          <w:iCs/>
          <w:szCs w:val="24"/>
        </w:rPr>
        <w:t>show</w:t>
      </w:r>
      <w:r w:rsidR="00260190">
        <w:rPr>
          <w:iCs/>
          <w:szCs w:val="24"/>
        </w:rPr>
        <w:t xml:space="preserve"> </w:t>
      </w:r>
      <w:r w:rsidR="00FB4644">
        <w:rPr>
          <w:iCs/>
          <w:szCs w:val="24"/>
        </w:rPr>
        <w:t xml:space="preserve">below average income </w:t>
      </w:r>
      <w:r w:rsidR="00260190">
        <w:rPr>
          <w:iCs/>
          <w:szCs w:val="24"/>
        </w:rPr>
        <w:t>and have a higher number of people living in these areas</w:t>
      </w:r>
      <w:r w:rsidR="005B317C">
        <w:rPr>
          <w:iCs/>
          <w:szCs w:val="24"/>
        </w:rPr>
        <w:t>; further showing that research across different AOIs with accurate, high-resolution surface O</w:t>
      </w:r>
      <w:r w:rsidR="005B317C">
        <w:rPr>
          <w:iCs/>
          <w:szCs w:val="24"/>
          <w:vertAlign w:val="subscript"/>
        </w:rPr>
        <w:t>3</w:t>
      </w:r>
      <w:r w:rsidR="005B317C">
        <w:rPr>
          <w:iCs/>
          <w:szCs w:val="24"/>
        </w:rPr>
        <w:t xml:space="preserve"> predictions is necessary</w:t>
      </w:r>
      <w:r w:rsidR="00260190">
        <w:rPr>
          <w:iCs/>
          <w:szCs w:val="24"/>
        </w:rPr>
        <w:t xml:space="preserve"> to identify these communities</w:t>
      </w:r>
      <w:r w:rsidR="00C94DD2" w:rsidRPr="00C94DD2">
        <w:rPr>
          <w:iCs/>
          <w:szCs w:val="24"/>
        </w:rPr>
        <w:t>.</w:t>
      </w:r>
      <w:r w:rsidRPr="00310C32">
        <w:rPr>
          <w:iCs/>
          <w:szCs w:val="24"/>
        </w:rPr>
        <w:t xml:space="preserve"> </w:t>
      </w:r>
    </w:p>
    <w:p w14:paraId="43CA0A98" w14:textId="03FCD05C" w:rsidR="00F70485" w:rsidRDefault="00310C32" w:rsidP="00D50406">
      <w:pPr>
        <w:ind w:firstLine="720"/>
        <w:contextualSpacing/>
        <w:rPr>
          <w:rFonts w:cs="Calibri Light"/>
          <w:iCs/>
          <w:szCs w:val="24"/>
        </w:rPr>
      </w:pPr>
      <w:r>
        <w:rPr>
          <w:iCs/>
          <w:szCs w:val="24"/>
        </w:rPr>
        <w:t>T</w:t>
      </w:r>
      <w:r w:rsidRPr="00C94DD2">
        <w:rPr>
          <w:iCs/>
          <w:szCs w:val="24"/>
        </w:rPr>
        <w:t>he randomly selected days</w:t>
      </w:r>
      <w:r>
        <w:rPr>
          <w:iCs/>
          <w:szCs w:val="24"/>
        </w:rPr>
        <w:t xml:space="preserve"> mainly highlight communities which tend to have higher income, larger mean/median skew and see higher than average surface O</w:t>
      </w:r>
      <w:r>
        <w:rPr>
          <w:iCs/>
          <w:szCs w:val="24"/>
          <w:vertAlign w:val="subscript"/>
        </w:rPr>
        <w:t>3</w:t>
      </w:r>
      <w:r>
        <w:rPr>
          <w:iCs/>
          <w:szCs w:val="24"/>
        </w:rPr>
        <w:t xml:space="preserve"> concentrations.</w:t>
      </w:r>
      <w:r>
        <w:rPr>
          <w:iCs/>
          <w:szCs w:val="24"/>
        </w:rPr>
        <w:t xml:space="preserve"> </w:t>
      </w:r>
      <w:r w:rsidR="00C94DD2" w:rsidRPr="00C94DD2">
        <w:rPr>
          <w:iCs/>
          <w:szCs w:val="24"/>
        </w:rPr>
        <w:t>The overall predicted concentration of O</w:t>
      </w:r>
      <w:r w:rsidR="00C94DD2" w:rsidRPr="00C94DD2">
        <w:rPr>
          <w:iCs/>
          <w:szCs w:val="24"/>
          <w:vertAlign w:val="subscript"/>
        </w:rPr>
        <w:t>3</w:t>
      </w:r>
      <w:r w:rsidR="00C94DD2" w:rsidRPr="00C94DD2">
        <w:rPr>
          <w:iCs/>
          <w:szCs w:val="24"/>
        </w:rPr>
        <w:t xml:space="preserve"> for each county was compared to its average monitor value. It’s worth noting that the distribution of monitors per count was </w:t>
      </w:r>
      <w:r w:rsidR="00D50406">
        <w:rPr>
          <w:iCs/>
          <w:szCs w:val="24"/>
        </w:rPr>
        <w:t>skewed towards Maricopa;</w:t>
      </w:r>
      <w:r w:rsidR="00D50406" w:rsidRPr="00D50406">
        <w:t xml:space="preserve"> </w:t>
      </w:r>
      <w:r w:rsidR="00D50406">
        <w:rPr>
          <w:iCs/>
          <w:szCs w:val="24"/>
        </w:rPr>
        <w:t xml:space="preserve">with it having </w:t>
      </w:r>
      <w:r w:rsidR="00D50406" w:rsidRPr="00D50406">
        <w:rPr>
          <w:iCs/>
          <w:szCs w:val="24"/>
        </w:rPr>
        <w:t>20</w:t>
      </w:r>
      <w:r w:rsidR="00D50406">
        <w:rPr>
          <w:iCs/>
          <w:szCs w:val="24"/>
        </w:rPr>
        <w:t xml:space="preserve"> monitors compared to </w:t>
      </w:r>
      <w:r w:rsidR="00D50406" w:rsidRPr="00D50406">
        <w:rPr>
          <w:iCs/>
          <w:szCs w:val="24"/>
        </w:rPr>
        <w:t>Pima</w:t>
      </w:r>
      <w:r w:rsidR="00D50406">
        <w:rPr>
          <w:iCs/>
          <w:szCs w:val="24"/>
        </w:rPr>
        <w:t xml:space="preserve"> (</w:t>
      </w:r>
      <w:r w:rsidR="00D50406" w:rsidRPr="00D50406">
        <w:rPr>
          <w:iCs/>
          <w:szCs w:val="24"/>
        </w:rPr>
        <w:t>5</w:t>
      </w:r>
      <w:r w:rsidR="00D50406">
        <w:rPr>
          <w:iCs/>
          <w:szCs w:val="24"/>
        </w:rPr>
        <w:t xml:space="preserve">) and </w:t>
      </w:r>
      <w:r w:rsidR="00D50406" w:rsidRPr="00D50406">
        <w:rPr>
          <w:iCs/>
          <w:szCs w:val="24"/>
        </w:rPr>
        <w:t>Pinal</w:t>
      </w:r>
      <w:r w:rsidR="00D50406">
        <w:rPr>
          <w:iCs/>
          <w:szCs w:val="24"/>
        </w:rPr>
        <w:t xml:space="preserve"> (</w:t>
      </w:r>
      <w:r w:rsidR="00D50406" w:rsidRPr="00D50406">
        <w:rPr>
          <w:iCs/>
          <w:szCs w:val="24"/>
        </w:rPr>
        <w:t>3</w:t>
      </w:r>
      <w:r w:rsidR="00D50406">
        <w:rPr>
          <w:iCs/>
          <w:szCs w:val="24"/>
        </w:rPr>
        <w:t>).</w:t>
      </w:r>
      <w:r w:rsidR="00C94DD2" w:rsidRPr="00C94DD2">
        <w:rPr>
          <w:iCs/>
          <w:szCs w:val="24"/>
        </w:rPr>
        <w:t xml:space="preserve"> </w:t>
      </w:r>
      <w:r w:rsidR="009D7A82">
        <w:rPr>
          <w:iCs/>
          <w:szCs w:val="24"/>
        </w:rPr>
        <w:t xml:space="preserve">It’s no surprise </w:t>
      </w:r>
      <w:r w:rsidR="00C94DD2" w:rsidRPr="00C94DD2">
        <w:rPr>
          <w:iCs/>
          <w:szCs w:val="24"/>
        </w:rPr>
        <w:t>the distribution of average concentrations was slightly skewed towards Maricopa</w:t>
      </w:r>
      <w:r w:rsidR="009D7A82">
        <w:rPr>
          <w:iCs/>
          <w:szCs w:val="24"/>
        </w:rPr>
        <w:t>. However</w:t>
      </w:r>
      <w:r w:rsidR="00C94DD2" w:rsidRPr="00C94DD2">
        <w:rPr>
          <w:iCs/>
          <w:szCs w:val="24"/>
        </w:rPr>
        <w:t xml:space="preserve">, </w:t>
      </w:r>
      <w:r w:rsidR="009D7A82">
        <w:rPr>
          <w:iCs/>
          <w:szCs w:val="24"/>
        </w:rPr>
        <w:t xml:space="preserve">both Pheonix and Tucson showed similar trends where </w:t>
      </w:r>
      <w:r w:rsidR="00C94DD2" w:rsidRPr="00C94DD2">
        <w:rPr>
          <w:iCs/>
          <w:szCs w:val="24"/>
        </w:rPr>
        <w:t xml:space="preserve">higher concentrations </w:t>
      </w:r>
      <w:r w:rsidR="009D7A82">
        <w:rPr>
          <w:iCs/>
          <w:szCs w:val="24"/>
        </w:rPr>
        <w:t>were found post increase in either heat or NO</w:t>
      </w:r>
      <w:r w:rsidR="009D7A82">
        <w:rPr>
          <w:iCs/>
          <w:szCs w:val="24"/>
          <w:vertAlign w:val="subscript"/>
        </w:rPr>
        <w:t>2</w:t>
      </w:r>
      <w:r w:rsidR="009D7A82">
        <w:rPr>
          <w:iCs/>
          <w:szCs w:val="24"/>
        </w:rPr>
        <w:t>.</w:t>
      </w:r>
      <w:r w:rsidR="00C94DD2" w:rsidRPr="00C94DD2">
        <w:rPr>
          <w:rFonts w:cs="Calibri Light"/>
          <w:iCs/>
          <w:szCs w:val="24"/>
        </w:rPr>
        <w:t xml:space="preserve"> </w:t>
      </w:r>
    </w:p>
    <w:p w14:paraId="319D02D6" w14:textId="6A8236C4" w:rsidR="00C94DD2" w:rsidRPr="00C94DD2" w:rsidRDefault="00C94DD2" w:rsidP="00C94DD2">
      <w:pPr>
        <w:jc w:val="center"/>
        <w:rPr>
          <w:iCs/>
          <w:szCs w:val="24"/>
        </w:rPr>
      </w:pPr>
      <w:r>
        <w:rPr>
          <w:iCs/>
          <w:szCs w:val="24"/>
        </w:rPr>
        <w:t xml:space="preserve">VI.2. </w:t>
      </w:r>
      <w:r w:rsidRPr="00C94DD2">
        <w:rPr>
          <w:iCs/>
          <w:szCs w:val="24"/>
        </w:rPr>
        <w:t>Maricopa</w:t>
      </w:r>
    </w:p>
    <w:p w14:paraId="6F829D56" w14:textId="5DF3AEDB" w:rsidR="00C94DD2" w:rsidRPr="00C94DD2" w:rsidRDefault="00C94DD2" w:rsidP="00C94DD2">
      <w:pPr>
        <w:ind w:firstLine="720"/>
        <w:rPr>
          <w:iCs/>
          <w:szCs w:val="24"/>
        </w:rPr>
      </w:pPr>
      <w:r w:rsidRPr="00C94DD2">
        <w:rPr>
          <w:iCs/>
          <w:szCs w:val="24"/>
        </w:rPr>
        <w:t>Distributions of surface O</w:t>
      </w:r>
      <w:r w:rsidRPr="00C94DD2">
        <w:rPr>
          <w:iCs/>
          <w:szCs w:val="24"/>
          <w:vertAlign w:val="subscript"/>
        </w:rPr>
        <w:t>3</w:t>
      </w:r>
      <w:r w:rsidRPr="00C94DD2">
        <w:rPr>
          <w:iCs/>
          <w:szCs w:val="24"/>
        </w:rPr>
        <w:t xml:space="preserve"> for Maricopa County were the most spread out with values ranging from 8.78 ppm to 107.09 ppm. This county houses Phoenix, the most populous city in Arizona as per census counts and </w:t>
      </w:r>
      <w:r w:rsidR="00F70485" w:rsidRPr="00C94DD2">
        <w:rPr>
          <w:iCs/>
          <w:szCs w:val="24"/>
        </w:rPr>
        <w:t>the number</w:t>
      </w:r>
      <w:r w:rsidRPr="00C94DD2">
        <w:rPr>
          <w:iCs/>
          <w:szCs w:val="24"/>
        </w:rPr>
        <w:t xml:space="preserve"> of households</w:t>
      </w:r>
      <w:r w:rsidR="00F70485">
        <w:rPr>
          <w:iCs/>
          <w:szCs w:val="24"/>
        </w:rPr>
        <w:t>.</w:t>
      </w:r>
      <w:r w:rsidRPr="00C94DD2">
        <w:rPr>
          <w:iCs/>
          <w:szCs w:val="24"/>
        </w:rPr>
        <w:t xml:space="preserve"> The estimated concentrations ranged from </w:t>
      </w:r>
      <w:r w:rsidR="00F70485">
        <w:rPr>
          <w:iCs/>
          <w:szCs w:val="24"/>
        </w:rPr>
        <w:t>10.11 ± 3.4 ppb to 91.67</w:t>
      </w:r>
      <w:r w:rsidRPr="00C94DD2">
        <w:rPr>
          <w:iCs/>
          <w:szCs w:val="24"/>
        </w:rPr>
        <w:t xml:space="preserve"> </w:t>
      </w:r>
      <w:r w:rsidR="00F70485">
        <w:rPr>
          <w:iCs/>
          <w:szCs w:val="24"/>
        </w:rPr>
        <w:t>± 3.4 ppb</w:t>
      </w:r>
      <w:r w:rsidRPr="00C94DD2">
        <w:rPr>
          <w:iCs/>
          <w:szCs w:val="24"/>
        </w:rPr>
        <w:t>. The distribution of highly populous areas with smaller amounts of occupied homes can be seen closer to Peoria and Glendale west of Phoenix. The coloring scheme shows many green shaded census tracks near the city center, typically surrounded by counties which have little variations in their mean and median income. Noting the surface O</w:t>
      </w:r>
      <w:r w:rsidRPr="00C94DD2">
        <w:rPr>
          <w:iCs/>
          <w:szCs w:val="24"/>
          <w:vertAlign w:val="subscript"/>
        </w:rPr>
        <w:t>3</w:t>
      </w:r>
      <w:r w:rsidRPr="00C94DD2">
        <w:rPr>
          <w:iCs/>
          <w:szCs w:val="24"/>
        </w:rPr>
        <w:t xml:space="preserve"> maps, the urban setting in Maricopa sees the most diversity in concentration distributions. </w:t>
      </w:r>
    </w:p>
    <w:p w14:paraId="580AD5B4" w14:textId="67A3E823" w:rsidR="00FA5886" w:rsidRDefault="00C94DD2" w:rsidP="00FA5886">
      <w:pPr>
        <w:ind w:firstLine="720"/>
        <w:rPr>
          <w:iCs/>
          <w:szCs w:val="24"/>
        </w:rPr>
      </w:pPr>
      <w:r w:rsidRPr="00C94DD2">
        <w:rPr>
          <w:iCs/>
          <w:szCs w:val="24"/>
        </w:rPr>
        <w:t xml:space="preserve">When overlaid with corresponding demographic information, many of the census tracts which have a high population, number of occupied households, and low deviation in their overall mean vs. median income are affected by higher concentrations. In addition, during low concentration months such as January, many of the trends show similar tendencies to weather patterns which tend to wrap around certain communities in the area. These same patterns can be seen during the high concentration months like October as well. The effects of both urban heath island effects and high-quality vegetative areas show the trends mentioned in </w:t>
      </w:r>
      <w:r w:rsidRPr="00C94DD2">
        <w:rPr>
          <w:iCs/>
          <w:szCs w:val="24"/>
        </w:rPr>
        <w:lastRenderedPageBreak/>
        <w:t>Chapter II.3 where in O</w:t>
      </w:r>
      <w:r w:rsidRPr="00C94DD2">
        <w:rPr>
          <w:iCs/>
          <w:szCs w:val="24"/>
          <w:vertAlign w:val="subscript"/>
        </w:rPr>
        <w:t>3</w:t>
      </w:r>
      <w:r w:rsidRPr="00C94DD2">
        <w:rPr>
          <w:iCs/>
          <w:szCs w:val="24"/>
        </w:rPr>
        <w:t xml:space="preserve"> tends to settle in dry, undermaintained areas where the reaction is not stemming from.</w:t>
      </w:r>
    </w:p>
    <w:p w14:paraId="1F6DFD83" w14:textId="6730B659" w:rsidR="00FA5886" w:rsidRDefault="00FA5886" w:rsidP="00FA5886">
      <w:r>
        <w:tab/>
        <w:t xml:space="preserve">Areas to the Northwest of Phoenix had a stronger weight towards population per capita with a lower weight in high occupancy housing population per capita. This suggests that people living in these areas are either more densely populated in occupied houses or potentially homeless. To the East and Southeast, closer towards </w:t>
      </w:r>
      <w:r w:rsidR="00EF7C1A">
        <w:t xml:space="preserve">Tempe and </w:t>
      </w:r>
      <w:r>
        <w:t>Paradise valley, there is less weight towards population per capita, meaning there are less people per occupied household</w:t>
      </w:r>
      <w:r w:rsidR="00EF7C1A">
        <w:t xml:space="preserve">. Many of the areas which have an equal proportion of population per capita and occupied households live in larger counties denoting potential suburbs of Phoenix. Many of these areas have scattered communities which exist as common stopping points across interstate highways and freeways. </w:t>
      </w:r>
    </w:p>
    <w:p w14:paraId="57843C79" w14:textId="4F2625C1" w:rsidR="00EF7C1A" w:rsidRDefault="00EF7C1A" w:rsidP="00EF7C1A">
      <w:r>
        <w:tab/>
        <w:t>Areas closer to the mountains like Scottsdale, Paradise valley, Rio Verde, and Foothills tend to see higher concentrations of surface O</w:t>
      </w:r>
      <w:r>
        <w:rPr>
          <w:vertAlign w:val="subscript"/>
        </w:rPr>
        <w:t>3</w:t>
      </w:r>
      <w:r>
        <w:t xml:space="preserve">, likely due to high sources of albedo and vegetation cycles. Low concentration seasons such as Winter and Spring show heavier levels of </w:t>
      </w:r>
      <w:proofErr w:type="gramStart"/>
      <w:r>
        <w:t>O</w:t>
      </w:r>
      <w:r>
        <w:rPr>
          <w:vertAlign w:val="subscript"/>
        </w:rPr>
        <w:t>3</w:t>
      </w:r>
      <w:proofErr w:type="gramEnd"/>
      <w:r>
        <w:t xml:space="preserve"> likely due to natural cycles and high elevations in these areas. During high concentration seasons, these are slightly lower while exacerbating certain areas of Pheonix. Glendale, Youngtown, and Sun City West, which tend to see a brunt of high concentrations during the summer post-production at high elevations.</w:t>
      </w:r>
    </w:p>
    <w:p w14:paraId="18A197F8" w14:textId="77777777" w:rsidR="00370883" w:rsidRPr="00510165" w:rsidRDefault="00370883" w:rsidP="00370883">
      <w:pPr>
        <w:jc w:val="center"/>
        <w:rPr>
          <w:iCs/>
          <w:szCs w:val="24"/>
        </w:rPr>
      </w:pPr>
      <w:r w:rsidRPr="00510165">
        <w:rPr>
          <w:iCs/>
          <w:szCs w:val="24"/>
        </w:rPr>
        <w:t>VI.4. Pinal</w:t>
      </w:r>
    </w:p>
    <w:p w14:paraId="5D2CBED3" w14:textId="24C208DC" w:rsidR="00370883" w:rsidRPr="00370883" w:rsidRDefault="00370883" w:rsidP="00370883">
      <w:pPr>
        <w:ind w:firstLine="720"/>
      </w:pPr>
      <w:r w:rsidRPr="00370883">
        <w:t xml:space="preserve">Pinal sits in-between Pima and Maricopa with a mean and median income of ……. </w:t>
      </w:r>
      <w:r w:rsidRPr="00510165">
        <w:t xml:space="preserve">Housing part of the Santa Catalina Mountain, many of these communities have equal distribution of population per capita and occupied housing. In terms of income, they have seen linear growth and consistent development. The cities and suburbs of Pima see concentrations of ozone from numerous sources during high production seasons. During low concentration seasons, </w:t>
      </w:r>
      <w:proofErr w:type="gramStart"/>
      <w:r w:rsidRPr="00510165">
        <w:t>surface ozone</w:t>
      </w:r>
      <w:proofErr w:type="gramEnd"/>
      <w:r w:rsidRPr="00510165">
        <w:t xml:space="preserve"> can be seen settling closer towards the Southeast of Maricopa</w:t>
      </w:r>
      <w:r>
        <w:t>.</w:t>
      </w:r>
      <w:r w:rsidRPr="00510165">
        <w:t xml:space="preserve"> Distributions of surface O</w:t>
      </w:r>
      <w:r w:rsidRPr="00510165">
        <w:rPr>
          <w:vertAlign w:val="subscript"/>
        </w:rPr>
        <w:t>3</w:t>
      </w:r>
      <w:r w:rsidRPr="00510165">
        <w:t xml:space="preserve"> for Pima county were the most spread out with values ranging from 8.78 ppm to 107.09 ppm. This county is situated in between the Northeastern part of Pima and Southeastern part of Maricopa. The estimated concentrations ranged from 10.11 ± 3.4 ppb to 91.67 ± 3.4 ppb based on gradient boosted fields. </w:t>
      </w:r>
      <w:r w:rsidRPr="00510165">
        <w:rPr>
          <w:iCs/>
          <w:szCs w:val="24"/>
        </w:rPr>
        <w:t xml:space="preserve">To the North of Tucson and Southeast of Phoenix lies Casa Grande, an old mining town which happens to stand in the middle of Pheonix and Tucson. </w:t>
      </w:r>
      <w:r>
        <w:rPr>
          <w:iCs/>
          <w:szCs w:val="24"/>
        </w:rPr>
        <w:t xml:space="preserve">Confusingly, Maricopa City sits within </w:t>
      </w:r>
      <w:r>
        <w:rPr>
          <w:iCs/>
          <w:szCs w:val="24"/>
        </w:rPr>
        <w:t>Pinal.</w:t>
      </w:r>
      <w:r>
        <w:rPr>
          <w:iCs/>
          <w:szCs w:val="24"/>
        </w:rPr>
        <w:t xml:space="preserve"> </w:t>
      </w:r>
      <w:r>
        <w:rPr>
          <w:iCs/>
          <w:szCs w:val="24"/>
        </w:rPr>
        <w:t xml:space="preserve">This county has many areas dedicated to golf courses and farmland. </w:t>
      </w:r>
    </w:p>
    <w:p w14:paraId="68910FE3" w14:textId="7FDD1D7C" w:rsidR="00C94DD2" w:rsidRPr="00C94DD2" w:rsidRDefault="00C94DD2" w:rsidP="00C94DD2">
      <w:pPr>
        <w:jc w:val="center"/>
        <w:rPr>
          <w:iCs/>
          <w:szCs w:val="24"/>
        </w:rPr>
      </w:pPr>
      <w:r>
        <w:rPr>
          <w:iCs/>
          <w:szCs w:val="24"/>
        </w:rPr>
        <w:t xml:space="preserve">VI.3. </w:t>
      </w:r>
      <w:r w:rsidRPr="00C94DD2">
        <w:rPr>
          <w:iCs/>
          <w:szCs w:val="24"/>
        </w:rPr>
        <w:t>Pima</w:t>
      </w:r>
      <w:commentRangeStart w:id="0"/>
      <w:commentRangeEnd w:id="0"/>
      <w:r w:rsidRPr="00C94DD2">
        <w:rPr>
          <w:rStyle w:val="CommentReference"/>
          <w:rFonts w:eastAsiaTheme="majorEastAsia"/>
          <w:iCs/>
          <w:sz w:val="24"/>
          <w:szCs w:val="24"/>
        </w:rPr>
        <w:commentReference w:id="0"/>
      </w:r>
    </w:p>
    <w:p w14:paraId="201B6936" w14:textId="4D07D7A1" w:rsidR="00C94DD2" w:rsidRDefault="00E960F0" w:rsidP="00C94DD2">
      <w:pPr>
        <w:ind w:firstLine="720"/>
        <w:rPr>
          <w:iCs/>
          <w:szCs w:val="24"/>
        </w:rPr>
      </w:pPr>
      <w:r>
        <w:rPr>
          <w:iCs/>
          <w:szCs w:val="24"/>
        </w:rPr>
        <w:t xml:space="preserve">Pima county is one of the original four counties in </w:t>
      </w:r>
      <w:r w:rsidR="00370883">
        <w:rPr>
          <w:iCs/>
          <w:szCs w:val="24"/>
        </w:rPr>
        <w:t>Arizona and</w:t>
      </w:r>
      <w:r>
        <w:rPr>
          <w:iCs/>
          <w:szCs w:val="24"/>
        </w:rPr>
        <w:t xml:space="preserve"> is the oldest of the three in this thesis. While known mainly for </w:t>
      </w:r>
      <w:r w:rsidR="00370883">
        <w:rPr>
          <w:iCs/>
          <w:szCs w:val="24"/>
        </w:rPr>
        <w:t>the University of Arizona,</w:t>
      </w:r>
      <w:r w:rsidR="00903C6D">
        <w:rPr>
          <w:iCs/>
          <w:szCs w:val="24"/>
        </w:rPr>
        <w:t xml:space="preserve"> </w:t>
      </w:r>
      <w:r w:rsidR="00C94DD2" w:rsidRPr="00C94DD2">
        <w:rPr>
          <w:iCs/>
          <w:szCs w:val="24"/>
        </w:rPr>
        <w:t>Distributions of surface O</w:t>
      </w:r>
      <w:r w:rsidR="00C94DD2" w:rsidRPr="00C94DD2">
        <w:rPr>
          <w:iCs/>
          <w:szCs w:val="24"/>
          <w:vertAlign w:val="subscript"/>
        </w:rPr>
        <w:t>3</w:t>
      </w:r>
      <w:r w:rsidR="00C94DD2" w:rsidRPr="00C94DD2">
        <w:rPr>
          <w:iCs/>
          <w:szCs w:val="24"/>
        </w:rPr>
        <w:t xml:space="preserve"> for Pima county were the most spread out with values ranging from 8.78 ppm to 107.09 ppm. The estimated concentrations ranged from </w:t>
      </w:r>
      <w:r w:rsidR="00FA5886">
        <w:rPr>
          <w:iCs/>
          <w:szCs w:val="24"/>
        </w:rPr>
        <w:t>10.11 ± 3.4 ppb to 91.67</w:t>
      </w:r>
      <w:r w:rsidR="00FA5886" w:rsidRPr="00C94DD2">
        <w:rPr>
          <w:iCs/>
          <w:szCs w:val="24"/>
        </w:rPr>
        <w:t xml:space="preserve"> </w:t>
      </w:r>
      <w:r w:rsidR="00FA5886">
        <w:rPr>
          <w:iCs/>
          <w:szCs w:val="24"/>
        </w:rPr>
        <w:t>± 3.4 ppb</w:t>
      </w:r>
      <w:r w:rsidR="00FA5886" w:rsidRPr="00C94DD2">
        <w:rPr>
          <w:iCs/>
          <w:szCs w:val="24"/>
        </w:rPr>
        <w:t xml:space="preserve"> </w:t>
      </w:r>
      <w:r w:rsidR="00C94DD2" w:rsidRPr="00C94DD2">
        <w:rPr>
          <w:iCs/>
          <w:szCs w:val="24"/>
        </w:rPr>
        <w:t xml:space="preserve">based on gradient boosted fields. </w:t>
      </w:r>
    </w:p>
    <w:p w14:paraId="3BEBD862" w14:textId="77777777" w:rsidR="00370883" w:rsidRDefault="00370883" w:rsidP="00370883">
      <w:pPr>
        <w:ind w:firstLine="720"/>
        <w:rPr>
          <w:iCs/>
          <w:szCs w:val="24"/>
        </w:rPr>
      </w:pPr>
      <w:r w:rsidRPr="00C94DD2">
        <w:rPr>
          <w:iCs/>
          <w:szCs w:val="24"/>
        </w:rPr>
        <w:t xml:space="preserve">When overlaid with corresponding demographic information, many of the census tracts which have a high population, number of occupied households, and low deviation in their overall mean vs. median income are affected by higher </w:t>
      </w:r>
      <w:r w:rsidRPr="00C94DD2">
        <w:rPr>
          <w:iCs/>
          <w:szCs w:val="24"/>
        </w:rPr>
        <w:lastRenderedPageBreak/>
        <w:t xml:space="preserve">concentrations. In addition, during low concentration months such as January, many of the trends show similar tendencies to weather patterns which tend to wrap around certain communities in the area. These same patterns can be seen during the high concentration months like October as well. The effects of both urban heath island effects and high-quality vegetative areas show the trends mentioned in Chapter II.3 where in </w:t>
      </w:r>
      <w:proofErr w:type="gramStart"/>
      <w:r w:rsidRPr="00C94DD2">
        <w:rPr>
          <w:iCs/>
          <w:szCs w:val="24"/>
        </w:rPr>
        <w:t>O</w:t>
      </w:r>
      <w:r w:rsidRPr="00C94DD2">
        <w:rPr>
          <w:iCs/>
          <w:szCs w:val="24"/>
          <w:vertAlign w:val="subscript"/>
        </w:rPr>
        <w:t>3</w:t>
      </w:r>
      <w:proofErr w:type="gramEnd"/>
      <w:r w:rsidRPr="00C94DD2">
        <w:rPr>
          <w:iCs/>
          <w:szCs w:val="24"/>
        </w:rPr>
        <w:t xml:space="preserve"> </w:t>
      </w:r>
      <w:proofErr w:type="gramStart"/>
      <w:r w:rsidRPr="00C94DD2">
        <w:rPr>
          <w:iCs/>
          <w:szCs w:val="24"/>
        </w:rPr>
        <w:t>tends</w:t>
      </w:r>
      <w:proofErr w:type="gramEnd"/>
      <w:r w:rsidRPr="00C94DD2">
        <w:rPr>
          <w:iCs/>
          <w:szCs w:val="24"/>
        </w:rPr>
        <w:t xml:space="preserve"> to settle in dry, undermaintained areas where the reaction is not stemming from.</w:t>
      </w:r>
    </w:p>
    <w:p w14:paraId="61D90E7A" w14:textId="77777777" w:rsidR="00370883" w:rsidRDefault="00370883" w:rsidP="00370883">
      <w:r>
        <w:tab/>
        <w:t xml:space="preserve">Areas to the Northwest of Phoenix had a stronger weight towards population per capita with a lower weight in high occupancy housing population per capita. This suggests that people living in these areas are either more densely populated in occupied houses or potentially homeless. To the East and Southeast, closer towards Tempe and Paradise valley, there is less weight towards population per capita, meaning there are less people per occupied household. Many of the areas which have an equal proportion of population per capita and occupied households live in larger counties denoting potential suburbs of Phoenix. Many of these areas have scattered communities which exist as common stopping points across interstate highways and freeways. </w:t>
      </w:r>
    </w:p>
    <w:p w14:paraId="7C860146" w14:textId="6CDFB174" w:rsidR="00370883" w:rsidRPr="00370883" w:rsidRDefault="00370883" w:rsidP="00370883">
      <w:pPr>
        <w:ind w:firstLine="720"/>
      </w:pPr>
      <w:r w:rsidRPr="00370883">
        <w:t>Areas closer to the mountains like Scottsdale, Paradise valley, Rio Verde, and Foothills tend to see higher concentrations of surface O</w:t>
      </w:r>
      <w:r w:rsidRPr="00370883">
        <w:rPr>
          <w:vertAlign w:val="subscript"/>
        </w:rPr>
        <w:t>3</w:t>
      </w:r>
      <w:r w:rsidRPr="00370883">
        <w:t xml:space="preserve">, likely due to high sources of albedo and vegetation cycles. Low concentration seasons such as Winter and Spring show heavier levels of </w:t>
      </w:r>
      <w:proofErr w:type="gramStart"/>
      <w:r w:rsidRPr="00370883">
        <w:t>O</w:t>
      </w:r>
      <w:r w:rsidRPr="00370883">
        <w:rPr>
          <w:vertAlign w:val="subscript"/>
        </w:rPr>
        <w:t>3</w:t>
      </w:r>
      <w:proofErr w:type="gramEnd"/>
      <w:r w:rsidRPr="00370883">
        <w:t xml:space="preserve"> likely due to natural cycles and high elevations in these areas. During high concentration seasons, these are slightly lower while exacerbating certain areas of Pheonix. Glendale, Youngtown, and Sun City West, which tend to see a brunt of high concentrations during the summer post-production at high elevations.</w:t>
      </w:r>
      <w:r w:rsidRPr="00370883">
        <w:rPr>
          <w:szCs w:val="24"/>
        </w:rPr>
        <w:t xml:space="preserve"> </w:t>
      </w:r>
      <w:r>
        <w:rPr>
          <w:szCs w:val="24"/>
        </w:rPr>
        <w:t xml:space="preserve">The University of Arizona is within Tucson, along with the four major elevation spikes in </w:t>
      </w:r>
      <w:proofErr w:type="gramStart"/>
      <w:r>
        <w:rPr>
          <w:szCs w:val="24"/>
        </w:rPr>
        <w:t>the AOI</w:t>
      </w:r>
      <w:proofErr w:type="gramEnd"/>
      <w:r>
        <w:rPr>
          <w:szCs w:val="24"/>
        </w:rPr>
        <w:t xml:space="preserve">. Many of the higher concentrations of ozone at and above the mean of 58.64 </w:t>
      </w:r>
      <w:r w:rsidRPr="00510165">
        <w:rPr>
          <w:szCs w:val="24"/>
        </w:rPr>
        <w:t>± 3.4 ppb</w:t>
      </w:r>
      <w:r>
        <w:rPr>
          <w:szCs w:val="24"/>
        </w:rPr>
        <w:t xml:space="preserve"> can be seen near Superior and Casa Blanca.</w:t>
      </w:r>
    </w:p>
    <w:p w14:paraId="794AA56D" w14:textId="6E35A942" w:rsidR="009D7A82" w:rsidRPr="00C94DD2" w:rsidRDefault="009D7A82" w:rsidP="009D7A82">
      <w:pPr>
        <w:jc w:val="center"/>
        <w:rPr>
          <w:iCs/>
          <w:szCs w:val="24"/>
        </w:rPr>
      </w:pPr>
      <w:r>
        <w:rPr>
          <w:iCs/>
          <w:szCs w:val="24"/>
        </w:rPr>
        <w:t>VI.</w:t>
      </w:r>
      <w:r w:rsidR="00310C32">
        <w:rPr>
          <w:iCs/>
          <w:szCs w:val="24"/>
        </w:rPr>
        <w:t>5</w:t>
      </w:r>
      <w:r>
        <w:rPr>
          <w:iCs/>
          <w:szCs w:val="24"/>
        </w:rPr>
        <w:t xml:space="preserve">. </w:t>
      </w:r>
      <w:r w:rsidRPr="00C94DD2">
        <w:rPr>
          <w:iCs/>
          <w:szCs w:val="24"/>
        </w:rPr>
        <w:t>Final Exposure Concerns and Mean Aoi Trends</w:t>
      </w:r>
    </w:p>
    <w:p w14:paraId="3FB940BB" w14:textId="77777777" w:rsidR="009D7A82" w:rsidRDefault="009D7A82" w:rsidP="009D7A82">
      <w:pPr>
        <w:ind w:firstLine="720"/>
        <w:contextualSpacing/>
        <w:rPr>
          <w:i/>
          <w:iCs/>
          <w:szCs w:val="24"/>
        </w:rPr>
      </w:pPr>
      <w:r w:rsidRPr="00C94DD2">
        <w:rPr>
          <w:iCs/>
          <w:szCs w:val="24"/>
        </w:rPr>
        <w:t>Health outcomes related to short- and long-term surface ozone have been investigated to find worrying evidence that supports O</w:t>
      </w:r>
      <w:r w:rsidRPr="00C94DD2">
        <w:rPr>
          <w:iCs/>
          <w:szCs w:val="24"/>
          <w:vertAlign w:val="subscript"/>
        </w:rPr>
        <w:t>3</w:t>
      </w:r>
      <w:r w:rsidRPr="00C94DD2">
        <w:rPr>
          <w:iCs/>
          <w:szCs w:val="24"/>
        </w:rPr>
        <w:t xml:space="preserve"> tends to disproportionally affect vulnerable populations based on surrounding environments. </w:t>
      </w:r>
      <w:r w:rsidRPr="00C94DD2">
        <w:rPr>
          <w:iCs/>
          <w:szCs w:val="24"/>
        </w:rPr>
        <w:fldChar w:fldCharType="begin"/>
      </w:r>
      <w:r>
        <w:rPr>
          <w:iCs/>
          <w:szCs w:val="24"/>
        </w:rPr>
        <w:instrText xml:space="preserve"> ADDIN ZOTERO_ITEM CSL_CITATION {"citationID":"3mUnGthD","properties":{"unsorted":true,"formattedCitation":"(Bell, Zanobetti, and Dominici 2014; Turner et al. 2016a; Malley et al. 2017b; Tessum et al. 2021; Hsu et al. 2021; Ermagun, Smith, and Janatabadi 2024)","plainCitation":"(Bell, Zanobetti, and Dominici 2014; Turner et al. 2016a; Malley et al. 2017b; Tessum et al. 2021; Hsu et al. 2021; Ermagun, Smith, and Janatabadi 2024)","noteIndex":0},"citationItems":[{"id":"3Xqpn9z9/1IsCjeso","uris":["http://zotero.org/users/15391371/items/37Y5AKJX"],"itemData":{"id":244,"type":"article-journal","abstract":"Ozone is associated with adverse health; however, less is known about vulnerable/sensitive populations, which we refer to as sensitive populations. We systematically reviewed epidemiologic evidence (1988–2013) regarding sensitivity to mortality or hospital admission from short-term ozone exposure. We performed meta-analysis for overall associations by age and sex; assessed publication bias; and qualitatively assessed sensitivity to socioeconomic indicators, race/ethnicity, and air conditioning. The search identified 2,091 unique papers, with 167 meeting inclusion criteria (73 on mortality and 96 on hospitalizations and emergency department visits, including 2 examining both mortality and hospitalizations). The strongest evidence for ozone sensitivity was for age. Per 10-parts per billion increase in daily 8-hour ozone concentration, mortality risk for younger persons, at 0.60% (95% confidence interval (CI): 0.40, 0.80), was statistically lower than that for older persons, at 1.27% (95% CI: 0.76, 1.78). Findings adjusted for publication bias were similar. Limited/suggestive evidence was found for higher associations among women; mortality risks were 0.39% (95% CI: −0.22, 1.00) higher than those for men. We identified strong evidence for higher associations with unemployment or lower occupational status and weak evidence of sensitivity for racial/ethnic minorities and persons with low education, in poverty, or without central air conditioning. Findings show that some populations, especially the elderly, are particularly sensitive to short-term ozone exposure.","container-title":"American Journal of Epidemiology","DOI":"10.1093/aje/kwu115","ISSN":"0002-9262","issue":"1","journalAbbreviation":"American Journal of Epidemiology","page":"15-28","source":"Silverchair","title":"Who is More Affected by Ozone Pollution? A Systematic Review and Meta-Analysis","title-short":"Who is More Affected by Ozone Pollution?","volume":"180","author":[{"family":"Bell","given":"Michelle L."},{"family":"Zanobetti","given":"Antonella"},{"family":"Dominici","given":"Francesca"}],"issued":{"date-parts":[["2014",7,1]]}}},{"id":"3Xqpn9z9/nMhaKmTl","uris":["http://zotero.org/users/15391371/items/LA7YJ353"],"itemData":{"id":77,"type":"article-journal","abstract":"Rationale: Tropospheric ozone (O3) is potentially associated with cardiovascular disease risk and premature death. Results from long-term epidemiological studies on O3 are scarce and inconclusive. Objectives: In this study, we examined associations between chronic ambient O3 exposure and all-cause and cause-specific mortality in a large cohort of U.S. adults. Methods: Cancer Prevention Study II participants were enrolled in 1982. A total of 669,046 participants were analyzed, among whom 237,201 deaths occurred through 2004. We obtained estimates of O3 concentrations at the participant’s residence from a hierarchical Bayesian space–time model. Estimates of fine particulate matter (particulate matter with an aerodynamic diameter of up to 2.5 μm [PM2.5]) and NO2 concentrations were obtained from land use regression. Cox proportional hazards regression models were used to examine mortality associations adjusted for individual- and ecological-level covariates. Measurements and Main Results: In single-pollutant models, we observed significant positive associations between O3, PM2.5, and NO2 concentrations and all-cause and cause-specific mortality. In two-pollutant models adjusted for PM2.5, significant positive associations remained between O3 and all-cause (hazard ratio [HR] per 10 ppb, 1.02; 95% confidence interval [CI], 1.01–1.04), circulatory (HR, 1.03; 95% CI, 1.01–1.05), and respiratory mortality (HR, 1.12; 95% CI, 1.08–1.16) that were unchanged with further adjustment for NO2. We also observed positive mortality associations with both PM2.5 (both near source and regional) and NO2 in multipollutant models. Conclusions: Findings derived from this large-scale prospective study suggest that long-term ambient O3 contributes to risk of respiratory and circulatory mortality. Substantial health and environmental benefits may be achieved by implementing further measures aimed at controlling O3 concentrations.","container-title":"American Journal of Respiratory and Critical Care Medicine","DOI":"10.1164/rccm.201508-1633OC","ISSN":"1073-449X","issue":"10","journalAbbreviation":"Am J Respir Crit Care Med","note":"publisher: American Thoracic Society - AJRCCM","page":"1134-1142","source":"atsjournals.org (Atypon)","title":"Long-Term Ozone Exposure and Mortality in a Large Prospective Study","volume":"193","author":[{"family":"Turner","given":"Michelle C."},{"family":"Jerrett","given":"Michael"},{"family":"Pope","given":"C. Arden"},{"family":"Krewski","given":"Daniel"},{"family":"Gapstur","given":"Susan M."},{"family":"Diver","given":"W. Ryan"},{"family":"Beckerman","given":"Bernardo S."},{"family":"Marshall","given":"Julian D."},{"family":"Su","given":"Jason"},{"family":"Crouse","given":"Daniel L."},{"family":"Burnett","given":"Richard T."}],"issued":{"date-parts":[["2016",5,15]]}}},{"id":"3Xqpn9z9/6C7lkCIf","uris":["http://zotero.org/users/15391371/items/VYNDMUZ8"],"itemData":{"id":499,"type":"article-journal","container-title":"Environmental Health Perspectives","DOI":"10.1289/EHP1390","ISSN":"0091-6765, 1552-9924","issue":"8","journalAbbreviation":"Environ Health Perspect","language":"en","page":"087021","source":"DOI.org (Crossref)","title":"Updated Global Estimates of Respiratory Mortality in Adults ≥30Years of Age Attributable to Long-Term Ozone Exposure","volume":"125","author":[{"family":"Malley","given":"Christopher S."},{"family":"Henze","given":"Daven K."},{"family":"Kuylenstierna","given":"Johan C.I."},{"family":"Vallack","given":"Harry W."},{"family":"Davila","given":"Yanko"},{"family":"Anenberg","given":"Susan C."},{"family":"Turner","given":"Michelle C."},{"family":"Ashmore","given":"Mike R."}],"issued":{"date-parts":[["2017",8,16]]}}},{"id":"3Xqpn9z9/weZfR1l7","uris":["http://zotero.org/users/15391371/items/W3DTM6WE"],"itemData":{"id":448,"type":"article-journal","abstract":"Nearly all major emission categories contribute to the systemic PM\n              2.5\n              exposure disparity experienced by people of color.\n            \n          , \n            \n              Racial-ethnic minorities in the United States are exposed to disproportionately high levels of ambient fine particulate air pollution (PM\n              2.5\n              ), the largest environmental cause of human mortality. However, it is unknown which emission sources drive this disparity and whether differences exist by emission sector, geography, or demographics. Quantifying the PM\n              2.5\n              exposure caused by each emitter type, we show that nearly all major emission categories—consistently across states, urban and rural areas, income levels, and exposure levels—contribute to the systemic PM\n              2.5\n              exposure disparity experienced by people of color. We identify the most inequitable emission source types by state and city, thereby highlighting potential opportunities for addressing this persistent environmental inequity.","container-title":"Science Advances","DOI":"10.1126/sciadv.abf4491","ISSN":"2375-2548","issue":"18","journalAbbreviation":"Sci. Adv.","language":"en","license":"https://creativecommons.org/licenses/by/4.0/","page":"eabf4491","source":"DOI.org (Crossref)","title":"PM2.5 polluters disproportionately and systemically affect people of color in the United States","volume":"7","author":[{"family":"Tessum","given":"Christopher W."},{"family":"Paolella","given":"David A."},{"family":"Chambliss","given":"Sarah E."},{"family":"Apte","given":"Joshua S."},{"family":"Hill","given":"Jason D."},{"family":"Marshall","given":"Julian D."}],"issued":{"date-parts":[["2021",4,30]]}}},{"id":"3Xqpn9z9/R87ARpni","uris":["http://zotero.org/users/15391371/items/KM7CJ5L9"],"itemData":{"id":449,"type":"article-journal","abstract":"Abstract\n            Urban heat stress poses a major risk to public health. Case studies of individual cities suggest that heat exposure, like other environmental stressors, may be unequally distributed across income groups. There is little evidence, however, as to whether such disparities are pervasive. We combine surface urban heat island (SUHI) data, a proxy for isolating the urban contribution to additional heat exposure in built environments, with census tract-level demographic data to answer these questions for summer days, when heat exposure is likely to be at a maximum. We find that the average person of color lives in a census tract with higher SUHI intensity than non-Hispanic whites in all but 6 of the 175 largest urbanized areas in the continental United States. A similar pattern emerges for people living in households below the poverty line relative to those at more than two times the poverty line.","container-title":"Nature Communications","DOI":"10.1038/s41467-021-22799-5","ISSN":"2041-1723","issue":"1","journalAbbreviation":"Nat Commun","language":"en","page":"2721","source":"DOI.org (Crossref)","title":"Disproportionate exposure to urban heat island intensity across major US cities","volume":"12","author":[{"family":"Hsu","given":"Angel"},{"family":"Sheriff","given":"Glenn"},{"family":"Chakraborty","given":"Tirthankar"},{"family":"Manya","given":"Diego"}],"issued":{"date-parts":[["2021",5,25]]}}},{"id":"3Xqpn9z9/IC1IBgb9","uris":["http://zotero.org/users/15391371/items/HAUPK8JB"],"itemData":{"id":2142,"type":"article-journal","abstract":"Vulnerable communities are disproportionately placed in low-lying, flood-prone neighborhoods, with deficient infrastructure and limited access to shelter. Here we present a methodology to study the risk of urban floods in tandem with access to shelter to reduce the risk of flooding to communities and prevent a natural hazard from turning into a human disaster. We integrate access to national emergency shelters into a national risk index for riverine floods in eight U.S. cities at the block group level using clustering techniques. The results show shelters are more accessible for inner-city residents regardless of the risk level, and communities with high risk of flood and low access to shelter are disproportionately home to the underserved populations of Asians and the elderly. The outcomes delineate the disparity in equity related to urban floods and support plans and policy needs by identifying and prioritizing areas to improve emergency responses and resource allocations.The disparity in access to shelter undermines the resilience of the urban population in the USA to flood risks and highlights the need for shelter planning to ensure effective disaster response, according to an analysis combining measures of flood risk and access to shelter","archive_location":"WOS:001138116900003","container-title":"COMMUNICATIONS EARTH &amp; ENVIRONMENT","DOI":"10.1038/s43247-023-01165-x","ISSN":"2662-4435","issue":"1","title":"High urban flood risk and no shelter access disproportionally impacts vulnerable communities in the USA","volume":"5","author":[{"family":"Ermagun","given":"Alireza"},{"family":"Smith","given":"Virginia"},{"family":"Janatabadi","given":"Fatemeh"}],"accessed":{"date-parts":[["2024",2,6]]},"issued":{"date-parts":[["2024",1,2]]}}}],"schema":"https://github.com/citation-style-language/schema/raw/master/csl-citation.json"} </w:instrText>
      </w:r>
      <w:r w:rsidRPr="00C94DD2">
        <w:rPr>
          <w:iCs/>
          <w:szCs w:val="24"/>
        </w:rPr>
        <w:fldChar w:fldCharType="separate"/>
      </w:r>
      <w:r w:rsidRPr="00C94DD2">
        <w:t>(Bell, Zanobetti, and Dominici 2014; Turner et al. 2016a; Malley et al. 2017b; Tessum et al. 2021; Hsu et al. 2021; Ermagun, Smith, and Janatabadi 2024)</w:t>
      </w:r>
      <w:r w:rsidRPr="00C94DD2">
        <w:rPr>
          <w:iCs/>
          <w:szCs w:val="24"/>
        </w:rPr>
        <w:fldChar w:fldCharType="end"/>
      </w:r>
      <w:r w:rsidRPr="00C94DD2">
        <w:rPr>
          <w:iCs/>
          <w:szCs w:val="24"/>
        </w:rPr>
        <w:t>. Outcomes such as chronic obstructive pulmonary disease (COPD), elderly cognitive impairment, pro-thrombosis, pediatric asthma, and general inflammation are suspected to stem from exacerbated long-term exposure to surface O</w:t>
      </w:r>
      <w:r w:rsidRPr="00C94DD2">
        <w:rPr>
          <w:iCs/>
          <w:szCs w:val="24"/>
          <w:vertAlign w:val="subscript"/>
        </w:rPr>
        <w:t>3</w:t>
      </w:r>
      <w:r w:rsidRPr="00C94DD2">
        <w:rPr>
          <w:iCs/>
          <w:szCs w:val="24"/>
        </w:rPr>
        <w:t xml:space="preserve"> reactions </w:t>
      </w:r>
      <w:r w:rsidRPr="00C94DD2">
        <w:rPr>
          <w:iCs/>
          <w:szCs w:val="24"/>
        </w:rPr>
        <w:fldChar w:fldCharType="begin"/>
      </w:r>
      <w:r>
        <w:rPr>
          <w:iCs/>
          <w:szCs w:val="24"/>
        </w:rPr>
        <w:instrText xml:space="preserve"> ADDIN ZOTERO_ITEM CSL_CITATION {"citationID":"eQFxq55U","properties":{"formattedCitation":"(Balmes 2019; Gao et al. 2022; Niu et al. 2022)","plainCitation":"(Balmes 2019; Gao et al. 2022; Niu et al. 2022)","noteIndex":0},"citationItems":[{"id":"3Xqpn9z9/w5hbemPv","uris":["http://zotero.org/users/15391371/items/FA2QX2UL"],"itemData":{"id":245,"type":"article-journal","container-title":"American Journal of Respiratory and Critical Care Medicine","DOI":"10.1164/rccm.201906-1105ED","ISSN":"1073-449X","issue":"8","journalAbbreviation":"Am J Respir Crit Care Med","note":"publisher: American Thoracic Society - AJRCCM","page":"958-959","source":"atsjournals.org (Atypon)","title":"Long-Term Exposure to Ozone and Cardiopulmonary Mortality: Epidemiology Strikes Again","title-short":"Long-Term Exposure to Ozone and Cardiopulmonary Mortality","volume":"200","author":[{"family":"Balmes","given":"John R."}],"issued":{"date-parts":[["2019",10,15]]}}},{"id":"3Xqpn9z9/dgZaAYZf","uris":["http://zotero.org/users/15391371/items/F6KZ7NGS"],"itemData":{"id":243,"type":"article-journal","container-title":"Environment International","DOI":"10.1016/j.envint.2021.107072","ISSN":"01604120","journalAbbreviation":"Environment International","language":"en","page":"107072","source":"DOI.org (Crossref)","title":"Long-term ozone exposure and cognitive impairment among Chinese older adults: A cohort study","title-short":"Long-term ozone exposure and cognitive impairment among Chinese older adults","volume":"160","author":[{"family":"Gao","given":"Qi"},{"family":"Zang","given":"Emma"},{"family":"Bi","given":"Jun"},{"family":"Dubrow","given":"Robert"},{"family":"Lowe","given":"Sarah R."},{"family":"Chen","given":"Huashuai"},{"family":"Zeng","given":"Yi"},{"family":"Shi","given":"Liuhua"},{"family":"Chen","given":"Kai"}],"issued":{"date-parts":[["2022",2]]}}},{"id":"3Xqpn9z9/4Hc14uqd","uris":["http://zotero.org/users/local/1dcb6zr2/items/PSQ8A3Y4","http://zotero.org/users/15391371/items/PSQ8A3Y4"],"itemData":{"id":293,"type":"article-journal","container-title":"Journal of Hazardous Materials","DOI":"10.1016/j.jhazmat.2022.128322","ISSN":"03043894","journalAbbreviation":"Journal of Hazardous Materials","language":"en","page":"128322","source":"DOI.org (Crossref)","title":"Ozone exposure and prothrombosis: Mechanistic insights from a randomized controlled exposure trial","title-short":"Ozone exposure and prothrombosis","volume":"429","author":[{"family":"Niu","given":"Yue"},{"family":"Li","given":"Huichu"},{"family":"Wang","given":"Weidong"},{"family":"Wang","given":"Cuiping"},{"family":"Liu","given":"Cong"},{"family":"Du","given":"Xihao"},{"family":"Zhang","given":"Qingli"},{"family":"Li","given":"Jingguang"},{"family":"Shi","given":"Su"},{"family":"Meng","given":"Xia"},{"family":"Chen","given":"Renjie"},{"family":"Kan","given":"Haidong"}],"issued":{"date-parts":[["2022",5]]}}}],"schema":"https://github.com/citation-style-language/schema/raw/master/csl-citation.json"} </w:instrText>
      </w:r>
      <w:r w:rsidRPr="00C94DD2">
        <w:rPr>
          <w:iCs/>
          <w:szCs w:val="24"/>
        </w:rPr>
        <w:fldChar w:fldCharType="separate"/>
      </w:r>
      <w:r w:rsidRPr="00C94DD2">
        <w:t>(Balmes 2019; Gao et al. 2022; Niu et al. 2022)</w:t>
      </w:r>
      <w:r w:rsidRPr="00C94DD2">
        <w:rPr>
          <w:iCs/>
          <w:szCs w:val="24"/>
        </w:rPr>
        <w:fldChar w:fldCharType="end"/>
      </w:r>
      <w:r w:rsidRPr="00C94DD2">
        <w:rPr>
          <w:iCs/>
          <w:szCs w:val="24"/>
        </w:rPr>
        <w:t xml:space="preserve">. In short-term ozone studies, pre-teen and post-retirement age groups are more at risk while young, healthy populations varying results due to interactions with oxidative systems in the body. </w:t>
      </w:r>
      <w:r w:rsidRPr="00C94DD2">
        <w:rPr>
          <w:iCs/>
          <w:szCs w:val="24"/>
        </w:rPr>
        <w:fldChar w:fldCharType="begin"/>
      </w:r>
      <w:r>
        <w:rPr>
          <w:iCs/>
          <w:szCs w:val="24"/>
        </w:rPr>
        <w:instrText xml:space="preserve"> ADDIN ZOTERO_ITEM CSL_CITATION {"citationID":"cQ6JHCw9","properties":{"formattedCitation":"(Barath et al. 2013; C. Chen et al. 2023, 2023; D\\uc0\\u237{}az et al. 2018; Goodman et al. 2018; Raza et al. 2018; Roth, Hwang, and Li 2008)","plainCitation":"(Barath et al. 2013; C. Chen et al. 2023, 2023; Díaz et al. 2018; Goodman et al. 2018; Raza et al. 2018; Roth, Hwang, and Li 2008)","noteIndex":0},"citationItems":[{"id":"3Xqpn9z9/VTITT4rs","uris":["http://zotero.org/users/15391371/items/N3WMB95X"],"itemData":{"id":503,"type":"article-journal","container-title":"Toxicological Sciences","DOI":"10.1093/toxsci/kft157","ISSN":"1096-6080, 1096-0929","issue":"2","language":"en","page":"292-299","source":"DOI.org (Crossref)","title":"Short-Term Exposure to Ozone Does Not Impair Vascular Function or Affect Heart Rate Variability in Healthy Young Men","volume":"135","author":[{"family":"Barath","given":"Stefan"},{"family":"Langrish","given":"Jeremy P."},{"family":"Lundbäck","given":"Magnus"},{"family":"Bosson","given":"Jenny A."},{"family":"Goudie","given":"Colin"},{"family":"Newby","given":"David E."},{"family":"Sandström","given":"Thomas"},{"family":"Mills","given":"Nicholas L."},{"family":"Blomberg","given":"Anders"}],"issued":{"date-parts":[["2013",10]]}}},{"id":"3Xqpn9z9/5LF4bNl5","uris":["http://zotero.org/users/15391371/items/IAPL9BDZ"],"itemData":{"id":502,"type":"article-journal","container-title":"Environment International","DOI":"10.1016/j.envint.2022.107666","ISSN":"01604120","journalAbbreviation":"Environment International","language":"en","page":"107666","source":"DOI.org (Crossref)","title":"Short-term exposure to ozone and cause-specific mortality risks and thresholds in China: Evidence from nationally representative data, 2013-2018","title-short":"Short-term exposure to ozone and cause-specific mortality risks and thresholds in China","volume":"171","author":[{"family":"Chen","given":"Chen"},{"family":"Li","given":"Tiantian"},{"family":"Sun","given":"Qinghua"},{"family":"Shi","given":"Wanying"},{"family":"He","given":"Mike Z."},{"family":"Wang","given":"Jiaonan"},{"family":"Liu","given":"Jing"},{"family":"Zhang","given":"Mengxue"},{"family":"Jiang","given":"Qizheng"},{"family":"Wang","given":"Menghan"},{"family":"Shi","given":"Xiaoming"}],"issued":{"date-parts":[["2023",1]]}}},{"id":"3Xqpn9z9/5LF4bNl5","uris":["http://zotero.org/users/15391371/items/IAPL9BDZ"],"itemData":{"id":502,"type":"article-journal","container-title":"Environment International","DOI":"10.1016/j.envint.2022.107666","ISSN":"01604120","journalAbbreviation":"Environment International","language":"en","page":"107666","source":"DOI.org (Crossref)","title":"Short-term exposure to ozone and cause-specific mortality risks and thresholds in China: Evidence from nationally representative data, 2013-2018","title-short":"Short-term exposure to ozone and cause-specific mortality risks and thresholds in China","volume":"171","author":[{"family":"Chen","given":"Chen"},{"family":"Li","given":"Tiantian"},{"family":"Sun","given":"Qinghua"},{"family":"Shi","given":"Wanying"},{"family":"He","given":"Mike Z."},{"family":"Wang","given":"Jiaonan"},{"family":"Liu","given":"Jing"},{"family":"Zhang","given":"Mengxue"},{"family":"Jiang","given":"Qizheng"},{"family":"Wang","given":"Menghan"},{"family":"Shi","given":"Xiaoming"}],"issued":{"date-parts":[["2023",1]]}}},{"id":"3Xqpn9z9/zKIkNn6P","uris":["http://zotero.org/users/15391371/items/F2AUQ8AL"],"itemData":{"id":633,"type":"article-journal","container-title":"Atmospheric Environment","DOI":"10.1016/j.atmosenv.2018.05.059","ISSN":"13522310","journalAbbreviation":"Atmospheric Environment","language":"en","page":"107-116","source":"DOI.org (Crossref)","title":"Short-term effect of tropospheric ozone on daily mortality in Spain","volume":"187","author":[{"family":"Díaz","given":"Julio"},{"family":"Ortiz","given":"Cristina"},{"family":"Falcón","given":"Isabel"},{"family":"Salvador","given":"Coral"},{"family":"Linares","given":"Cristina"}],"issued":{"date-parts":[["2018",8]]}}},{"id":"3Xqpn9z9/3FZWFgF9","uris":["http://zotero.org/users/15391371/items/YPMSZJ2A"],"itemData":{"id":500,"type":"article-journal","container-title":"Environmental Research","DOI":"10.1016/j.envres.2017.10.018","ISSN":"00139351","journalAbbreviation":"Environmental Research","language":"en","page":"391-397","source":"DOI.org (Crossref)","title":"Short-term ozone exposure and asthma severity: Weight-of-evidence analysis","title-short":"Short-term ozone exposure and asthma severity","volume":"160","author":[{"family":"Goodman","given":"Julie E."},{"family":"Zu","given":"Ke"},{"family":"Loftus","given":"Christine T."},{"family":"Lynch","given":"Heather N."},{"family":"Prueitt","given":"Robyn L."},{"family":"Mohar","given":"Isaac"},{"family":"Shubin","given":"Sara Pacheco"},{"family":"Sax","given":"Sonja N."}],"issued":{"date-parts":[["2018",1]]}}},{"id":"3Xqpn9z9/o5PsXw4X","uris":["http://zotero.org/users/15391371/items/65D2QITI"],"itemData":{"id":493,"type":"article-journal","container-title":"Environmental Health","DOI":"10.1186/s12940-018-0384-z","ISSN":"1476-069X","issue":"1","journalAbbreviation":"Environ Health","language":"en","page":"37","source":"DOI.org (Crossref)","title":"Susceptibility to short-term ozone exposure and cardiovascular and respiratory mortality by previous hospitalizations","volume":"17","author":[{"family":"Raza","given":"Auriba"},{"family":"Dahlquist","given":"Marcus"},{"family":"Lind","given":"Tomas"},{"family":"Ljungman","given":"Petter L. S."}],"issued":{"date-parts":[["2018",12]]}}},{"id":"3Xqpn9z9/TlxzaeQP","uris":["http://zotero.org/users/15391371/items/XAU5X4VY"],"itemData":{"id":239,"type":"article-journal","container-title":"Inhalation Toxicology","DOI":"10.1080/089583701459038","ISSN":"0895-8378, 1091-7691","issue":"1","journalAbbreviation":"Inhalation Toxicology","language":"en","page":"1-24","source":"DOI.org (Crossref)","title":"Assesment of Recent Ozone Short-Term Epidemielogical Studies","volume":"13","author":[{"family":"Roth","given":"H. Daniel"},{"family":"Hwang","given":"Peggy May T."},{"family":"Li","given":"Yuanzhang"}],"issued":{"date-parts":[["2008",10]]}}}],"schema":"https://github.com/citation-style-language/schema/raw/master/csl-citation.json"} </w:instrText>
      </w:r>
      <w:r w:rsidRPr="00C94DD2">
        <w:rPr>
          <w:iCs/>
          <w:szCs w:val="24"/>
        </w:rPr>
        <w:fldChar w:fldCharType="separate"/>
      </w:r>
      <w:r w:rsidRPr="00C94DD2">
        <w:t>(Barath et al. 2013; C. Chen et al. 2023, 2023; Díaz et al. 2018; Goodman et al. 2018; Raza et al. 2018; Roth, Hwang, and Li 2008)</w:t>
      </w:r>
      <w:r w:rsidRPr="00C94DD2">
        <w:rPr>
          <w:iCs/>
          <w:szCs w:val="24"/>
        </w:rPr>
        <w:fldChar w:fldCharType="end"/>
      </w:r>
      <w:r w:rsidRPr="00C94DD2">
        <w:rPr>
          <w:iCs/>
          <w:szCs w:val="24"/>
        </w:rPr>
        <w:t xml:space="preserve">. </w:t>
      </w:r>
    </w:p>
    <w:p w14:paraId="49685E56" w14:textId="47822665" w:rsidR="00260190" w:rsidRDefault="009D7A82" w:rsidP="00F05C65">
      <w:pPr>
        <w:ind w:firstLine="720"/>
        <w:contextualSpacing/>
        <w:rPr>
          <w:iCs/>
          <w:szCs w:val="24"/>
        </w:rPr>
      </w:pPr>
      <w:r w:rsidRPr="00C94DD2">
        <w:rPr>
          <w:iCs/>
          <w:szCs w:val="24"/>
        </w:rPr>
        <w:t>Short-term ambient exposure to surface O</w:t>
      </w:r>
      <w:r w:rsidRPr="00C94DD2">
        <w:rPr>
          <w:iCs/>
          <w:szCs w:val="24"/>
          <w:vertAlign w:val="subscript"/>
        </w:rPr>
        <w:t>3</w:t>
      </w:r>
      <w:r w:rsidRPr="00C94DD2">
        <w:rPr>
          <w:iCs/>
          <w:szCs w:val="24"/>
        </w:rPr>
        <w:t xml:space="preserve"> may also impact the risk of multiple sclerosis (MS) by increasing triglycerides, cholesterol, and blood pressure in predisposed populations. Women and older adults (especially those over 75) seem </w:t>
      </w:r>
      <w:r w:rsidRPr="00C94DD2">
        <w:rPr>
          <w:iCs/>
          <w:szCs w:val="24"/>
        </w:rPr>
        <w:lastRenderedPageBreak/>
        <w:t xml:space="preserve">to be more affected by short-term ozone exposures </w:t>
      </w:r>
      <w:r w:rsidRPr="00C94DD2">
        <w:rPr>
          <w:iCs/>
          <w:szCs w:val="24"/>
        </w:rPr>
        <w:fldChar w:fldCharType="begin"/>
      </w:r>
      <w:r>
        <w:rPr>
          <w:iCs/>
          <w:szCs w:val="24"/>
        </w:rPr>
        <w:instrText xml:space="preserve"> ADDIN ZOTERO_ITEM CSL_CITATION {"citationID":"wa6xUqR5","properties":{"formattedCitation":"(C. Chen et al. 2023; Fuller et al. 2022)","plainCitation":"(C. Chen et al. 2023; Fuller et al. 2022)","noteIndex":0},"citationItems":[{"id":"3Xqpn9z9/5LF4bNl5","uris":["http://zotero.org/users/15391371/items/IAPL9BDZ"],"itemData":{"id":502,"type":"article-journal","container-title":"Environment International","DOI":"10.1016/j.envint.2022.107666","ISSN":"01604120","journalAbbreviation":"Environment International","language":"en","page":"107666","source":"DOI.org (Crossref)","title":"Short-term exposure to ozone and cause-specific mortality risks and thresholds in China: Evidence from nationally representative data, 2013-2018","title-short":"Short-term exposure to ozone and cause-specific mortality risks and thresholds in China","volume":"171","author":[{"family":"Chen","given":"Chen"},{"family":"Li","given":"Tiantian"},{"family":"Sun","given":"Qinghua"},{"family":"Shi","given":"Wanying"},{"family":"He","given":"Mike Z."},{"family":"Wang","given":"Jiaonan"},{"family":"Liu","given":"Jing"},{"family":"Zhang","given":"Mengxue"},{"family":"Jiang","given":"Qizheng"},{"family":"Wang","given":"Menghan"},{"family":"Shi","given":"Xiaoming"}],"issued":{"date-parts":[["2023",1]]}}},{"id":"3Xqpn9z9/vJ8Q5tho","uris":["http://zotero.org/users/15391371/items/VUVFPQYQ"],"itemData":{"id":504,"type":"article-journal","container-title":"The Lancet Planetary Health","DOI":"10.1016/S2542-5196(22)00090-0","ISSN":"25425196","issue":"6","journalAbbreviation":"The Lancet Planetary Health","language":"en","page":"e535-e547","source":"DOI.org (Crossref)","title":"Pollution and health: a progress update","title-short":"Pollution and health","volume":"6","author":[{"family":"Fuller","given":"Richard"},{"family":"Landrigan","given":"Philip J"},{"family":"Balakrishnan","given":"Kalpana"},{"family":"Bathan","given":"Glynda"},{"family":"Bose-O'Reilly","given":"Stephan"},{"family":"Brauer","given":"Michael"},{"family":"Caravanos","given":"Jack"},{"family":"Chiles","given":"Tom"},{"family":"Cohen","given":"Aaron"},{"family":"Corra","given":"Lilian"},{"family":"Cropper","given":"Maureen"},{"family":"Ferraro","given":"Greg"},{"family":"Hanna","given":"Jill"},{"family":"Hanrahan","given":"David"},{"family":"Hu","given":"Howard"},{"family":"Hunter","given":"David"},{"family":"Janata","given":"Gloria"},{"family":"Kupka","given":"Rachael"},{"family":"Lanphear","given":"Bruce"},{"family":"Lichtveld","given":"Maureen"},{"family":"Martin","given":"Keith"},{"family":"Mustapha","given":"Adetoun"},{"family":"Sanchez-Triana","given":"Ernesto"},{"family":"Sandilya","given":"Karti"},{"family":"Schaefli","given":"Laura"},{"family":"Shaw","given":"Joseph"},{"family":"Seddon","given":"Jessica"},{"family":"Suk","given":"William"},{"family":"Téllez-Rojo","given":"Martha María"},{"family":"Yan","given":"Chonghuai"}],"issued":{"date-parts":[["2022",6]]}}}],"schema":"https://github.com/citation-style-language/schema/raw/master/csl-citation.json"} </w:instrText>
      </w:r>
      <w:r w:rsidRPr="00C94DD2">
        <w:rPr>
          <w:iCs/>
          <w:szCs w:val="24"/>
        </w:rPr>
        <w:fldChar w:fldCharType="separate"/>
      </w:r>
      <w:r w:rsidRPr="00C94DD2">
        <w:t>(C. Chen et al. 2023; Fuller et al. 2022)</w:t>
      </w:r>
      <w:r w:rsidRPr="00C94DD2">
        <w:rPr>
          <w:iCs/>
          <w:szCs w:val="24"/>
        </w:rPr>
        <w:fldChar w:fldCharType="end"/>
      </w:r>
      <w:r w:rsidRPr="00C94DD2">
        <w:rPr>
          <w:iCs/>
          <w:szCs w:val="24"/>
        </w:rPr>
        <w:t>. Many of these outcomes occur at or above the EPA standard of 70ppb. Maricopa county, which houses Phoenix, saw high averages of income, population density, and surface O</w:t>
      </w:r>
      <w:r w:rsidRPr="00C94DD2">
        <w:rPr>
          <w:iCs/>
          <w:szCs w:val="24"/>
          <w:vertAlign w:val="subscript"/>
        </w:rPr>
        <w:t>3</w:t>
      </w:r>
      <w:r w:rsidRPr="00C94DD2">
        <w:rPr>
          <w:iCs/>
          <w:szCs w:val="24"/>
        </w:rPr>
        <w:t xml:space="preserve"> concentrations. In addition, areas with better kept greenspace near both Phoenix and Tucson would see the brunt of high concentrations in the area. While January and October showed averages lover than the EPA standard, these areas spiked, with potential exposures above 70ppb according to both in-situ and modelled measurements. Further improvements to the overall code, pre-processing methods, and applications of RK are needed to better depict harmful substances and exposures </w:t>
      </w:r>
      <w:proofErr w:type="gramStart"/>
      <w:r w:rsidRPr="00C94DD2">
        <w:rPr>
          <w:iCs/>
          <w:szCs w:val="24"/>
        </w:rPr>
        <w:t>at</w:t>
      </w:r>
      <w:proofErr w:type="gramEnd"/>
      <w:r w:rsidRPr="00C94DD2">
        <w:rPr>
          <w:iCs/>
          <w:szCs w:val="24"/>
        </w:rPr>
        <w:t xml:space="preserve"> high resolutions in urban areas.</w:t>
      </w:r>
    </w:p>
    <w:p w14:paraId="4D4A0992" w14:textId="43379FBF" w:rsidR="00F05C65" w:rsidRPr="00E0133D" w:rsidRDefault="00F05C65" w:rsidP="00F05C65">
      <w:pPr>
        <w:jc w:val="center"/>
        <w:rPr>
          <w:caps/>
          <w:szCs w:val="24"/>
        </w:rPr>
      </w:pPr>
      <w:r>
        <w:rPr>
          <w:szCs w:val="24"/>
        </w:rPr>
        <w:t xml:space="preserve">VI.6. </w:t>
      </w:r>
      <w:r w:rsidRPr="00E0133D">
        <w:rPr>
          <w:szCs w:val="24"/>
        </w:rPr>
        <w:t>Insights Into Historical Exposures and Concentrations</w:t>
      </w:r>
    </w:p>
    <w:p w14:paraId="2C5E16BC" w14:textId="77777777" w:rsidR="00F05C65" w:rsidRPr="00E0133D" w:rsidRDefault="00F05C65" w:rsidP="00F05C65">
      <w:pPr>
        <w:ind w:firstLine="720"/>
        <w:rPr>
          <w:caps/>
          <w:szCs w:val="24"/>
        </w:rPr>
      </w:pPr>
      <w:r w:rsidRPr="00E0133D">
        <w:rPr>
          <w:szCs w:val="24"/>
        </w:rPr>
        <w:t>The historical feasibility of high-resolution ozone modeling, particularly from 1980 to 2000, relies heavily on the RK method’s ability to accurately capture residual spatial dependencies. With RK, historical data from sources like TOMS can be spatially refined to produce monthly average ozone concentrations, filling a critical gap in historical ozone exposure records. This capability is invaluable for public health research, as it allows for the retrospective analysis of exposure patterns over time, linking long-term ozone trends with health outcomes in different populations. The RK method’s refinement of historical datasets can thus support an unprecedented level of detail in exposure mapping, fostering a new understanding of how ozone exposure has evolved in response to environmental and socio-economic changes. From 2000 onwards, with the advent of advanced satellite data from instruments like Sentinel-5P, the RK method can facilitate daily average ozone models by enabling granular spatial predictions, making high-resolution daily models feasible for the first time.</w:t>
      </w:r>
    </w:p>
    <w:p w14:paraId="58F1BF70" w14:textId="4085C454" w:rsidR="00F05C65" w:rsidRPr="00F05C65" w:rsidRDefault="00F05C65" w:rsidP="00F05C65">
      <w:pPr>
        <w:ind w:firstLine="720"/>
        <w:rPr>
          <w:szCs w:val="24"/>
        </w:rPr>
      </w:pPr>
      <w:r w:rsidRPr="00E0133D">
        <w:rPr>
          <w:szCs w:val="24"/>
        </w:rPr>
        <w:t>One of the most promising aspects of the RK method lies in its potential to improve existing statistical models, estimating predictions before 2005. By predicting geospatial error within a larger temporal range, RK can enhance the predictive accuracy of ML/AI corrections used for understanding trends over large decades if collected imagery. Statistical models, when combined with residual kriging, are empowered to deliver predictions that reflect both large-scale trends and localized variations. This integration enables a new generation of high-resolution spatial datasets that offer valuable insights for epidemiological studies, allowing for a more precise estimation of the impacts associated with different O</w:t>
      </w:r>
      <w:r w:rsidRPr="00E0133D">
        <w:rPr>
          <w:szCs w:val="24"/>
          <w:vertAlign w:val="subscript"/>
        </w:rPr>
        <w:t>3</w:t>
      </w:r>
      <w:r w:rsidRPr="00E0133D">
        <w:rPr>
          <w:szCs w:val="24"/>
        </w:rPr>
        <w:t xml:space="preserve"> exposure levels and more. The RK method provides a structured means of adjusting for the inherent variability in ozone concentrations that traditional statistical models cannot easily account for. This adjustment is critical in capturing the ozone’s complex behavior across diverse landscapes, which is essential for accurate long-term health impact assessments.</w:t>
      </w:r>
    </w:p>
    <w:p w14:paraId="43F7F19E" w14:textId="58515506" w:rsidR="00260190" w:rsidRPr="00E0133D" w:rsidRDefault="00260190" w:rsidP="00260190">
      <w:pPr>
        <w:jc w:val="center"/>
        <w:rPr>
          <w:szCs w:val="24"/>
        </w:rPr>
      </w:pPr>
      <w:r>
        <w:rPr>
          <w:szCs w:val="24"/>
        </w:rPr>
        <w:t>VI.</w:t>
      </w:r>
      <w:r w:rsidR="00310C32">
        <w:rPr>
          <w:szCs w:val="24"/>
        </w:rPr>
        <w:t>7</w:t>
      </w:r>
      <w:r>
        <w:rPr>
          <w:szCs w:val="24"/>
        </w:rPr>
        <w:t xml:space="preserve">. </w:t>
      </w:r>
      <w:r w:rsidRPr="00E0133D">
        <w:rPr>
          <w:szCs w:val="24"/>
        </w:rPr>
        <w:t>Implications For Public Health and Policy</w:t>
      </w:r>
    </w:p>
    <w:p w14:paraId="19FD1537" w14:textId="77777777" w:rsidR="00260190" w:rsidRPr="00E0133D" w:rsidRDefault="00260190" w:rsidP="00260190">
      <w:pPr>
        <w:ind w:firstLine="720"/>
        <w:rPr>
          <w:szCs w:val="24"/>
        </w:rPr>
      </w:pPr>
      <w:r w:rsidRPr="00E0133D">
        <w:rPr>
          <w:szCs w:val="24"/>
        </w:rPr>
        <w:t xml:space="preserve">Enhanced ozone modeling has significant implications for public health. By addressing spatial and temporal variability more effectively, RK and ensemble methods can support targeted interventions to reduce ozone exposure, particularly in vulnerable populations. Policies informed by high-resolution ozone models can </w:t>
      </w:r>
      <w:r w:rsidRPr="00E0133D">
        <w:rPr>
          <w:szCs w:val="24"/>
        </w:rPr>
        <w:lastRenderedPageBreak/>
        <w:t>prioritize areas with high exposure, guiding infrastructure development and resource allocation for air quality improvement initiatives. Furthermore, the capacity of RK to capture fine-scale ozone variations holds potential for advancing urban planning, where localized emission control measures could significantly impact public health (Jerrett et al., 2009; Bell et al., 2014).</w:t>
      </w:r>
    </w:p>
    <w:p w14:paraId="4F90D483" w14:textId="66C99F68" w:rsidR="00F05C65" w:rsidRPr="00F05C65" w:rsidRDefault="00260190" w:rsidP="00F05C65">
      <w:pPr>
        <w:ind w:firstLine="720"/>
        <w:contextualSpacing/>
        <w:rPr>
          <w:szCs w:val="24"/>
        </w:rPr>
      </w:pPr>
      <w:r w:rsidRPr="00E0133D">
        <w:rPr>
          <w:szCs w:val="24"/>
        </w:rPr>
        <w:t>This study’s findings underscore the need for high-resolution models to achieve accurate exposure assessments that inform public health strategies and urban expansion plans. The RK method provides an advanced tool for mapping not only surface O</w:t>
      </w:r>
      <w:r w:rsidRPr="00E0133D">
        <w:rPr>
          <w:szCs w:val="24"/>
          <w:vertAlign w:val="subscript"/>
        </w:rPr>
        <w:t>3</w:t>
      </w:r>
      <w:r w:rsidRPr="00E0133D">
        <w:rPr>
          <w:szCs w:val="24"/>
        </w:rPr>
        <w:t xml:space="preserve"> concentrations, but many air pollutants and aerosols at resolutions finer than 300m in need be. If the dataset for surface O</w:t>
      </w:r>
      <w:r w:rsidRPr="00E0133D">
        <w:rPr>
          <w:szCs w:val="24"/>
          <w:vertAlign w:val="subscript"/>
        </w:rPr>
        <w:t>3</w:t>
      </w:r>
      <w:r w:rsidRPr="00E0133D">
        <w:rPr>
          <w:szCs w:val="24"/>
        </w:rPr>
        <w:t xml:space="preserve"> is expanded upon, it can offer the ability to rapidly estimate exposure risks for participants in exposure studies, especially in densely populated urban centers. Public health officials and policymakers could leverage this to implement localized interventions and standards, such as regulating vehicular emissions and industrial pollutants via emission credits, ultimately reducing health burdens associated with ozone and air pollution exposures.</w:t>
      </w:r>
    </w:p>
    <w:p w14:paraId="307E9A41" w14:textId="65430CDD" w:rsidR="00F05C65" w:rsidRPr="00E0133D" w:rsidRDefault="00F05C65" w:rsidP="00F05C65">
      <w:pPr>
        <w:jc w:val="center"/>
        <w:rPr>
          <w:szCs w:val="24"/>
        </w:rPr>
      </w:pPr>
      <w:r>
        <w:rPr>
          <w:szCs w:val="24"/>
        </w:rPr>
        <w:t>VI.</w:t>
      </w:r>
      <w:r w:rsidR="00310C32">
        <w:rPr>
          <w:szCs w:val="24"/>
        </w:rPr>
        <w:t>8</w:t>
      </w:r>
      <w:r>
        <w:rPr>
          <w:szCs w:val="24"/>
        </w:rPr>
        <w:t xml:space="preserve">. </w:t>
      </w:r>
      <w:r w:rsidRPr="00E0133D">
        <w:rPr>
          <w:szCs w:val="24"/>
        </w:rPr>
        <w:t>Advancing Surface O</w:t>
      </w:r>
      <w:r w:rsidRPr="00E0133D">
        <w:rPr>
          <w:szCs w:val="24"/>
          <w:vertAlign w:val="subscript"/>
        </w:rPr>
        <w:t>3</w:t>
      </w:r>
      <w:r w:rsidRPr="00E0133D">
        <w:rPr>
          <w:szCs w:val="24"/>
        </w:rPr>
        <w:t xml:space="preserve"> Mapping with </w:t>
      </w:r>
      <w:r>
        <w:rPr>
          <w:szCs w:val="24"/>
        </w:rPr>
        <w:t>RK</w:t>
      </w:r>
      <w:r w:rsidRPr="00E0133D">
        <w:rPr>
          <w:szCs w:val="24"/>
        </w:rPr>
        <w:t xml:space="preserve"> Regression</w:t>
      </w:r>
    </w:p>
    <w:p w14:paraId="03F06E08" w14:textId="77777777" w:rsidR="00F05C65" w:rsidRDefault="00F05C65" w:rsidP="00F05C65">
      <w:pPr>
        <w:ind w:firstLine="720"/>
        <w:rPr>
          <w:szCs w:val="24"/>
        </w:rPr>
      </w:pPr>
      <w:r w:rsidRPr="00E0133D">
        <w:rPr>
          <w:szCs w:val="24"/>
        </w:rPr>
        <w:t xml:space="preserve">The RK method emerged as a standout approach, offering robust spatial refinement to all baseline models by accounting for residual spatial dependencies. While some base ensembles out predicted </w:t>
      </w:r>
      <w:proofErr w:type="spellStart"/>
      <w:r w:rsidRPr="00E0133D">
        <w:rPr>
          <w:szCs w:val="24"/>
        </w:rPr>
        <w:t>SMaRK</w:t>
      </w:r>
      <w:proofErr w:type="spellEnd"/>
      <w:r w:rsidRPr="00E0133D">
        <w:rPr>
          <w:szCs w:val="24"/>
        </w:rPr>
        <w:t xml:space="preserve"> based estimations due to a stronger complex property, the overall </w:t>
      </w:r>
      <w:proofErr w:type="spellStart"/>
      <w:r w:rsidRPr="00E0133D">
        <w:rPr>
          <w:szCs w:val="24"/>
        </w:rPr>
        <w:t>SMaRK</w:t>
      </w:r>
      <w:proofErr w:type="spellEnd"/>
      <w:r w:rsidRPr="00E0133D">
        <w:rPr>
          <w:szCs w:val="24"/>
        </w:rPr>
        <w:t xml:space="preserve"> version of that ensemble still shows stronger associations with the in-situ value at each location. This approach successfully captured O</w:t>
      </w:r>
      <w:r w:rsidRPr="00E0133D">
        <w:rPr>
          <w:szCs w:val="24"/>
          <w:vertAlign w:val="subscript"/>
        </w:rPr>
        <w:t>3</w:t>
      </w:r>
      <w:r w:rsidRPr="00E0133D">
        <w:rPr>
          <w:szCs w:val="24"/>
        </w:rPr>
        <w:t xml:space="preserve"> concentrations across diverse anthropogenic environments with similar meteorological conditions as well as if not better than current ensemble approaches to correcting imagery. </w:t>
      </w:r>
    </w:p>
    <w:p w14:paraId="39B9E825" w14:textId="77777777" w:rsidR="00F05C65" w:rsidRDefault="00F05C65" w:rsidP="00F05C65">
      <w:pPr>
        <w:ind w:firstLine="720"/>
        <w:rPr>
          <w:szCs w:val="24"/>
        </w:rPr>
      </w:pPr>
      <w:r w:rsidRPr="00E0133D">
        <w:rPr>
          <w:szCs w:val="24"/>
        </w:rPr>
        <w:t xml:space="preserve">If the associated instrument can be correlated to a monitor of the same type which is properly gathered (e.g. Dobson Monitors and TOMS/OMI imagery or high-resolution drone imagery corrected with GCPs and NDVI imagery from Landsat in-between retrievals), then predictive ensembles using remotely sensed data would inherently benefit from the reduced error in imagery. </w:t>
      </w:r>
      <w:proofErr w:type="spellStart"/>
      <w:r w:rsidRPr="00E0133D">
        <w:rPr>
          <w:szCs w:val="24"/>
        </w:rPr>
        <w:t>SMaRK’s</w:t>
      </w:r>
      <w:proofErr w:type="spellEnd"/>
      <w:r w:rsidRPr="00E0133D">
        <w:rPr>
          <w:szCs w:val="24"/>
        </w:rPr>
        <w:t xml:space="preserve"> low error rates and enhanced spatial precision offers novel solutions to correcting high-resolution imagery beneficial for numerous sectors; like public health research, urban chemical transport studies, and local weather mapping, where fine-scale exposure assessments are critical </w:t>
      </w:r>
      <w:r w:rsidRPr="00E0133D">
        <w:rPr>
          <w:szCs w:val="24"/>
        </w:rPr>
        <w:fldChar w:fldCharType="begin"/>
      </w:r>
      <w:r w:rsidRPr="00E0133D">
        <w:rPr>
          <w:szCs w:val="24"/>
        </w:rPr>
        <w:instrText xml:space="preserve"> ADDIN ZOTERO_ITEM CSL_CITATION {"citationID":"RYnoyNHo","properties":{"formattedCitation":"(Kong et al. 2023; Lo et al. 2024; Northeim, Tiwari, and Oppong 2021; Yin et al. 2019)","plainCitation":"(Kong et al. 2023; Lo et al. 2024; Northeim, Tiwari, and Oppong 2021; Yin et al. 2019)","noteIndex":0},"citationItems":[{"id":9916,"uris":["http://zotero.org/users/15391371/items/MJDFWJNR"],"itemData":{"id":9916,"type":"article-journal","abstract":"Since State Council launched the Action Plan for Air Pollution Prevention and Control in 2013, national concentration of fine particulate matter (PM2.5) has continued to decline in China, while surface ozone (O-3) pollution shows an obvious rise. To identity hot regions and develop targeted policy, the spatiotemporal O-3 variation and its population-weighted exposure features were analyzed in 337 cities across China, using autocorrelation analysis and grid exposure calculation. In the identified hot urban agglomerations, the correlation analysis and geographic weighted regression model (GWR) were used to study related meteorological factors and socioeconomic driving factors. O-3 pollution and its human exposure were found to have significant spatial aggregation characteristics, showing a need for regional management policy. Beijing-Tianjin-Hebei Urban Agglomeration (BTH-UA), Central Plains Urban Agglomeration (CP-UA), and Yangtze River Delta Urban Agglomeration (YRD-UA) were identified as hot regions where O-3 concentration exceeded 160 &amp; mu;g &amp; BULL;m(-3), exceedance rate was over 20% and population-weighted exposure risk was relatively high. Correlation analysis in the hot regions indicated high surface temperature, low relative humidity, and low wind speed were positive to O-3 increase. Further, GWR results revealed that O-3 in the majority of cities was positively related with population density (PD), the per capita GDP (Per_GDP), industrial soot emissions (ISE), industrial SO2 emissions (ISO2), and average annual concentration of inhaled fine particulate matter (PM10), and negatively related with total land area of administrative region (Administration) and area of green land (Green). From the regional driving factor difference, the targeted UA management policy was provided.","archive_location":"WOS:001018890200001","container-title":"FRONTIERS IN ECOLOGY AND EVOLUTION","DOI":"10.3389/fevo.2023.1103503","ISSN":"2296-701X","title":"Unraveling spatiotemporal patterns and multiple driving factors of surface ozone across China and its urban agglomerations management strategies","volume":"11","author":[{"family":"Kong","given":"SJ"},{"family":"Wang","given":"T"},{"family":"Li","given":"F"},{"family":"Yan","given":"JJ"},{"family":"Qu","given":"ZG"}],"issued":{"date-parts":[["2023",6,15]]}}},{"id":9634,"uris":["http://zotero.org/users/15391371/items/K7HEY3AJ"],"itemData":{"id":9634,"type":"article-journal","abstract":"This study pioneered the forecasting of typhoon trajectories and conducted the comprehensive analysis of pre-typhoon surface O3 patterns using WRF-Chem model integrated with a novel FourDimensional Variation Data Assimilation (4DVAR). The WRF-Chem model was employed to analyze the impact of typhoon tracks on surface O3 concentrations in southern Taiwan in 2013 and 2023. The simulations examined the variation of surface O3 concentrations; while both surface monitoring and sounding data were integrated into the model. The study evaluated the spatiotemporal variation of typhoon tracks, and correlated them with suface O3 concentrations. Elevated surface O3 levels preceding typhoon arrival were significantly influenced by the typhoon tracks. Meanwhile, a surge observed approximately 1-2 days prior to sea warnings was associated with the weakened West Pacific Subtropical High (WPSH) and intensified leeward effects. Atmospheric subsidence in both scenarios contributed to declining air quality. Typhoon invasions raised surface O3 concentrations 1-3 times higher than normal in summer and fall. Model simulation results indicated that spatial O3 patterns preceding typhoon arrival could forecast the typhoon tracks 1-2 days in advance, providing insights into mechanisms behind pre-typhoon elevated O3 levels. The findings offer valuable references for forecasting surface O3 concentrations based on typhoon tracks.","archive_location":"WOS:001298060800001","container-title":"URBAN CLIMATE","DOI":"10.1016/j.uclim.2024.102093","ISSN":"2212-0955","title":"Elevated surface ozone concentration caused by subtropical cyclones and topographical effect: Model simulation and field measurement","volume":"57","author":[{"family":"Lo","given":"KC"},{"family":"Cheng","given":"WH"},{"family":"Lin","given":"C"},{"family":"Hung","given":"CH"},{"family":"Yuan","given":"CS"},{"family":"Tseng","given":"YL"}],"issued":{"date-parts":[["2024",9]]}}},{"id":9950,"uris":["http://zotero.org/users/15391371/items/GZAQJ4ZB"],"itemData":{"id":9950,"type":"article-journal","abstract":"Fixed site monitoring is the primary method of measuring surface ozone pollution for health advisories and pollutant reduction, but the spatial scale may not reflect the current population distribution or its future growth. Moreover, formal methods for the placement of ozone monitoring sites within populations regions omit important spatial criteria producing monitoring locations that could unintentionally bias the exposure burden. Because ozone pollution endangers human health, triggering shortness of breath, causing asthma attacks and mortality, a need exists for assessing the spatial representativeness and data gaps of existing pollution monitors and to evaluate future placement strategies of additional monitors. A new metric, the potency index, for assessing the placements of monitors in relation to population distribution was developed. This index was used to evaluate the configuration of the ozone pollution monitoring network in relation to the population distribution in Dallas Fort Worth (DFW). Location-allocation models were used to optimize future sensor quantity and placement. Finally, we propose the development of a decision support system that uses evaluation and optimization methods to improve air pollution monitoring objectives.","archive_location":"WOS:000708822900003","container-title":"ENVIRONMENTAL SCIENCE &amp; POLICY","DOI":"10.1016/j.envsci.2021.09.011","ISSN":"1462-9011","page":"48-59","title":"Surface ozone monitoring and policy: A geospatial decision support tool for suitable location of monitoring stations in urban areas","volume":"126","author":[{"family":"Northeim","given":"K"},{"family":"Tiwari","given":"C"},{"family":"Oppong","given":"J"}],"issued":{"date-parts":[["2021",12]]}}},{"id":9294,"uris":["http://zotero.org/users/15391371/items/CEZ8SRV9"],"itemData":{"id":9294,"type":"article-journal","abstract":"The long-term variations of ozone are the combined results of climate change and air quality management. As Guangzhou is under the influence of both subtropical monsoon climate and rapid economic development, the ozone trend in recent years is uncertain. This paper presents the trend analysis of maximum daily average 8 h (MDA8) ozone and daily meteorological observations in Guangzhou from 2008 to 2018, using the Kolmogorov-Zurbenko (KZ) filter method. The observations were conducted at two sites in suburban Guangzhou, thus the datasets were processed in two periods. The first period (P1) is from 2008 to 2013, and the second period (P2) is from 2014 to 2018. Results show that the KZ filter method separates the short-term, seasonal, and long-term components efficiently, leaving a covariance term of 7.3% (5.4%) for P1 (P2). Through linear regression of long-term components, the trends were inferred as -0.06 +/- 0.04 ppb year(-1) (R-2 = 0.00, p &lt; 0.05) for P1, and 0.51 +/- 0.08 ppb year(-1) (R-2 = 0.11, pb 0.05) for P2. It is found that the solar radiation has the strongest impact on ozone. With inclusion of temperature, relative humidity, and wind speed, these four meteorological factors held 71% (76%) variability in baseline ozone (sum of seasonal and long-term ozone) for P1 (P2). After applying the KZ filter method, the results reveal that the variance contribution of emission to long-term ozone variation is larger than that of meteorology in P1, while smaller in P2. Furthermore, 59% of the emission-induced ozone change in P2 could be explained by nitrogen dioxide variation, and their inverse correlation suggests that Guangzhou is mainly under volatile organic compounds-limited regime, despite continuous nitrogen oxides reduction. (C) 2019 Elsevier B.V. All rights reserved.","archive_location":"WOS:000496802200093","container-title":"SCIENCE OF THE TOTAL ENVIRONMENT","DOI":"10.1016/j.scitotenv.2019.133880","ISSN":"0048-9697","title":"Trend analysis of surface ozone at suburban Guangzhou, China","volume":"695","author":[{"family":"Yin","given":"CQ"},{"family":"Deng","given":"XJ"},{"family":"Zou","given":"Y"},{"family":"Solmon","given":"F"},{"family":"Li","given":"F"},{"family":"Deng","given":"T"}],"issued":{"date-parts":[["2019",12,10]]}}}],"schema":"https://github.com/citation-style-language/schema/raw/master/csl-citation.json"} </w:instrText>
      </w:r>
      <w:r w:rsidRPr="00E0133D">
        <w:rPr>
          <w:szCs w:val="24"/>
        </w:rPr>
        <w:fldChar w:fldCharType="separate"/>
      </w:r>
      <w:r w:rsidRPr="00E0133D">
        <w:rPr>
          <w:szCs w:val="24"/>
        </w:rPr>
        <w:t>(Kong et al. 2023; Lo et al. 2024; Northeim, Tiwari, and Oppong 2021; Yin et al. 2019)</w:t>
      </w:r>
      <w:r w:rsidRPr="00E0133D">
        <w:rPr>
          <w:szCs w:val="24"/>
        </w:rPr>
        <w:fldChar w:fldCharType="end"/>
      </w:r>
      <w:r w:rsidRPr="00E0133D">
        <w:rPr>
          <w:szCs w:val="24"/>
        </w:rPr>
        <w:t xml:space="preserve">. </w:t>
      </w:r>
    </w:p>
    <w:p w14:paraId="1D239827" w14:textId="1B1F414D" w:rsidR="00260190" w:rsidRDefault="00F05C65" w:rsidP="00F05C65">
      <w:pPr>
        <w:ind w:firstLine="720"/>
        <w:rPr>
          <w:szCs w:val="24"/>
        </w:rPr>
      </w:pPr>
      <w:r w:rsidRPr="00E0133D">
        <w:rPr>
          <w:szCs w:val="24"/>
        </w:rPr>
        <w:t xml:space="preserve">RK can be used to mitigate the Modifiable Areal Unit Problem (MAUP) and a unique advantage for remotely sensed imagery, providing more accurate, localized predictions of retrieval from current and historical technologies. By modelling the relative distance an observation is from its predicted value, the </w:t>
      </w:r>
      <w:proofErr w:type="spellStart"/>
      <w:r w:rsidRPr="00E0133D">
        <w:rPr>
          <w:szCs w:val="24"/>
        </w:rPr>
        <w:t>SMaRK</w:t>
      </w:r>
      <w:proofErr w:type="spellEnd"/>
      <w:r w:rsidRPr="00E0133D">
        <w:rPr>
          <w:szCs w:val="24"/>
        </w:rPr>
        <w:t xml:space="preserve"> approach can be thought </w:t>
      </w:r>
      <w:r w:rsidR="00310C32" w:rsidRPr="00E0133D">
        <w:rPr>
          <w:szCs w:val="24"/>
        </w:rPr>
        <w:t>of as</w:t>
      </w:r>
      <w:r w:rsidRPr="00E0133D">
        <w:rPr>
          <w:szCs w:val="24"/>
        </w:rPr>
        <w:t xml:space="preserve"> a mathematical implementation of Tobler’s Law in ML/AI models. Each residual geo-atom, a representation of a complex trend based on geo-atoms within a set field, dictates the amount of similarity between the source and estimated value. By including this in modern imagery, large sets of geo-spatial uncertainty can be accounted for.</w:t>
      </w:r>
    </w:p>
    <w:p w14:paraId="138B9C9F" w14:textId="05EF7996" w:rsidR="00310C32" w:rsidRPr="00310C32" w:rsidRDefault="00310C32" w:rsidP="00370883">
      <w:pPr>
        <w:pStyle w:val="NoSpacing"/>
        <w:jc w:val="center"/>
        <w:rPr>
          <w:i w:val="0"/>
          <w:iCs/>
        </w:rPr>
      </w:pPr>
      <w:r>
        <w:rPr>
          <w:i w:val="0"/>
          <w:iCs/>
        </w:rPr>
        <w:lastRenderedPageBreak/>
        <w:t xml:space="preserve">VI.8.1 RK </w:t>
      </w:r>
      <w:r w:rsidR="00370883">
        <w:rPr>
          <w:i w:val="0"/>
          <w:iCs/>
        </w:rPr>
        <w:t xml:space="preserve">Enhancement of </w:t>
      </w:r>
      <w:r>
        <w:rPr>
          <w:i w:val="0"/>
          <w:iCs/>
        </w:rPr>
        <w:t>Satellite Imagery</w:t>
      </w:r>
    </w:p>
    <w:p w14:paraId="37FD19B7" w14:textId="120696ED" w:rsidR="00260190" w:rsidRPr="00E0133D" w:rsidRDefault="00260190" w:rsidP="00260190">
      <w:pPr>
        <w:ind w:firstLine="720"/>
        <w:rPr>
          <w:szCs w:val="24"/>
        </w:rPr>
      </w:pPr>
      <w:r w:rsidRPr="00E0133D">
        <w:rPr>
          <w:szCs w:val="24"/>
        </w:rPr>
        <w:t xml:space="preserve">In tandem, the enhancement of remote sensing monitoring systems through RK underscores the potential for a more comprehensive air pollution monitoring network that combines satellite data with ground-level measurements. This approach addresses a key limitation of remote sensing: the lack of fine-scale spatial detail required for accurate exposure predictions in urban and rural microenvironments. RK can improve the spatial accuracy of satellite data by integrating it with in-situ measurements, thereby creating a more precise depiction of ozone concentrations near densely populated areas. Such high spatial resolution is essential for not only quicky estimating exposures, </w:t>
      </w:r>
      <w:r w:rsidR="009D7A82" w:rsidRPr="00E0133D">
        <w:rPr>
          <w:szCs w:val="24"/>
        </w:rPr>
        <w:t>but also</w:t>
      </w:r>
      <w:r w:rsidRPr="00E0133D">
        <w:rPr>
          <w:szCs w:val="24"/>
        </w:rPr>
        <w:t xml:space="preserve"> </w:t>
      </w:r>
      <w:r w:rsidR="009D7A82">
        <w:rPr>
          <w:szCs w:val="24"/>
        </w:rPr>
        <w:t xml:space="preserve">highlighting </w:t>
      </w:r>
      <w:r w:rsidRPr="00E0133D">
        <w:rPr>
          <w:szCs w:val="24"/>
        </w:rPr>
        <w:t xml:space="preserve">affected </w:t>
      </w:r>
      <w:r w:rsidR="009D7A82">
        <w:rPr>
          <w:szCs w:val="24"/>
        </w:rPr>
        <w:t xml:space="preserve">areas </w:t>
      </w:r>
      <w:r w:rsidRPr="00E0133D">
        <w:rPr>
          <w:szCs w:val="24"/>
        </w:rPr>
        <w:t>due to geographic location, socio-economic status, underlying health vulnerabilities given surroundings</w:t>
      </w:r>
      <w:r w:rsidR="009D7A82">
        <w:rPr>
          <w:szCs w:val="24"/>
        </w:rPr>
        <w:t>, or a combination of all three</w:t>
      </w:r>
      <w:r w:rsidRPr="00E0133D">
        <w:rPr>
          <w:szCs w:val="24"/>
        </w:rPr>
        <w:t>. By refining satellite-based O</w:t>
      </w:r>
      <w:r w:rsidRPr="00E0133D">
        <w:rPr>
          <w:szCs w:val="24"/>
          <w:vertAlign w:val="subscript"/>
        </w:rPr>
        <w:t>3</w:t>
      </w:r>
      <w:r w:rsidRPr="00E0133D">
        <w:rPr>
          <w:szCs w:val="24"/>
        </w:rPr>
        <w:t xml:space="preserve"> estimates</w:t>
      </w:r>
      <w:r w:rsidR="009D7A82">
        <w:rPr>
          <w:szCs w:val="24"/>
        </w:rPr>
        <w:t xml:space="preserve"> and numerical models</w:t>
      </w:r>
      <w:r w:rsidRPr="00E0133D">
        <w:rPr>
          <w:szCs w:val="24"/>
        </w:rPr>
        <w:t>, RK can also facilitate more responsive public health interventions, allowing for the timely identification and mitigation of high-exposure areas.</w:t>
      </w:r>
    </w:p>
    <w:p w14:paraId="03D057BA" w14:textId="5FD72243" w:rsidR="00260190" w:rsidRDefault="00260190" w:rsidP="00260190">
      <w:pPr>
        <w:ind w:firstLine="720"/>
        <w:rPr>
          <w:szCs w:val="24"/>
        </w:rPr>
      </w:pPr>
      <w:r w:rsidRPr="00E0133D">
        <w:rPr>
          <w:szCs w:val="24"/>
        </w:rPr>
        <w:t xml:space="preserve">Multi-disciplinary GIS modeling techniques such as </w:t>
      </w:r>
      <w:proofErr w:type="spellStart"/>
      <w:r w:rsidRPr="00E0133D">
        <w:rPr>
          <w:szCs w:val="24"/>
        </w:rPr>
        <w:t>SMaRK</w:t>
      </w:r>
      <w:proofErr w:type="spellEnd"/>
      <w:r w:rsidRPr="00E0133D">
        <w:rPr>
          <w:szCs w:val="24"/>
        </w:rPr>
        <w:t xml:space="preserve"> have become more widespread because of this most recent data revolution </w:t>
      </w:r>
      <w:r w:rsidRPr="00E0133D">
        <w:rPr>
          <w:szCs w:val="24"/>
        </w:rPr>
        <w:fldChar w:fldCharType="begin"/>
      </w:r>
      <w:r w:rsidRPr="00E0133D">
        <w:rPr>
          <w:szCs w:val="24"/>
        </w:rPr>
        <w:instrText xml:space="preserve"> ADDIN ZOTERO_ITEM CSL_CITATION {"citationID":"AMqhm8PM","properties":{"formattedCitation":"(Goodchild 2018)","plainCitation":"(Goodchild 2018)","noteIndex":0},"citationItems":[{"id":12386,"uris":["http://zotero.org/users/15391371/items/KT5XIINR"],"itemData":{"id":12386,"type":"article-journal","container-title":"The AAG Review of Books","DOI":"10.1080/2325548x.2018.1402278","ISSN":"2325-548X","issue":"2","language":"en","note":"publisher: Informa UK Limited","page":"115-117","source":"Crossref","title":"Mapping Across Academia","volume":"6","author":[{"family":"Goodchild","given":"Michael F."}],"issued":{"date-parts":[["2018",4,3]]}}}],"schema":"https://github.com/citation-style-language/schema/raw/master/csl-citation.json"} </w:instrText>
      </w:r>
      <w:r w:rsidRPr="00E0133D">
        <w:rPr>
          <w:szCs w:val="24"/>
        </w:rPr>
        <w:fldChar w:fldCharType="separate"/>
      </w:r>
      <w:r w:rsidRPr="00E0133D">
        <w:rPr>
          <w:szCs w:val="24"/>
        </w:rPr>
        <w:t>(Goodchild 2018)</w:t>
      </w:r>
      <w:r w:rsidRPr="00E0133D">
        <w:rPr>
          <w:szCs w:val="24"/>
        </w:rPr>
        <w:fldChar w:fldCharType="end"/>
      </w:r>
      <w:r w:rsidRPr="00E0133D">
        <w:rPr>
          <w:szCs w:val="24"/>
        </w:rPr>
        <w:t xml:space="preserve">. Brought about by the exponential growth in data storage and processing capacities via advancements in Big Data, new-found spatial and temporal analysis of both micro- and macro- ecologies have spurred the need for simplified, sound methodologies. The </w:t>
      </w:r>
      <w:proofErr w:type="spellStart"/>
      <w:r w:rsidRPr="00E0133D">
        <w:rPr>
          <w:szCs w:val="24"/>
        </w:rPr>
        <w:t>SMaRK</w:t>
      </w:r>
      <w:proofErr w:type="spellEnd"/>
      <w:r w:rsidRPr="00E0133D">
        <w:rPr>
          <w:szCs w:val="24"/>
        </w:rPr>
        <w:t xml:space="preserve"> approach significantly enhanced the predictive accuracy of traditional ML/AI models by spatially interpolating residuals from features at a given point and adding the predicted error back into the model. Satellite imagery in the PHOTUC region via </w:t>
      </w:r>
      <w:proofErr w:type="spellStart"/>
      <w:r w:rsidRPr="00E0133D">
        <w:rPr>
          <w:szCs w:val="24"/>
        </w:rPr>
        <w:t>SMaRK</w:t>
      </w:r>
      <w:proofErr w:type="spellEnd"/>
      <w:r w:rsidRPr="00E0133D">
        <w:rPr>
          <w:szCs w:val="24"/>
        </w:rPr>
        <w:t xml:space="preserve"> provides transformative capabilities for surface O</w:t>
      </w:r>
      <w:r w:rsidRPr="00E0133D">
        <w:rPr>
          <w:szCs w:val="24"/>
          <w:vertAlign w:val="subscript"/>
        </w:rPr>
        <w:t>3</w:t>
      </w:r>
      <w:r w:rsidRPr="00E0133D">
        <w:rPr>
          <w:szCs w:val="24"/>
        </w:rPr>
        <w:t xml:space="preserve"> mapping, CTMs, and exposure studies by including known values detected at the surface. The incorporation of spatial uncertainty into ML/AI methods for the proper display of geospatial information is critical to the progression of GIS programs. It enables finer, more nuanced depictions of any independent variable of interest across any temporal and geographic scale with the appropriate coverage of monitors. These fine-grained enhancements are critical for uncovering the full spectrum of micro- and macro-effects of the many pollutants threatening human health, ecosystems, and air quality. </w:t>
      </w:r>
    </w:p>
    <w:p w14:paraId="03539D2E" w14:textId="228AF63A" w:rsidR="00370883" w:rsidRPr="00E0133D" w:rsidRDefault="00370883" w:rsidP="00370883">
      <w:pPr>
        <w:jc w:val="center"/>
        <w:rPr>
          <w:caps/>
          <w:szCs w:val="24"/>
        </w:rPr>
      </w:pPr>
      <w:r>
        <w:rPr>
          <w:szCs w:val="24"/>
        </w:rPr>
        <w:t>VI.</w:t>
      </w:r>
      <w:r>
        <w:rPr>
          <w:szCs w:val="24"/>
        </w:rPr>
        <w:t>9</w:t>
      </w:r>
      <w:r>
        <w:rPr>
          <w:szCs w:val="24"/>
        </w:rPr>
        <w:t xml:space="preserve">. </w:t>
      </w:r>
      <w:r w:rsidRPr="00E0133D">
        <w:rPr>
          <w:szCs w:val="24"/>
        </w:rPr>
        <w:t xml:space="preserve">Necessity </w:t>
      </w:r>
      <w:r>
        <w:rPr>
          <w:szCs w:val="24"/>
        </w:rPr>
        <w:t>o</w:t>
      </w:r>
      <w:r w:rsidRPr="00E0133D">
        <w:rPr>
          <w:szCs w:val="24"/>
        </w:rPr>
        <w:t>f Residual Kriging</w:t>
      </w:r>
    </w:p>
    <w:p w14:paraId="39C1987F" w14:textId="49640B56" w:rsidR="00370883" w:rsidRPr="00E0133D" w:rsidRDefault="00370883" w:rsidP="00370883">
      <w:pPr>
        <w:ind w:firstLine="720"/>
        <w:rPr>
          <w:caps/>
          <w:szCs w:val="24"/>
        </w:rPr>
      </w:pPr>
      <w:r w:rsidRPr="00E0133D">
        <w:rPr>
          <w:szCs w:val="24"/>
        </w:rPr>
        <w:t xml:space="preserve">The advent of satellite monitoring systems has also contributed significantly to ozone modeling by supplying remote sensing data that is crucial for large-scale atmospheric studies. Instruments like the total ozone mapping spectrometer (toms) and the more recent Sentinel-5P satellite offer invaluable datasets that track ozone and its precursors at a global level. These data, however, are subject to spatial limitations and are constrained by their resolution, particularly in densely populated or topographically diverse regions where ozone variability can be substantial. Satellite data alone cannot achieve the spatial and temporal precision needed for accurate, localized exposure assessments. However, the integration of satellite data with the RK method opens new possibilities. By applying residual kriging to the baseline satellite data, we can account for local variability and </w:t>
      </w:r>
      <w:r w:rsidRPr="00E0133D">
        <w:rPr>
          <w:szCs w:val="24"/>
        </w:rPr>
        <w:lastRenderedPageBreak/>
        <w:t>improve upon the spatial resolution, rendering the dataset much more useful for high-resolution historical and current-day models. This enhancement is particularly promising for bridging the gap in ozone data quality from 1980 to the present, enabling continuous historical models that track monthly and daily ozone variations across decades.</w:t>
      </w:r>
      <w:r w:rsidRPr="00370883">
        <w:rPr>
          <w:szCs w:val="24"/>
        </w:rPr>
        <w:t xml:space="preserve"> </w:t>
      </w:r>
      <w:r w:rsidRPr="00E0133D">
        <w:rPr>
          <w:szCs w:val="24"/>
        </w:rPr>
        <w:t>The pursuit of high spatial resolution O</w:t>
      </w:r>
      <w:r w:rsidRPr="00E0133D">
        <w:rPr>
          <w:szCs w:val="24"/>
          <w:vertAlign w:val="subscript"/>
        </w:rPr>
        <w:t>3</w:t>
      </w:r>
      <w:r w:rsidRPr="00E0133D">
        <w:rPr>
          <w:szCs w:val="24"/>
        </w:rPr>
        <w:t xml:space="preserve"> models may represent a landmark methodology</w:t>
      </w:r>
      <w:r w:rsidRPr="00E0133D">
        <w:rPr>
          <w:caps/>
          <w:szCs w:val="24"/>
        </w:rPr>
        <w:t xml:space="preserve"> </w:t>
      </w:r>
      <w:r w:rsidRPr="00E0133D">
        <w:rPr>
          <w:szCs w:val="24"/>
        </w:rPr>
        <w:t>for GIS users. This ambition, driven by the imperative need for readily available, accurate, spatial-temporal based data has only become attainable due to advances in technology. Particularly, the availability of Big Data like TOAR/Google Earth Engine, application of spatial uncertainty into ML/AI representations of satellite data, and overall improvement of programming language syntaxes (Python 3.12.x, Java 8.x, R 4.x, SQL Server 2022, etc.).</w:t>
      </w:r>
    </w:p>
    <w:p w14:paraId="01841ACF" w14:textId="7CCA98C4" w:rsidR="00370883" w:rsidRPr="00370883" w:rsidRDefault="00370883" w:rsidP="00370883">
      <w:pPr>
        <w:pStyle w:val="NoSpacing"/>
        <w:jc w:val="center"/>
        <w:rPr>
          <w:i w:val="0"/>
          <w:iCs/>
        </w:rPr>
      </w:pPr>
    </w:p>
    <w:p w14:paraId="2EF51A03" w14:textId="0B148BD8" w:rsidR="00260190" w:rsidRDefault="00260190" w:rsidP="00370883">
      <w:pPr>
        <w:overflowPunct/>
        <w:autoSpaceDE/>
        <w:autoSpaceDN/>
        <w:adjustRightInd/>
        <w:spacing w:after="160" w:line="278" w:lineRule="auto"/>
        <w:rPr>
          <w:iCs/>
          <w:szCs w:val="24"/>
        </w:rPr>
      </w:pPr>
      <w:r>
        <w:rPr>
          <w:iCs/>
          <w:szCs w:val="24"/>
        </w:rPr>
        <w:br w:type="page"/>
      </w:r>
    </w:p>
    <w:p w14:paraId="3BB165B8" w14:textId="789C5AF1" w:rsidR="0098180C" w:rsidRDefault="00C94DD2" w:rsidP="00C94DD2">
      <w:pPr>
        <w:jc w:val="center"/>
        <w:rPr>
          <w:iCs/>
          <w:szCs w:val="24"/>
        </w:rPr>
      </w:pPr>
      <w:r>
        <w:rPr>
          <w:iCs/>
          <w:szCs w:val="24"/>
        </w:rPr>
        <w:lastRenderedPageBreak/>
        <w:t>Citations</w:t>
      </w:r>
    </w:p>
    <w:p w14:paraId="5B006526" w14:textId="77777777" w:rsidR="001F6162" w:rsidRPr="00EA648D" w:rsidRDefault="00C94DD2" w:rsidP="00EA648D">
      <w:pPr>
        <w:pStyle w:val="Bibliography"/>
        <w:ind w:left="382" w:right="22" w:hanging="360"/>
        <w:rPr>
          <w:szCs w:val="24"/>
        </w:rPr>
      </w:pPr>
      <w:r w:rsidRPr="00EA648D">
        <w:rPr>
          <w:szCs w:val="24"/>
        </w:rPr>
        <w:fldChar w:fldCharType="begin"/>
      </w:r>
      <w:r w:rsidR="001F6162" w:rsidRPr="00EA648D">
        <w:rPr>
          <w:szCs w:val="24"/>
        </w:rPr>
        <w:instrText xml:space="preserve"> ADDIN ZOTERO_BIBL {"uncited":[],"omitted":[["http://zotero.org/users/15391371/items/VLU6IFCB"],["http://zotero.org/users/15391371/items/VYNDMUZ8"]],"custom":[]} CSL_BIBLIOGRAPHY </w:instrText>
      </w:r>
      <w:r w:rsidRPr="00EA648D">
        <w:rPr>
          <w:szCs w:val="24"/>
        </w:rPr>
        <w:fldChar w:fldCharType="separate"/>
      </w:r>
      <w:r w:rsidR="001F6162" w:rsidRPr="00EA648D">
        <w:rPr>
          <w:szCs w:val="24"/>
        </w:rPr>
        <w:t>Abasilim, Chibuzor, and Lee S. Friedman. 2022. “Comparison of Health Outcomes from Heat-Related Injuries by National Weather Service Reported Heat Wave Days and Non-Heat Wave Days - Illinois, 2013-2019.” INTERNATIONAL JOURNAL OF BIOMETEOROLOGY 66 (3): 641–45. doi:10.1007/s00484-021-02218-6.</w:t>
      </w:r>
    </w:p>
    <w:p w14:paraId="39355286" w14:textId="77777777" w:rsidR="001F6162" w:rsidRPr="00EA648D" w:rsidRDefault="001F6162" w:rsidP="00EA648D">
      <w:pPr>
        <w:pStyle w:val="Bibliography"/>
        <w:ind w:left="382" w:right="22" w:hanging="360"/>
        <w:rPr>
          <w:szCs w:val="24"/>
        </w:rPr>
      </w:pPr>
      <w:r w:rsidRPr="00EA648D">
        <w:rPr>
          <w:szCs w:val="24"/>
        </w:rPr>
        <w:t>Abdullah, Samsuri, Najihah Husna Ahmad Nasir, Marzuki Ismail, Ali Najah Ahmed, and Mohamad Nor Khasbi Jarkoni. 2019. “Development of Ozone Prediction Model in Urban Area.” International Journal of Innovative Technology and Exploring Engineering 8 (10): 2263–67. doi:10.35940/ijitee.J1127.0881019.</w:t>
      </w:r>
    </w:p>
    <w:p w14:paraId="4DABB1D9" w14:textId="77777777" w:rsidR="001F6162" w:rsidRPr="00EA648D" w:rsidRDefault="001F6162" w:rsidP="00EA648D">
      <w:pPr>
        <w:pStyle w:val="Bibliography"/>
        <w:ind w:left="382" w:right="22" w:hanging="360"/>
        <w:rPr>
          <w:szCs w:val="24"/>
        </w:rPr>
      </w:pPr>
      <w:r w:rsidRPr="00EA648D">
        <w:rPr>
          <w:szCs w:val="24"/>
        </w:rPr>
        <w:t>Akhter, Hasina, Carol Ballinger, Nianjun Liu, Thomas van Groen, Edward M. Postlethwait, and Rui-Ming Liu. 2015. “Cyclic Ozone Exposure Induces Gender-Dependent Neuropathology and Memory Decline in an Animal Model of Alzheimer’s Disease.” Toxicological Sciences: An Official Journal of the Society of Toxicology 147 (1): 222–34. doi:10.1093/toxsci/kfv124.</w:t>
      </w:r>
    </w:p>
    <w:p w14:paraId="4ED2C37F" w14:textId="77777777" w:rsidR="001F6162" w:rsidRPr="00EA648D" w:rsidRDefault="001F6162" w:rsidP="00EA648D">
      <w:pPr>
        <w:pStyle w:val="Bibliography"/>
        <w:ind w:left="382" w:right="22" w:hanging="360"/>
        <w:rPr>
          <w:szCs w:val="24"/>
        </w:rPr>
      </w:pPr>
      <w:r w:rsidRPr="00EA648D">
        <w:rPr>
          <w:szCs w:val="24"/>
        </w:rPr>
        <w:t>Alexis, Neil E., John C. Lay, Milan Hazucha, Bradford Harris, Michelle L. Hernandez, Philip A. Bromberg, Howard Kehrl, et al. 2010. “Low-Level Ozone Exposure Induces Airways Inflammation and Modifies Cell Surface Phenotypes in Healthy Humans.” INHALATION TOXICOLOGY 22 (7): 593–600. doi:10.3109/08958371003596587.</w:t>
      </w:r>
    </w:p>
    <w:p w14:paraId="06A2CE09" w14:textId="77777777" w:rsidR="001F6162" w:rsidRPr="00EA648D" w:rsidRDefault="001F6162" w:rsidP="00EA648D">
      <w:pPr>
        <w:pStyle w:val="Bibliography"/>
        <w:ind w:left="382" w:right="22" w:hanging="360"/>
        <w:rPr>
          <w:szCs w:val="24"/>
        </w:rPr>
      </w:pPr>
      <w:r w:rsidRPr="00EA648D">
        <w:rPr>
          <w:szCs w:val="24"/>
        </w:rPr>
        <w:t>Anbari, Khatereh, Yusef Omidi Khaniabadi, Pierre Sicard, Hasan Raja Naqvi, and Rajab Rashidi. 2022. “Increased Tropospheric Ozone Levels as a Public Health Issue during COVID-19 Lockdown and Estimation the Related Pulmonary Diseases.” Atmospheric Pollution Research 13 (12): 101600. doi:10.1016/j.apr.2022.101600.</w:t>
      </w:r>
    </w:p>
    <w:p w14:paraId="2EC6DC27" w14:textId="77777777" w:rsidR="001F6162" w:rsidRPr="00EA648D" w:rsidRDefault="001F6162" w:rsidP="00EA648D">
      <w:pPr>
        <w:pStyle w:val="Bibliography"/>
        <w:ind w:left="382" w:right="22" w:hanging="360"/>
        <w:rPr>
          <w:szCs w:val="24"/>
        </w:rPr>
      </w:pPr>
      <w:r w:rsidRPr="00EA648D">
        <w:rPr>
          <w:szCs w:val="24"/>
        </w:rPr>
        <w:t>Anenberg, Susan C., Daven K. Henze, Veronica Tinney, Patrick L. Kinney, William Raich, Neal Fann, Chris S. Malley, et al. 2018. “Estimates of the Global Burden of Ambient PM2.5, Ozone, and NO2 on Asthma Incidence and Emergency Room Visits.” Environmental Health Perspectives 126 (10). Environmental Health Perspectives: 107004. doi:10.1289/EHP3766.</w:t>
      </w:r>
    </w:p>
    <w:p w14:paraId="1DF89671" w14:textId="77777777" w:rsidR="001F6162" w:rsidRPr="00EA648D" w:rsidRDefault="001F6162" w:rsidP="00EA648D">
      <w:pPr>
        <w:pStyle w:val="Bibliography"/>
        <w:ind w:left="382" w:right="22" w:hanging="360"/>
        <w:rPr>
          <w:szCs w:val="24"/>
        </w:rPr>
      </w:pPr>
      <w:r w:rsidRPr="00EA648D">
        <w:rPr>
          <w:szCs w:val="24"/>
        </w:rPr>
        <w:t>Anenberg, Susan C, Arash Mohegh, Daniel L Goldberg, Gaige H Kerr, Michael Brauer, Katrin Burkart, Perry Hystad, Andrew Larkin, Sarah Wozniak, and Lok Lamsal. 2022. “Long-Term Trends in Urban NO2 Concentrations and Associated Paediatric Asthma Incidence: Estimates from Global Datasets.” The Lancet Planetary Health 6 (1): e49–58. doi:10.1016/S2542-5196(21)00255-2.</w:t>
      </w:r>
    </w:p>
    <w:p w14:paraId="64B03175" w14:textId="77777777" w:rsidR="001F6162" w:rsidRPr="00EA648D" w:rsidRDefault="001F6162" w:rsidP="00EA648D">
      <w:pPr>
        <w:pStyle w:val="Bibliography"/>
        <w:ind w:left="382" w:right="22" w:hanging="360"/>
        <w:rPr>
          <w:szCs w:val="24"/>
        </w:rPr>
      </w:pPr>
      <w:r w:rsidRPr="00EA648D">
        <w:rPr>
          <w:szCs w:val="24"/>
        </w:rPr>
        <w:t>Balamurugan, Vigneshkumar, Vinothkumar Balamurugan, and Jia Chen. 2022. “Importance of Ozone Precursors Information in Modelling Urban Surface Ozone Variability Using Machine Learning Algorithm.” Scientific Reports 12 (1). Nature Publishing Group: 5646. doi:10.1038/s41598-022-09619-6.</w:t>
      </w:r>
    </w:p>
    <w:p w14:paraId="56664F7C" w14:textId="77777777" w:rsidR="001F6162" w:rsidRPr="00EA648D" w:rsidRDefault="001F6162" w:rsidP="00EA648D">
      <w:pPr>
        <w:pStyle w:val="Bibliography"/>
        <w:ind w:left="382" w:right="22" w:hanging="360"/>
        <w:rPr>
          <w:szCs w:val="24"/>
        </w:rPr>
      </w:pPr>
      <w:r w:rsidRPr="00EA648D">
        <w:rPr>
          <w:szCs w:val="24"/>
        </w:rPr>
        <w:t>Ballester, EB, GCI Valls, JL Carrasco-Rodriguez, ES Olivas, and S del Valle-Tascon. 2002. “Effective 1-Day Ahead Prediction of Hourly Surface Ozone Concentrations in Eastern Spain Using Linear Models and Neural Networks.” ECOLOGICAL MODELLING 156 (1): 27–41.</w:t>
      </w:r>
    </w:p>
    <w:p w14:paraId="2E043D29" w14:textId="77777777" w:rsidR="001F6162" w:rsidRPr="00EA648D" w:rsidRDefault="001F6162" w:rsidP="00EA648D">
      <w:pPr>
        <w:pStyle w:val="Bibliography"/>
        <w:ind w:left="382" w:right="22" w:hanging="360"/>
        <w:rPr>
          <w:szCs w:val="24"/>
        </w:rPr>
      </w:pPr>
      <w:r w:rsidRPr="00EA648D">
        <w:rPr>
          <w:szCs w:val="24"/>
        </w:rPr>
        <w:lastRenderedPageBreak/>
        <w:t>Balmes, John R. 2019. “Long-Term Exposure to Ozone and Cardiopulmonary Mortality: Epidemiology Strikes Again.” American Journal of Respiratory and Critical Care Medicine 200 (8). American Thoracic Society - AJRCCM: 958–59. doi:10.1164/rccm.201906-1105ED.</w:t>
      </w:r>
    </w:p>
    <w:p w14:paraId="73AB240F" w14:textId="77777777" w:rsidR="001F6162" w:rsidRPr="00EA648D" w:rsidRDefault="001F6162" w:rsidP="00EA648D">
      <w:pPr>
        <w:pStyle w:val="Bibliography"/>
        <w:ind w:left="382" w:right="22" w:hanging="360"/>
        <w:rPr>
          <w:szCs w:val="24"/>
        </w:rPr>
      </w:pPr>
      <w:r w:rsidRPr="00EA648D">
        <w:rPr>
          <w:szCs w:val="24"/>
        </w:rPr>
        <w:t>Barath, Stefan, Jeremy P. Langrish, Magnus Lundbäck, Jenny A. Bosson, Colin Goudie, David E. Newby, Thomas Sandström, Nicholas L. Mills, and Anders Blomberg. 2013. “Short-Term Exposure to Ozone Does Not Impair Vascular Function or Affect Heart Rate Variability in Healthy Young Men.” Toxicological Sciences 135 (2): 292–99. doi:10.1093/toxsci/kft157.</w:t>
      </w:r>
    </w:p>
    <w:p w14:paraId="07934F4F" w14:textId="77777777" w:rsidR="001F6162" w:rsidRPr="00EA648D" w:rsidRDefault="001F6162" w:rsidP="00EA648D">
      <w:pPr>
        <w:pStyle w:val="Bibliography"/>
        <w:ind w:left="382" w:right="22" w:hanging="360"/>
        <w:rPr>
          <w:szCs w:val="24"/>
        </w:rPr>
      </w:pPr>
      <w:r w:rsidRPr="00EA648D">
        <w:rPr>
          <w:szCs w:val="24"/>
        </w:rPr>
        <w:t>Bell, Michelle L., Antonella Zanobetti, and Francesca Dominici. 2014. “Who Is More Affected by Ozone Pollution? A Systematic Review and Meta-Analysis.” American Journal of Epidemiology 180 (1): 15–28. doi:10.1093/aje/kwu115.</w:t>
      </w:r>
    </w:p>
    <w:p w14:paraId="395646EB" w14:textId="77777777" w:rsidR="001F6162" w:rsidRPr="00EA648D" w:rsidRDefault="001F6162" w:rsidP="00EA648D">
      <w:pPr>
        <w:pStyle w:val="Bibliography"/>
        <w:ind w:left="382" w:right="22" w:hanging="360"/>
        <w:rPr>
          <w:szCs w:val="24"/>
        </w:rPr>
      </w:pPr>
      <w:r w:rsidRPr="00EA648D">
        <w:rPr>
          <w:szCs w:val="24"/>
        </w:rPr>
        <w:t>Borja-Aburto, V. H., D. P. Loomis, S. I. Bangdiwala, C. M. Shy, and R. A. Rascon-Pacheco. 1997. “Ozone, Suspended Particulates, and Daily Mortality in Mexico City.” American Journal of Epidemiology 145 (3): 258–68. doi:10.1093/oxfordjournals.aje.a009099.</w:t>
      </w:r>
    </w:p>
    <w:p w14:paraId="3DEB6835" w14:textId="77777777" w:rsidR="001F6162" w:rsidRPr="00EA648D" w:rsidRDefault="001F6162" w:rsidP="00EA648D">
      <w:pPr>
        <w:pStyle w:val="Bibliography"/>
        <w:ind w:left="382" w:right="22" w:hanging="360"/>
        <w:rPr>
          <w:szCs w:val="24"/>
        </w:rPr>
      </w:pPr>
      <w:r w:rsidRPr="00EA648D">
        <w:rPr>
          <w:szCs w:val="24"/>
        </w:rPr>
        <w:t>Bourgeois, Ilann, Jeff Peischl, Chelsea R. Thompson, Kenneth C. Aikin, Teresa Campos, Hannah Clark, Róisín Commane, et al. 2020. “Global-Scale Distribution of Ozone in the Remote Troposphere from the ATom and HIPPO Airborne Field Missions.” Atmospheric Chemistry and Physics 20 (17): 10611–35. doi:10.5194/acp-20-10611-2020.</w:t>
      </w:r>
    </w:p>
    <w:p w14:paraId="0B0993FF" w14:textId="77777777" w:rsidR="001F6162" w:rsidRPr="00EA648D" w:rsidRDefault="001F6162" w:rsidP="00EA648D">
      <w:pPr>
        <w:pStyle w:val="Bibliography"/>
        <w:ind w:left="382" w:right="22" w:hanging="360"/>
        <w:rPr>
          <w:szCs w:val="24"/>
        </w:rPr>
      </w:pPr>
      <w:r w:rsidRPr="00EA648D">
        <w:rPr>
          <w:szCs w:val="24"/>
        </w:rPr>
        <w:t>Braik, Malik, Alaa Sheta, Elvira Kovac-Andric, Heba Al-Hiary, Sultan Aljahdali, Walaa H. Elashmawi, Mohammed A. Awadallah, and Mohammed Azmi Al-Betar. 2024. “Predicting Surface Ozone Levels in Eastern Croatia: Leveraging Recurrent Fuzzy Neural Networks with Grasshopper Optimization Algorithm.” WATER AIR AND SOIL POLLUTION 235 (10). doi:10.1007/s11270-024-07378-w.</w:t>
      </w:r>
    </w:p>
    <w:p w14:paraId="097F4FD8" w14:textId="77777777" w:rsidR="001F6162" w:rsidRPr="00EA648D" w:rsidRDefault="001F6162" w:rsidP="00EA648D">
      <w:pPr>
        <w:pStyle w:val="Bibliography"/>
        <w:ind w:left="382" w:right="22" w:hanging="360"/>
        <w:rPr>
          <w:szCs w:val="24"/>
        </w:rPr>
      </w:pPr>
      <w:r w:rsidRPr="00EA648D">
        <w:rPr>
          <w:szCs w:val="24"/>
        </w:rPr>
        <w:t>Chen, Chen, Tiantian Li, Qinghua Sun, Wanying Shi, Mike Z. He, Jiaonan Wang, Jing Liu, et al. 2023. “Short-Term Exposure to Ozone and Cause-Specific Mortality Risks and Thresholds in China: Evidence from Nationally Representative Data, 2013-2018.” Environment International 171 (January): 107666. doi:10.1016/j.envint.2022.107666.</w:t>
      </w:r>
    </w:p>
    <w:p w14:paraId="7426B967" w14:textId="77777777" w:rsidR="001F6162" w:rsidRPr="00EA648D" w:rsidRDefault="001F6162" w:rsidP="00EA648D">
      <w:pPr>
        <w:pStyle w:val="Bibliography"/>
        <w:ind w:left="382" w:right="22" w:hanging="360"/>
        <w:rPr>
          <w:szCs w:val="24"/>
        </w:rPr>
      </w:pPr>
      <w:r w:rsidRPr="00EA648D">
        <w:rPr>
          <w:szCs w:val="24"/>
        </w:rPr>
        <w:t>Chen, Lulu, Ruijing Ni, Mengyao Liu, Jingxu Wang, Hongjian Weng, Hao Kong, and Jintai Lin. 2019. “Changes in Global Surface Ozone and Health Implications over the Past Decades.” Geophysical Research Abstracts 21 (January). Copernicus Gesellschaft mbH: 1–1.</w:t>
      </w:r>
    </w:p>
    <w:p w14:paraId="0CA39D81" w14:textId="77777777" w:rsidR="001F6162" w:rsidRPr="00EA648D" w:rsidRDefault="001F6162" w:rsidP="00EA648D">
      <w:pPr>
        <w:pStyle w:val="Bibliography"/>
        <w:ind w:left="382" w:right="22" w:hanging="360"/>
        <w:rPr>
          <w:szCs w:val="24"/>
        </w:rPr>
      </w:pPr>
      <w:r w:rsidRPr="00EA648D">
        <w:rPr>
          <w:szCs w:val="24"/>
        </w:rPr>
        <w:t>De Marco, Alessandra, Hector Garcia-Gomez, Alessio Collalti, Yusef Omidi Khaniabadi, Zhaozhong Feng, Chiara Proietti, Pierre Sicard, Marcello Vitale, Alessandro Anav, and Elena Paoletti. 2022. “Ozone Modelling and Mapping for Risk Assessment: An Overview of Different Approaches for Human and Ecosystems Health.” Environmental Research 211 (August): 113048. doi:10.1016/j.envres.2022.113048.</w:t>
      </w:r>
    </w:p>
    <w:p w14:paraId="7BDE25B7" w14:textId="77777777" w:rsidR="001F6162" w:rsidRPr="00EA648D" w:rsidRDefault="001F6162" w:rsidP="00EA648D">
      <w:pPr>
        <w:pStyle w:val="Bibliography"/>
        <w:ind w:left="382" w:right="22" w:hanging="360"/>
        <w:rPr>
          <w:szCs w:val="24"/>
        </w:rPr>
      </w:pPr>
      <w:r w:rsidRPr="00EA648D">
        <w:rPr>
          <w:szCs w:val="24"/>
        </w:rPr>
        <w:t xml:space="preserve">Di Baldassarre, Giuliano, Daniel Nohrstedt, Johanna Mård, Steffi Burchardt, Cecilia Albin, Sara Bondesson, Korbinian Breinl, et al. 2018. “An Integrative </w:t>
      </w:r>
      <w:r w:rsidRPr="00EA648D">
        <w:rPr>
          <w:szCs w:val="24"/>
        </w:rPr>
        <w:lastRenderedPageBreak/>
        <w:t>Research Framework to Unravel the Interplay of Natural Hazards and Vulnerabilities.” Earth’s Future 6 (3): 305–10. doi:10.1002/2017EF000764.</w:t>
      </w:r>
    </w:p>
    <w:p w14:paraId="1459E51B" w14:textId="77777777" w:rsidR="001F6162" w:rsidRPr="00EA648D" w:rsidRDefault="001F6162" w:rsidP="00EA648D">
      <w:pPr>
        <w:pStyle w:val="Bibliography"/>
        <w:ind w:left="382" w:right="22" w:hanging="360"/>
        <w:rPr>
          <w:szCs w:val="24"/>
        </w:rPr>
      </w:pPr>
      <w:r w:rsidRPr="00EA648D">
        <w:rPr>
          <w:szCs w:val="24"/>
        </w:rPr>
        <w:t>Díaz, Julio, Cristina Ortiz, Isabel Falcón, Coral Salvador, and Cristina Linares. 2018. “Short-Term Effect of Tropospheric Ozone on Daily Mortality in Spain.” Atmospheric Environment 187 (August): 107–16. doi:10.1016/j.atmosenv.2018.05.059.</w:t>
      </w:r>
    </w:p>
    <w:p w14:paraId="57B6E797" w14:textId="77777777" w:rsidR="001F6162" w:rsidRPr="00EA648D" w:rsidRDefault="001F6162" w:rsidP="00EA648D">
      <w:pPr>
        <w:pStyle w:val="Bibliography"/>
        <w:ind w:left="382" w:right="22" w:hanging="360"/>
        <w:rPr>
          <w:szCs w:val="24"/>
        </w:rPr>
      </w:pPr>
      <w:r w:rsidRPr="00EA648D">
        <w:rPr>
          <w:szCs w:val="24"/>
        </w:rPr>
        <w:t>Duncan, Bryan N., Ana I. Prados, Lok N. Lamsal, Yang Liu, David G. Streets, Pawan Gupta, Ernest Hilsenrath, et al. 2014. “Satellite Data of Atmospheric Pollution for U.S. Air Quality Applications: Examples of Applications, Summary of Data End-User Resources, Answers to FAQs, and Common Mistakes to Avoid.” Atmospheric Environment 94 (September): 647–62. doi:10.1016/j.atmosenv.2014.05.061.</w:t>
      </w:r>
    </w:p>
    <w:p w14:paraId="1EDF8132" w14:textId="77777777" w:rsidR="001F6162" w:rsidRPr="00EA648D" w:rsidRDefault="001F6162" w:rsidP="00EA648D">
      <w:pPr>
        <w:pStyle w:val="Bibliography"/>
        <w:ind w:left="382" w:right="22" w:hanging="360"/>
        <w:rPr>
          <w:szCs w:val="24"/>
        </w:rPr>
      </w:pPr>
      <w:r w:rsidRPr="00EA648D">
        <w:rPr>
          <w:szCs w:val="24"/>
        </w:rPr>
        <w:t>Ermagun, Alireza, Virginia Smith, and Fatemeh Janatabadi. 2024. “High Urban Flood Risk and No Shelter Access Disproportionally Impacts Vulnerable Communities in the USA.” COMMUNICATIONS EARTH &amp; ENVIRONMENT 5 (1). doi:10.1038/s43247-023-01165-x.</w:t>
      </w:r>
    </w:p>
    <w:p w14:paraId="7F6C1FDF" w14:textId="77777777" w:rsidR="001F6162" w:rsidRPr="00EA648D" w:rsidRDefault="001F6162" w:rsidP="00EA648D">
      <w:pPr>
        <w:pStyle w:val="Bibliography"/>
        <w:ind w:left="382" w:right="22" w:hanging="360"/>
        <w:rPr>
          <w:szCs w:val="24"/>
        </w:rPr>
      </w:pPr>
      <w:r w:rsidRPr="00EA648D">
        <w:rPr>
          <w:szCs w:val="24"/>
        </w:rPr>
        <w:t>Fuller, Richard, Philip J Landrigan, Kalpana Balakrishnan, Glynda Bathan, Stephan Bose-O’Reilly, Michael Brauer, Jack Caravanos, et al. 2022. “Pollution and Health: A Progress Update.” The Lancet Planetary Health 6 (6): e535–47. doi:10.1016/S2542-5196(22)00090-0.</w:t>
      </w:r>
    </w:p>
    <w:p w14:paraId="720F9D81" w14:textId="77777777" w:rsidR="001F6162" w:rsidRPr="00EA648D" w:rsidRDefault="001F6162" w:rsidP="00EA648D">
      <w:pPr>
        <w:pStyle w:val="Bibliography"/>
        <w:ind w:left="382" w:right="22" w:hanging="360"/>
        <w:rPr>
          <w:szCs w:val="24"/>
        </w:rPr>
      </w:pPr>
      <w:r w:rsidRPr="00EA648D">
        <w:rPr>
          <w:szCs w:val="24"/>
        </w:rPr>
        <w:t>Gao, Qi, Emma Zang, Jun Bi, Robert Dubrow, Sarah R. Lowe, Huashuai Chen, Yi Zeng, Liuhua Shi, and Kai Chen. 2022. “Long-Term Ozone Exposure and Cognitive Impairment among Chinese Older Adults: A Cohort Study.” Environment International 160 (February): 107072. doi:10.1016/j.envint.2021.107072.</w:t>
      </w:r>
    </w:p>
    <w:p w14:paraId="5C1A427E" w14:textId="77777777" w:rsidR="001F6162" w:rsidRPr="00EA648D" w:rsidRDefault="001F6162" w:rsidP="00EA648D">
      <w:pPr>
        <w:pStyle w:val="Bibliography"/>
        <w:ind w:left="382" w:right="22" w:hanging="360"/>
        <w:rPr>
          <w:szCs w:val="24"/>
        </w:rPr>
      </w:pPr>
      <w:r w:rsidRPr="00EA648D">
        <w:rPr>
          <w:szCs w:val="24"/>
        </w:rPr>
        <w:t>Gaudel, A., O. R. Cooper, G. Ancellet, B. Barret, A. Boynard, J. P. Burrows, C. Clerbaux, et al. 2018. “Tropospheric Ozone Assessment Report: Present-Day Distribution and Trends of Tropospheric Ozone Relevant to Climate and Global Atmospheric Chemistry Model Evaluation.” Edited by Detlev Helmig and Alastair Lewis. Elementa: Science of the Anthropocene 6 (January): 39. doi:10.1525/elementa.291.</w:t>
      </w:r>
    </w:p>
    <w:p w14:paraId="7675B383" w14:textId="77777777" w:rsidR="001F6162" w:rsidRPr="00EA648D" w:rsidRDefault="001F6162" w:rsidP="00EA648D">
      <w:pPr>
        <w:pStyle w:val="Bibliography"/>
        <w:ind w:left="382" w:right="22" w:hanging="360"/>
        <w:rPr>
          <w:szCs w:val="24"/>
        </w:rPr>
      </w:pPr>
      <w:r w:rsidRPr="00EA648D">
        <w:rPr>
          <w:szCs w:val="24"/>
        </w:rPr>
        <w:t>Geels, C, C Andersson, O Hänninen, AS Lanso, PE Schwarze, CA Skjoth, and J Brandt. 2015. “Future Premature Mortality Due to O3, Secondary Inorganic Aerosols and Primary PM in Europe - Sensitivity to Changes in Climate, Anthropogenic Emissions, Population and Building Stock.” INTERNATIONAL JOURNAL OF ENVIRONMENTAL RESEARCH AND PUBLIC HEALTH 12 (3): 2837–69. doi:10.3390/ijerph120302837.</w:t>
      </w:r>
    </w:p>
    <w:p w14:paraId="1C749D55" w14:textId="77777777" w:rsidR="001F6162" w:rsidRPr="00EA648D" w:rsidRDefault="001F6162" w:rsidP="00EA648D">
      <w:pPr>
        <w:pStyle w:val="Bibliography"/>
        <w:ind w:left="382" w:right="22" w:hanging="360"/>
        <w:rPr>
          <w:szCs w:val="24"/>
        </w:rPr>
      </w:pPr>
      <w:r w:rsidRPr="00EA648D">
        <w:rPr>
          <w:szCs w:val="24"/>
        </w:rPr>
        <w:t>Ghazali, Nurul Adyani, Nor Azam Ramli, Ahmad Shukri Yahaya, Noor Faizah Fitri Md Yusof, Nurulilyana Sansuddin, and Wesam Ahmed Al Madhoun. 2010. “Transformation of Nitrogen Dioxide into Ozone and Prediction of Ozone Concentrations Using Multiple Linear Regression Techniques.” Environmental Monitoring and Assessment 165 (1–4): 475–89. doi:10.1007/s10661-009-0960-3.</w:t>
      </w:r>
    </w:p>
    <w:p w14:paraId="40C4795B" w14:textId="77777777" w:rsidR="001F6162" w:rsidRPr="00EA648D" w:rsidRDefault="001F6162" w:rsidP="00EA648D">
      <w:pPr>
        <w:pStyle w:val="Bibliography"/>
        <w:ind w:left="382" w:right="22" w:hanging="360"/>
        <w:rPr>
          <w:szCs w:val="24"/>
        </w:rPr>
      </w:pPr>
      <w:r w:rsidRPr="00EA648D">
        <w:rPr>
          <w:szCs w:val="24"/>
        </w:rPr>
        <w:t xml:space="preserve">Goodman, Julie E., Ke Zu, Christine T. Loftus, Heather N. Lynch, Robyn L. Prueitt, Isaac Mohar, Sara Pacheco Shubin, and Sonja N. Sax. 2018. “Short-Term Ozone </w:t>
      </w:r>
      <w:r w:rsidRPr="00EA648D">
        <w:rPr>
          <w:szCs w:val="24"/>
        </w:rPr>
        <w:lastRenderedPageBreak/>
        <w:t>Exposure and Asthma Severity: Weight-of-Evidence Analysis.” Environmental Research 160 (January): 391–97. doi:10.1016/j.envres.2017.10.018.</w:t>
      </w:r>
    </w:p>
    <w:p w14:paraId="4C7069BB" w14:textId="77777777" w:rsidR="001F6162" w:rsidRPr="00EA648D" w:rsidRDefault="001F6162" w:rsidP="00EA648D">
      <w:pPr>
        <w:pStyle w:val="Bibliography"/>
        <w:ind w:left="382" w:right="22" w:hanging="360"/>
        <w:rPr>
          <w:szCs w:val="24"/>
        </w:rPr>
      </w:pPr>
      <w:r w:rsidRPr="00EA648D">
        <w:rPr>
          <w:szCs w:val="24"/>
        </w:rPr>
        <w:t>Heal, Mathew R., Clare Heaviside, Ruth M. Doherty, Massimo Vieno, David S. Stevenson, and Sotiris Vardoulakis. 2013. “Health Burdens of Surface Ozone in the UK for a Range of Future Scenarios.” ENVIRONMENT INTERNATIONAL 61 (November): 36–44. doi:10.1016/j.envint.2013.09.010.</w:t>
      </w:r>
    </w:p>
    <w:p w14:paraId="0F950454" w14:textId="77777777" w:rsidR="001F6162" w:rsidRPr="00EA648D" w:rsidRDefault="001F6162" w:rsidP="00EA648D">
      <w:pPr>
        <w:pStyle w:val="Bibliography"/>
        <w:ind w:left="382" w:right="22" w:hanging="360"/>
        <w:rPr>
          <w:szCs w:val="24"/>
        </w:rPr>
      </w:pPr>
      <w:r w:rsidRPr="00EA648D">
        <w:rPr>
          <w:szCs w:val="24"/>
        </w:rPr>
        <w:t>Hoek, Gerard, Joel D. Schwartz, Bernard Groot, and Paul Eilers. 1997. “Effects of Ambient Particulate Matter and Ozone on Daily Mortality in Rotterdam, the Netherlands.” Archives of Environmental Health: An International Journal 52 (6): 455–63. doi:10.1080/00039899709602224.</w:t>
      </w:r>
    </w:p>
    <w:p w14:paraId="62D3B260" w14:textId="77777777" w:rsidR="001F6162" w:rsidRPr="00EA648D" w:rsidRDefault="001F6162" w:rsidP="00EA648D">
      <w:pPr>
        <w:pStyle w:val="Bibliography"/>
        <w:ind w:left="382" w:right="22" w:hanging="360"/>
        <w:rPr>
          <w:szCs w:val="24"/>
        </w:rPr>
      </w:pPr>
      <w:r w:rsidRPr="00EA648D">
        <w:rPr>
          <w:szCs w:val="24"/>
        </w:rPr>
        <w:t>Honrath, Richard E., Yaoxian Huang, Shiliang Wu, Louisa J. Kramer, and Detlev Helmig. 2017. “Surface Ozone and Its Precursors at Summit, Greenland: Comparison between Observations and Model Simulations.” Atmospheric Chemistry and Physics 17 (23): 14661–74. doi:10.5194/acp-17-14661-2017.</w:t>
      </w:r>
    </w:p>
    <w:p w14:paraId="6E6EFEFD" w14:textId="77777777" w:rsidR="001F6162" w:rsidRPr="00EA648D" w:rsidRDefault="001F6162" w:rsidP="00EA648D">
      <w:pPr>
        <w:pStyle w:val="Bibliography"/>
        <w:ind w:left="382" w:right="22" w:hanging="360"/>
        <w:rPr>
          <w:szCs w:val="24"/>
        </w:rPr>
      </w:pPr>
      <w:r w:rsidRPr="00EA648D">
        <w:rPr>
          <w:szCs w:val="24"/>
        </w:rPr>
        <w:t>Hsu, Angel, Glenn Sheriff, Tirthankar Chakraborty, and Diego Manya. 2021. “Disproportionate Exposure to Urban Heat Island Intensity across Major US Cities.” Nature Communications 12 (1): 2721. doi:10.1038/s41467-021-22799-5.</w:t>
      </w:r>
    </w:p>
    <w:p w14:paraId="33392240" w14:textId="77777777" w:rsidR="001F6162" w:rsidRPr="00EA648D" w:rsidRDefault="001F6162" w:rsidP="00EA648D">
      <w:pPr>
        <w:pStyle w:val="Bibliography"/>
        <w:ind w:left="382" w:right="22" w:hanging="360"/>
        <w:rPr>
          <w:szCs w:val="24"/>
        </w:rPr>
      </w:pPr>
      <w:r w:rsidRPr="00EA648D">
        <w:rPr>
          <w:szCs w:val="24"/>
        </w:rPr>
        <w:t>Hu, Yi, Jinfeng Wang, Xiaohong Li, Dan Ren, Luke Driskell, and Jun Zhu. 2012. “Exploring Geological and Socio-Demographic Factors Associated with under-Five Mortality in the Wenchuan Earthquake Using Neural Network Model.” INTERNATIONAL JOURNAL OF ENVIRONMENTAL HEALTH RESEARCH 22 (2): 184–96. doi:10.1080/09603123.2011.613113.</w:t>
      </w:r>
    </w:p>
    <w:p w14:paraId="31E3D249" w14:textId="77777777" w:rsidR="001F6162" w:rsidRPr="00EA648D" w:rsidRDefault="001F6162" w:rsidP="00EA648D">
      <w:pPr>
        <w:pStyle w:val="Bibliography"/>
        <w:ind w:left="382" w:right="22" w:hanging="360"/>
        <w:rPr>
          <w:szCs w:val="24"/>
        </w:rPr>
      </w:pPr>
      <w:r w:rsidRPr="00EA648D">
        <w:rPr>
          <w:szCs w:val="24"/>
        </w:rPr>
        <w:t>Huang, Min, Gregory R. Carmichael, R. Bradley Pierce, Duseong S. Jo, Rokjin J. Park, Johannes Flemming, Louisa K. Emmons, et al. 2017. “Impact of Intercontinental Pollution Transport on North American Ozone Air Pollution: An HTAP Phase 2 Multi-Model Study.” Atmospheric Chemistry and Physics 17 (9): 5721–50. doi:10.5194/acp-17-5721-2017.</w:t>
      </w:r>
    </w:p>
    <w:p w14:paraId="0C06F69E" w14:textId="77777777" w:rsidR="001F6162" w:rsidRPr="00EA648D" w:rsidRDefault="001F6162" w:rsidP="00EA648D">
      <w:pPr>
        <w:pStyle w:val="Bibliography"/>
        <w:ind w:left="382" w:right="22" w:hanging="360"/>
        <w:rPr>
          <w:szCs w:val="24"/>
        </w:rPr>
      </w:pPr>
      <w:r w:rsidRPr="00EA648D">
        <w:rPr>
          <w:szCs w:val="24"/>
        </w:rPr>
        <w:t>Iglesias, Virginia, Anna E. Braswell, Matthew W. Rossi, Maxwell B. Joseph, Caitlin McShane, Megan Cattau, Michael J. Koontz, et al. 2021. “Risky Development: Increasing Exposure to Natural Hazards in the United States.” Earth’s Future 9 (7): e2020EF001795. doi:10.1029/2020EF001795.</w:t>
      </w:r>
    </w:p>
    <w:p w14:paraId="022FB271" w14:textId="77777777" w:rsidR="001F6162" w:rsidRPr="00EA648D" w:rsidRDefault="001F6162" w:rsidP="00EA648D">
      <w:pPr>
        <w:pStyle w:val="Bibliography"/>
        <w:ind w:left="382" w:right="22" w:hanging="360"/>
        <w:rPr>
          <w:szCs w:val="24"/>
        </w:rPr>
      </w:pPr>
      <w:r w:rsidRPr="00EA648D">
        <w:rPr>
          <w:szCs w:val="24"/>
        </w:rPr>
        <w:t>IPCC. 2022. Global Warming of 1.5°C: IPCC Special Report on Impacts of Global Warming of 1.5°C above Pre-Industrial Levels in Context of Strengthening Response to Climate Change, Sustainable Development, and Efforts to Eradicate Poverty. 1st ed. Cambridge University Press. doi:10.1017/9781009157940.</w:t>
      </w:r>
    </w:p>
    <w:p w14:paraId="7ADD3E83" w14:textId="77777777" w:rsidR="001F6162" w:rsidRPr="00EA648D" w:rsidRDefault="001F6162" w:rsidP="00EA648D">
      <w:pPr>
        <w:pStyle w:val="Bibliography"/>
        <w:ind w:left="382" w:right="22" w:hanging="360"/>
        <w:rPr>
          <w:szCs w:val="24"/>
        </w:rPr>
      </w:pPr>
      <w:r w:rsidRPr="00EA648D">
        <w:rPr>
          <w:szCs w:val="24"/>
        </w:rPr>
        <w:t>Ito, Kazuhiko, Samantha F. De Leon, and Morton Lippmann. 2005. “Associations Between Ozone and Daily Mortality: Analysis and Meta-Analysis.” Epidemiology 16 (4): 446–57. doi:10.1097/01.ede.0000165821.90114.7f.</w:t>
      </w:r>
    </w:p>
    <w:p w14:paraId="14B420E7" w14:textId="77777777" w:rsidR="001F6162" w:rsidRPr="00EA648D" w:rsidRDefault="001F6162" w:rsidP="00EA648D">
      <w:pPr>
        <w:pStyle w:val="Bibliography"/>
        <w:ind w:left="382" w:right="22" w:hanging="360"/>
        <w:rPr>
          <w:szCs w:val="24"/>
        </w:rPr>
      </w:pPr>
      <w:r w:rsidRPr="00EA648D">
        <w:rPr>
          <w:szCs w:val="24"/>
        </w:rPr>
        <w:t>Jahn, Sally, and Elke Hertig. 2022. “Using Clustering, Statistical Modeling, and Climate Change Projections to Analyze Recent and Future Region-Specific Compound Ozone and Temperature Burden Over Europe.” GeoHealth 6 (4): e2021GH000561. doi:10.1029/2021GH000561.</w:t>
      </w:r>
    </w:p>
    <w:p w14:paraId="5D5F0B51" w14:textId="77777777" w:rsidR="001F6162" w:rsidRPr="00EA648D" w:rsidRDefault="001F6162" w:rsidP="00EA648D">
      <w:pPr>
        <w:pStyle w:val="Bibliography"/>
        <w:ind w:left="382" w:right="22" w:hanging="360"/>
        <w:rPr>
          <w:szCs w:val="24"/>
        </w:rPr>
      </w:pPr>
      <w:r w:rsidRPr="00EA648D">
        <w:rPr>
          <w:szCs w:val="24"/>
        </w:rPr>
        <w:lastRenderedPageBreak/>
        <w:t>Javanmardi, Parviz, Pouran Morovati, Majid Farhadi, Sahar Geravandi, Yusef Omidi Khaniabadi, Kambiz Ahmadi Angali, Adewale Matthew Taiwo, et al. 2017. “Monitoring The Impact Of Ambient Ozone On Human Health Using Time Series Analysis And Air Quality Model Approaches.” Fresenius Environmental Bulletin 26 (November).</w:t>
      </w:r>
    </w:p>
    <w:p w14:paraId="2242149E" w14:textId="77777777" w:rsidR="001F6162" w:rsidRPr="00EA648D" w:rsidRDefault="001F6162" w:rsidP="00EA648D">
      <w:pPr>
        <w:pStyle w:val="Bibliography"/>
        <w:ind w:left="382" w:right="22" w:hanging="360"/>
        <w:rPr>
          <w:szCs w:val="24"/>
        </w:rPr>
      </w:pPr>
      <w:r w:rsidRPr="00EA648D">
        <w:rPr>
          <w:szCs w:val="24"/>
        </w:rPr>
        <w:t>Jerrett, Michael, Richard T. Burnett, C. Arden Pope, Kazuhiko Ito, George Thurston, Daniel Krewski, Yuanli Shi, Eugenia Calle, and Michael Thun. 2009. “Long-Term Ozone Exposure and Mortality.” New England Journal of Medicine 360 (11). Massachusetts Medical Society: 1085–95. doi:10.1056/NEJMoa0803894.</w:t>
      </w:r>
    </w:p>
    <w:p w14:paraId="5C1DC458" w14:textId="77777777" w:rsidR="001F6162" w:rsidRPr="00EA648D" w:rsidRDefault="001F6162" w:rsidP="00EA648D">
      <w:pPr>
        <w:pStyle w:val="Bibliography"/>
        <w:ind w:left="382" w:right="22" w:hanging="360"/>
        <w:rPr>
          <w:szCs w:val="24"/>
        </w:rPr>
      </w:pPr>
      <w:r w:rsidRPr="00EA648D">
        <w:rPr>
          <w:szCs w:val="24"/>
        </w:rPr>
        <w:t>Johnson, Matthew S., Alexei Rozanov, Mark Weber, Nora Mettig, John Sullivan, Michael J. Newchurch, Shi Kuang, et al. 2024. “TOLNet Validation of Satellite Ozone Profiles in the Troposphere: Impact of Retrieval Wavelengths.” Atmospheric Measurement Techniques 17 (8): 2559–82. doi:10.5194/amt-17-2559-2024.</w:t>
      </w:r>
    </w:p>
    <w:p w14:paraId="7D0240BA" w14:textId="77777777" w:rsidR="001F6162" w:rsidRPr="00EA648D" w:rsidRDefault="001F6162" w:rsidP="00EA648D">
      <w:pPr>
        <w:pStyle w:val="Bibliography"/>
        <w:ind w:left="382" w:right="22" w:hanging="360"/>
        <w:rPr>
          <w:szCs w:val="24"/>
        </w:rPr>
      </w:pPr>
      <w:r w:rsidRPr="00EA648D">
        <w:rPr>
          <w:szCs w:val="24"/>
        </w:rPr>
        <w:t>Kazemiparkouhi, Fatemeh, Ki-Do Eum, Bingyu Wang, Justin Manjourides, and Helen H. Suh. 2020. “Long-Term Ozone Exposures and Cause-Specific Mortality in a US Medicare Cohort.” Journal of Exposure Science &amp; Environmental Epidemiology 30 (4): 650–58. doi:10.1038/s41370-019-0135-4.</w:t>
      </w:r>
    </w:p>
    <w:p w14:paraId="5A7A1AD3" w14:textId="77777777" w:rsidR="001F6162" w:rsidRPr="00EA648D" w:rsidRDefault="001F6162" w:rsidP="00EA648D">
      <w:pPr>
        <w:pStyle w:val="Bibliography"/>
        <w:ind w:left="382" w:right="22" w:hanging="360"/>
        <w:rPr>
          <w:szCs w:val="24"/>
        </w:rPr>
      </w:pPr>
      <w:r w:rsidRPr="00EA648D">
        <w:rPr>
          <w:szCs w:val="24"/>
        </w:rPr>
        <w:t>Kelsall, J. E., J. M. Samet, S. L. Zeger, and J. Xu. 1997. “Air Pollution and Mortality in Philadelphia, 1974-1988.” American Journal of Epidemiology 146 (9): 750–62. doi:10.1093/oxfordjournals.aje.a009351.</w:t>
      </w:r>
    </w:p>
    <w:p w14:paraId="19640937" w14:textId="77777777" w:rsidR="001F6162" w:rsidRPr="00EA648D" w:rsidRDefault="001F6162" w:rsidP="00EA648D">
      <w:pPr>
        <w:pStyle w:val="Bibliography"/>
        <w:ind w:left="382" w:right="22" w:hanging="360"/>
        <w:rPr>
          <w:szCs w:val="24"/>
        </w:rPr>
      </w:pPr>
      <w:r w:rsidRPr="00EA648D">
        <w:rPr>
          <w:szCs w:val="24"/>
        </w:rPr>
        <w:t>Knowlton, Kim, Joyce E. Rosenthal, Christian Hogrefe, Barry Lynn, Stuart Gaffin, Richard Goldberg, Cynthia Rosenzweig, Kevin Civerolo, Jia-Yeong Ku, and Patrick L. Kinney. 2004. “Assessing Ozone-Related Health Impacts under a Changing Climate.” Environmental Health Perspectives 112 (15): 1557–63. doi:10.1289/ehp.7163.</w:t>
      </w:r>
    </w:p>
    <w:p w14:paraId="2DC2406C" w14:textId="77777777" w:rsidR="001F6162" w:rsidRPr="00EA648D" w:rsidRDefault="001F6162" w:rsidP="00EA648D">
      <w:pPr>
        <w:pStyle w:val="Bibliography"/>
        <w:ind w:left="382" w:right="22" w:hanging="360"/>
        <w:rPr>
          <w:szCs w:val="24"/>
        </w:rPr>
      </w:pPr>
      <w:r w:rsidRPr="00EA648D">
        <w:rPr>
          <w:szCs w:val="24"/>
        </w:rPr>
        <w:t xml:space="preserve">Kobayashi, Shinya, Yukinari Ota, Yayoi Harada, Ayataka Ebita, Masami Moriya, Hirokatsu Onoda, Kazutoshi Onogi, et al. 2015. “The JRA-55 Reanalysis: General Specifications and Basic Characteristics.” </w:t>
      </w:r>
      <w:r w:rsidRPr="00EA648D">
        <w:rPr>
          <w:rFonts w:eastAsia="MS Mincho" w:cs="MS Mincho"/>
          <w:szCs w:val="24"/>
        </w:rPr>
        <w:t>気象集誌</w:t>
      </w:r>
      <w:r w:rsidRPr="00EA648D">
        <w:rPr>
          <w:szCs w:val="24"/>
        </w:rPr>
        <w:t xml:space="preserve">. </w:t>
      </w:r>
      <w:r w:rsidRPr="00EA648D">
        <w:rPr>
          <w:rFonts w:eastAsia="MS Mincho" w:cs="MS Mincho"/>
          <w:szCs w:val="24"/>
        </w:rPr>
        <w:t>第</w:t>
      </w:r>
      <w:r w:rsidRPr="00EA648D">
        <w:rPr>
          <w:szCs w:val="24"/>
        </w:rPr>
        <w:t>2</w:t>
      </w:r>
      <w:r w:rsidRPr="00EA648D">
        <w:rPr>
          <w:rFonts w:eastAsia="MS Mincho" w:cs="MS Mincho"/>
          <w:szCs w:val="24"/>
        </w:rPr>
        <w:t>輯</w:t>
      </w:r>
      <w:r w:rsidRPr="00EA648D">
        <w:rPr>
          <w:szCs w:val="24"/>
        </w:rPr>
        <w:t xml:space="preserve"> 93 (1): 5–48. doi:10.2151/jmsj.2015-001.</w:t>
      </w:r>
    </w:p>
    <w:p w14:paraId="102E46FB" w14:textId="77777777" w:rsidR="001F6162" w:rsidRPr="00EA648D" w:rsidRDefault="001F6162" w:rsidP="00EA648D">
      <w:pPr>
        <w:pStyle w:val="Bibliography"/>
        <w:ind w:left="382" w:right="22" w:hanging="360"/>
        <w:rPr>
          <w:szCs w:val="24"/>
        </w:rPr>
      </w:pPr>
      <w:r w:rsidRPr="00EA648D">
        <w:rPr>
          <w:szCs w:val="24"/>
        </w:rPr>
        <w:t>Kumar, Amit, Deepak Singh, Bhupendra Pratap Singh, Manoj Singh, Kumar Anandam, Krishan Kumar, and V. K. Jain. 2015. “Spatial and Temporal Variability of Surface Ozone and Nitrogen Oxides in Urban and Rural Ambient Air of Delhi-NCR, India.” AIR QUALITY ATMOSPHERE AND HEALTH 8 (4): 391–99. doi:10.1007/s11869-014-0309-0.</w:t>
      </w:r>
    </w:p>
    <w:p w14:paraId="5A65B332" w14:textId="77777777" w:rsidR="001F6162" w:rsidRPr="00EA648D" w:rsidRDefault="001F6162" w:rsidP="00EA648D">
      <w:pPr>
        <w:pStyle w:val="Bibliography"/>
        <w:ind w:left="382" w:right="22" w:hanging="360"/>
        <w:rPr>
          <w:szCs w:val="24"/>
        </w:rPr>
      </w:pPr>
      <w:r w:rsidRPr="00EA648D">
        <w:rPr>
          <w:szCs w:val="24"/>
        </w:rPr>
        <w:t>Lee, J T, D Shin, and Y Chung. 1999. “Air Pollution and Daily Mortality in Seoul and Ulsan, Korea.” Environmental Health Perspectives 107 (2): 149–54. doi:10.1289/ehp.99107149.</w:t>
      </w:r>
    </w:p>
    <w:p w14:paraId="0A985EDB" w14:textId="77777777" w:rsidR="001F6162" w:rsidRPr="00EA648D" w:rsidRDefault="001F6162" w:rsidP="00EA648D">
      <w:pPr>
        <w:pStyle w:val="Bibliography"/>
        <w:ind w:left="382" w:right="22" w:hanging="360"/>
        <w:rPr>
          <w:szCs w:val="24"/>
        </w:rPr>
      </w:pPr>
      <w:r w:rsidRPr="00EA648D">
        <w:rPr>
          <w:szCs w:val="24"/>
        </w:rPr>
        <w:t>Liang, Ciao-Kai, J. Jason West, Raquel A. Silva, Huisheng Bian, Mian Chin, Yanko Davila, Frank J. Dentener, et al. 2018. “HTAP2 Multi-Model Estimates of Premature Human Mortality Due to Intercontinental Transport of Air Pollution and Emission Sectors.” Atmospheric Chemistry and Physics 18 (14). Copernicus GmbH: 10497–520. doi:10.5194/acp-18-10497-2018.</w:t>
      </w:r>
    </w:p>
    <w:p w14:paraId="127BBB4C" w14:textId="77777777" w:rsidR="001F6162" w:rsidRPr="00EA648D" w:rsidRDefault="001F6162" w:rsidP="00EA648D">
      <w:pPr>
        <w:pStyle w:val="Bibliography"/>
        <w:ind w:left="382" w:right="22" w:hanging="360"/>
        <w:rPr>
          <w:szCs w:val="24"/>
        </w:rPr>
      </w:pPr>
      <w:r w:rsidRPr="00EA648D">
        <w:rPr>
          <w:szCs w:val="24"/>
        </w:rPr>
        <w:lastRenderedPageBreak/>
        <w:t>Lim, Chris C., Richard B. Hayes, Jiyoung Ahn, Yongzhao Shao, Debra T. Silverman, Rena R. Jones, Cynthia Garcia, Michelle L. Bell, and George D. Thurston. 2019. “Long-Term Exposure to Ozone and Cause-Specific Mortality Risk in the United States.” American Journal of Respiratory and Critical Care Medicine 200 (8): 1022–31. doi:10.1164/rccm.201806-1161OC.</w:t>
      </w:r>
    </w:p>
    <w:p w14:paraId="2FCD0DE1" w14:textId="77777777" w:rsidR="001F6162" w:rsidRPr="00EA648D" w:rsidRDefault="001F6162" w:rsidP="00EA648D">
      <w:pPr>
        <w:pStyle w:val="Bibliography"/>
        <w:ind w:left="382" w:right="22" w:hanging="360"/>
        <w:rPr>
          <w:szCs w:val="24"/>
        </w:rPr>
      </w:pPr>
      <w:r w:rsidRPr="00EA648D">
        <w:rPr>
          <w:szCs w:val="24"/>
        </w:rPr>
        <w:t>Liu, Huan, Shuai Liu, Boru Xue, Zhaofeng Lv, Zhihang Meng, Xiaofan Yang, Tao Xue, Qiao Yu, and Kebin He. 2018. “Ground-Level Ozone Pollution and Its Health Impacts in China.” Atmospheric Environment 173 (January): 223–30. doi:10.1016/j.atmosenv.2017.11.014.</w:t>
      </w:r>
    </w:p>
    <w:p w14:paraId="689A3E36" w14:textId="77777777" w:rsidR="001F6162" w:rsidRPr="00EA648D" w:rsidRDefault="001F6162" w:rsidP="00EA648D">
      <w:pPr>
        <w:pStyle w:val="Bibliography"/>
        <w:ind w:left="382" w:right="22" w:hanging="360"/>
        <w:rPr>
          <w:szCs w:val="24"/>
        </w:rPr>
      </w:pPr>
      <w:r w:rsidRPr="00EA648D">
        <w:rPr>
          <w:szCs w:val="24"/>
        </w:rPr>
        <w:t>Liu, Xiaoyong, Jiqiang Niu, Jun Yan, Junhui Yan, Chengmei Zhao, Feng Xu, Yidan Zhang, and Bingbing Zhang. 2022. “Surface Ozone in the Central Plains Urban Agglomeration, China: Spatial-Temporal Variations and Health Impacts.” POLISH JOURNAL OF ENVIRONMENTAL STUDIES 31 (5): 4767–77. doi:10.15244/pjoes/150460.</w:t>
      </w:r>
    </w:p>
    <w:p w14:paraId="005196C8" w14:textId="77777777" w:rsidR="001F6162" w:rsidRPr="00EA648D" w:rsidRDefault="001F6162" w:rsidP="00EA648D">
      <w:pPr>
        <w:pStyle w:val="Bibliography"/>
        <w:ind w:left="382" w:right="22" w:hanging="360"/>
        <w:rPr>
          <w:szCs w:val="24"/>
        </w:rPr>
      </w:pPr>
      <w:r w:rsidRPr="00EA648D">
        <w:rPr>
          <w:szCs w:val="24"/>
        </w:rPr>
        <w:t>Lopez-Bueno, J. A., J. Diaz, C. Sanchez-Guevara, G. Sanchez-Martinez, M. Franco, P. Gullon, M. Nunez Peiro, I Valero, and C. Linares. 2020. “The Impact of Heat Waves on Daily Mortality in Districts in Madrid: The Effect of Sociodemographic Factors.” ENVIRONMENTAL RESEARCH 190 (November). doi:10.1016/j.envres.2020.109993.</w:t>
      </w:r>
    </w:p>
    <w:p w14:paraId="55121F1E" w14:textId="77777777" w:rsidR="001F6162" w:rsidRPr="00EA648D" w:rsidRDefault="001F6162" w:rsidP="00EA648D">
      <w:pPr>
        <w:pStyle w:val="Bibliography"/>
        <w:ind w:left="382" w:right="22" w:hanging="360"/>
        <w:rPr>
          <w:szCs w:val="24"/>
        </w:rPr>
      </w:pPr>
      <w:r w:rsidRPr="00EA648D">
        <w:rPr>
          <w:szCs w:val="24"/>
        </w:rPr>
        <w:t>Malley, Christopher S., Daven K. Henze, Johan C.I. Kuylenstierna, Harry W. Vallack, Yanko Davila, Susan C. Anenberg, Michelle C. Turner, and Mike R. Ashmore. 2017a. “Updated Global Estimates of Respiratory Mortality in Adults ≥30Years of Age Attributable to Long-Term Ozone Exposure.” Environmental Health Perspectives 125 (8): 087021. doi:10.1289/EHP1390.</w:t>
      </w:r>
    </w:p>
    <w:p w14:paraId="33409F09" w14:textId="77777777" w:rsidR="001F6162" w:rsidRPr="00EA648D" w:rsidRDefault="001F6162" w:rsidP="00EA648D">
      <w:pPr>
        <w:pStyle w:val="Bibliography"/>
        <w:ind w:left="382" w:right="22" w:hanging="360"/>
        <w:rPr>
          <w:szCs w:val="24"/>
        </w:rPr>
      </w:pPr>
      <w:r w:rsidRPr="00EA648D">
        <w:rPr>
          <w:szCs w:val="24"/>
        </w:rPr>
        <w:t>Manisalidis, Ioannis, Elisavet Stavropoulou, Agathangelos Stavropoulos, and Eugenia Bezirtzoglou. 2020. “Environmental and Health Impacts of Air Pollution: A Review.” Frontiers in Public Health 8 (February): 14. doi:10.3389/fpubh.2020.00014.</w:t>
      </w:r>
    </w:p>
    <w:p w14:paraId="5121FC07" w14:textId="77777777" w:rsidR="001F6162" w:rsidRPr="00EA648D" w:rsidRDefault="001F6162" w:rsidP="00EA648D">
      <w:pPr>
        <w:pStyle w:val="Bibliography"/>
        <w:ind w:left="382" w:right="22" w:hanging="360"/>
        <w:rPr>
          <w:szCs w:val="24"/>
        </w:rPr>
      </w:pPr>
      <w:r w:rsidRPr="00EA648D">
        <w:rPr>
          <w:szCs w:val="24"/>
        </w:rPr>
        <w:t>Marmett, B, RB Carvalho, RB Nunes, and CR Rhoden. 2022. “Exposure to O3 and NO2 in Physically Active Adults: An Evaluation of Physiological Parameters and Health Risk Assessment.” ENVIRONMENTAL GEOCHEMISTRY AND HEALTH 44 (12): 4269–84. doi:10.1007/s10653-021-01194-5.</w:t>
      </w:r>
    </w:p>
    <w:p w14:paraId="1FCE77A1" w14:textId="77777777" w:rsidR="001F6162" w:rsidRPr="00EA648D" w:rsidRDefault="001F6162" w:rsidP="00EA648D">
      <w:pPr>
        <w:pStyle w:val="Bibliography"/>
        <w:ind w:left="382" w:right="22" w:hanging="360"/>
        <w:rPr>
          <w:szCs w:val="24"/>
        </w:rPr>
      </w:pPr>
      <w:r w:rsidRPr="00EA648D">
        <w:rPr>
          <w:szCs w:val="24"/>
        </w:rPr>
        <w:t>Marmett, B, RB Carvalho, GN da Silva, GP Dorneles, PRT Romao, RB Nunes, and CR Rhoden. 2023. “The Role of O3 Exposure and Physical Activity Status on Redox State, Inflammation, and Pulmonary Toxicity of Young Men: A Cross-Sectional Study.” ENVIRONMENTAL RESEARCH 231 (August). doi:10.1016/j.envres.2023.116020.</w:t>
      </w:r>
    </w:p>
    <w:p w14:paraId="4ED02238" w14:textId="77777777" w:rsidR="001F6162" w:rsidRPr="00EA648D" w:rsidRDefault="001F6162" w:rsidP="00EA648D">
      <w:pPr>
        <w:pStyle w:val="Bibliography"/>
        <w:ind w:left="382" w:right="22" w:hanging="360"/>
        <w:rPr>
          <w:szCs w:val="24"/>
        </w:rPr>
      </w:pPr>
      <w:r w:rsidRPr="00EA648D">
        <w:rPr>
          <w:szCs w:val="24"/>
        </w:rPr>
        <w:t>Michael MacCracken. 2008. Sudden and Disruptive Climate Change</w:t>
      </w:r>
      <w:r w:rsidRPr="00EA648D">
        <w:rPr>
          <w:rFonts w:ascii="Times New Roman" w:hAnsi="Times New Roman"/>
          <w:szCs w:val="24"/>
        </w:rPr>
        <w:t> </w:t>
      </w:r>
      <w:r w:rsidRPr="00EA648D">
        <w:rPr>
          <w:szCs w:val="24"/>
        </w:rPr>
        <w:t>: Exploring the Real Risks and How We Can Avoid Them. Earthscan Climate. London: Routledge. https://search.ebscohost.com/login.aspx?direct=true&amp;AuthType=ip,sso&amp;db=nlebk&amp;AN=208918&amp;site=ehost-live&amp;scope=site&amp;authtype=ip,sso&amp;custid=s8860338.</w:t>
      </w:r>
    </w:p>
    <w:p w14:paraId="21BDAA2B" w14:textId="77777777" w:rsidR="001F6162" w:rsidRPr="00EA648D" w:rsidRDefault="001F6162" w:rsidP="00EA648D">
      <w:pPr>
        <w:pStyle w:val="Bibliography"/>
        <w:ind w:left="382" w:right="22" w:hanging="360"/>
        <w:rPr>
          <w:szCs w:val="24"/>
        </w:rPr>
      </w:pPr>
      <w:r w:rsidRPr="00EA648D">
        <w:rPr>
          <w:szCs w:val="24"/>
        </w:rPr>
        <w:t xml:space="preserve">Nawaz, M. Omar. 2023. “An Adjoint Sensitivity Framework for Public Health: The Sources of Air Pollution and Their Current and Future Impacts at Both the </w:t>
      </w:r>
      <w:r w:rsidRPr="00EA648D">
        <w:rPr>
          <w:szCs w:val="24"/>
        </w:rPr>
        <w:lastRenderedPageBreak/>
        <w:t>Urban and National Scale.” Dissertation, University of Colorado, Boulder. https://scholar.colorado.edu/concern/graduate_thesis_or_dissertations/q237ht48v.</w:t>
      </w:r>
    </w:p>
    <w:p w14:paraId="0435F5B6" w14:textId="77777777" w:rsidR="001F6162" w:rsidRPr="00EA648D" w:rsidRDefault="001F6162" w:rsidP="00EA648D">
      <w:pPr>
        <w:pStyle w:val="Bibliography"/>
        <w:ind w:left="382" w:right="22" w:hanging="360"/>
        <w:rPr>
          <w:szCs w:val="24"/>
        </w:rPr>
      </w:pPr>
      <w:r w:rsidRPr="00EA648D">
        <w:rPr>
          <w:szCs w:val="24"/>
        </w:rPr>
        <w:t>Ni, JM, JM Jin, YW Wang, B Li, Q Wu, YF Chen, SW Du, YL Li, and C He. 2024. “Surface Ozone in Global Cities: A Synthesis of Basic Features, Exposure Risk, and Factors.” GEOGRAPHY AND SUSTAINABILITY 5 (1): 64–76. doi:10.1016/j.geosus.2023.09.008.</w:t>
      </w:r>
    </w:p>
    <w:p w14:paraId="2520028A" w14:textId="77777777" w:rsidR="001F6162" w:rsidRPr="00EA648D" w:rsidRDefault="001F6162" w:rsidP="00EA648D">
      <w:pPr>
        <w:pStyle w:val="Bibliography"/>
        <w:ind w:left="382" w:right="22" w:hanging="360"/>
        <w:rPr>
          <w:szCs w:val="24"/>
        </w:rPr>
      </w:pPr>
      <w:r w:rsidRPr="00EA648D">
        <w:rPr>
          <w:szCs w:val="24"/>
        </w:rPr>
        <w:t>Niu, Yue, Huichu Li, Weidong Wang, Cuiping Wang, Cong Liu, Xihao Du, Qingli Zhang, et al. 2022. “Ozone Exposure and Prothrombosis: Mechanistic Insights from a Randomized Controlled Exposure Trial.” Journal of Hazardous Materials 429 (May): 128322. doi:10.1016/j.jhazmat.2022.128322.</w:t>
      </w:r>
    </w:p>
    <w:p w14:paraId="580E1D2E" w14:textId="77777777" w:rsidR="001F6162" w:rsidRPr="00EA648D" w:rsidRDefault="001F6162" w:rsidP="00EA648D">
      <w:pPr>
        <w:pStyle w:val="Bibliography"/>
        <w:ind w:left="382" w:right="22" w:hanging="360"/>
        <w:rPr>
          <w:szCs w:val="24"/>
        </w:rPr>
      </w:pPr>
      <w:r w:rsidRPr="00EA648D">
        <w:rPr>
          <w:szCs w:val="24"/>
        </w:rPr>
        <w:t>Nuvolone, Daniela, Davide Petri, and Fabio Voller. 2018. “The Effects of Ozone on Human Health.” Environmental Science and Pollution Research 25 (9): 8074–88. doi:10.1007/s11356-017-9239-3.</w:t>
      </w:r>
    </w:p>
    <w:p w14:paraId="30825EA1" w14:textId="77777777" w:rsidR="001F6162" w:rsidRPr="00EA648D" w:rsidRDefault="001F6162" w:rsidP="00EA648D">
      <w:pPr>
        <w:pStyle w:val="Bibliography"/>
        <w:ind w:left="382" w:right="22" w:hanging="360"/>
        <w:rPr>
          <w:szCs w:val="24"/>
        </w:rPr>
      </w:pPr>
      <w:r w:rsidRPr="00EA648D">
        <w:rPr>
          <w:szCs w:val="24"/>
        </w:rPr>
        <w:t>Padilla, Cindy M., Wahida Kihal-Talantikit, Sandra Perez, and Severine Deguen. 2016. “Use of Geographic Indicators of Healthcare, Environment and Socioeconomic Factors to Characterize Environmental Health Disparities.” Environmental Health 15 (1): 79. doi:10.1186/s12940-016-0163-7.</w:t>
      </w:r>
    </w:p>
    <w:p w14:paraId="14751611" w14:textId="77777777" w:rsidR="001F6162" w:rsidRPr="00EA648D" w:rsidRDefault="001F6162" w:rsidP="00EA648D">
      <w:pPr>
        <w:pStyle w:val="Bibliography"/>
        <w:ind w:left="382" w:right="22" w:hanging="360"/>
        <w:rPr>
          <w:szCs w:val="24"/>
        </w:rPr>
      </w:pPr>
      <w:r w:rsidRPr="00EA648D">
        <w:rPr>
          <w:szCs w:val="24"/>
        </w:rPr>
        <w:t>Qiu, YX, QZ Liu, JW Tao, P Yan, GS Tan, FJ Liu, DY Wang, et al. 2025. “Enabling the Synthesis of O3-Type Sodium Anion-Redox Cathodes via Atmosphere Modulation.” NATURE COMMUNICATIONS 16 (1). doi:10.1038/s41467-025-57665-1.</w:t>
      </w:r>
    </w:p>
    <w:p w14:paraId="6ADC39E7" w14:textId="77777777" w:rsidR="001F6162" w:rsidRPr="00EA648D" w:rsidRDefault="001F6162" w:rsidP="00EA648D">
      <w:pPr>
        <w:pStyle w:val="Bibliography"/>
        <w:ind w:left="382" w:right="22" w:hanging="360"/>
        <w:rPr>
          <w:szCs w:val="24"/>
        </w:rPr>
      </w:pPr>
      <w:r w:rsidRPr="00EA648D">
        <w:rPr>
          <w:szCs w:val="24"/>
        </w:rPr>
        <w:t>Raza, Auriba, Marcus Dahlquist, Tomas Lind, and Petter L. S. Ljungman. 2018. “Susceptibility to Short-Term Ozone Exposure and Cardiovascular and Respiratory Mortality by Previous Hospitalizations.” Environmental Health 17 (1): 37. doi:10.1186/s12940-018-0384-z.</w:t>
      </w:r>
    </w:p>
    <w:p w14:paraId="1DA647CF" w14:textId="77777777" w:rsidR="001F6162" w:rsidRPr="00EA648D" w:rsidRDefault="001F6162" w:rsidP="00EA648D">
      <w:pPr>
        <w:pStyle w:val="Bibliography"/>
        <w:ind w:left="382" w:right="22" w:hanging="360"/>
        <w:rPr>
          <w:szCs w:val="24"/>
        </w:rPr>
      </w:pPr>
      <w:r w:rsidRPr="00EA648D">
        <w:rPr>
          <w:szCs w:val="24"/>
        </w:rPr>
        <w:t>Reid, Colleen E., Jonathan M. Snowden, Caitlin Kontgis, and Ira B. Tager. 2012. “The Role of Ambient Ozone in Epidemiologic Studies of Heat-Related Mortality.” ENVIRONMENTAL HEALTH PERSPECTIVES 120 (12): 1627–30. doi:10.1289/ehp.1205251.</w:t>
      </w:r>
    </w:p>
    <w:p w14:paraId="0F1D9177" w14:textId="77777777" w:rsidR="001F6162" w:rsidRPr="00EA648D" w:rsidRDefault="001F6162" w:rsidP="00EA648D">
      <w:pPr>
        <w:pStyle w:val="Bibliography"/>
        <w:ind w:left="382" w:right="22" w:hanging="360"/>
        <w:rPr>
          <w:szCs w:val="24"/>
        </w:rPr>
      </w:pPr>
      <w:r w:rsidRPr="00EA648D">
        <w:rPr>
          <w:szCs w:val="24"/>
        </w:rPr>
        <w:t>Roth, H. Daniel, Peggy May T. Hwang, and Yuanzhang Li. 2008. “Assesment of Recent Ozone Short-Term Epidemielogical Studies.” Inhalation Toxicology 13 (1): 1–24. doi:10.1080/089583701459038.</w:t>
      </w:r>
    </w:p>
    <w:p w14:paraId="7C623DB8" w14:textId="77777777" w:rsidR="001F6162" w:rsidRPr="00EA648D" w:rsidRDefault="001F6162" w:rsidP="00EA648D">
      <w:pPr>
        <w:pStyle w:val="Bibliography"/>
        <w:ind w:left="382" w:right="22" w:hanging="360"/>
        <w:rPr>
          <w:szCs w:val="24"/>
        </w:rPr>
      </w:pPr>
      <w:r w:rsidRPr="00EA648D">
        <w:rPr>
          <w:szCs w:val="24"/>
        </w:rPr>
        <w:t>SAMHSA, Substance Abuse and Mental Health Services Administration. 2017. “Greater Impact: How Disasters Affect People of Low Socioeconomic Status.” Supplemental Research Bulletin, July.</w:t>
      </w:r>
    </w:p>
    <w:p w14:paraId="5FE6C496" w14:textId="77777777" w:rsidR="001F6162" w:rsidRPr="00EA648D" w:rsidRDefault="001F6162" w:rsidP="00EA648D">
      <w:pPr>
        <w:pStyle w:val="Bibliography"/>
        <w:ind w:left="382" w:right="22" w:hanging="360"/>
        <w:rPr>
          <w:szCs w:val="24"/>
        </w:rPr>
      </w:pPr>
      <w:r w:rsidRPr="00EA648D">
        <w:rPr>
          <w:szCs w:val="24"/>
        </w:rPr>
        <w:t>Schlink, Uwe, Olf Herbarth, Matthias Richter, Stephen Dorling, Giuseppe Nunnari, Gavin Cawley, and Emil Pelikan. 2006. “Statistical Models to Assess the Health Effects and to Forecast Ground-Level Ozone.” Environmental Modelling &amp; Software 21 (4): 547–58. doi:10.1016/j.envsoft.2004.12.002.</w:t>
      </w:r>
    </w:p>
    <w:p w14:paraId="33109B5D" w14:textId="77777777" w:rsidR="001F6162" w:rsidRPr="00EA648D" w:rsidRDefault="001F6162" w:rsidP="00EA648D">
      <w:pPr>
        <w:pStyle w:val="Bibliography"/>
        <w:ind w:left="382" w:right="22" w:hanging="360"/>
        <w:rPr>
          <w:szCs w:val="24"/>
        </w:rPr>
      </w:pPr>
      <w:r w:rsidRPr="00EA648D">
        <w:rPr>
          <w:szCs w:val="24"/>
        </w:rPr>
        <w:t>Schwartz, J. 2000. “Harvesting and Long Term Exposure Effects in the Relation between Air Pollution and Mortality.” American Journal of Epidemiology 151 (5): 440–48. doi:10.1093/oxfordjournals.aje.a010228.</w:t>
      </w:r>
    </w:p>
    <w:p w14:paraId="1F2515B4" w14:textId="77777777" w:rsidR="001F6162" w:rsidRPr="00EA648D" w:rsidRDefault="001F6162" w:rsidP="00EA648D">
      <w:pPr>
        <w:pStyle w:val="Bibliography"/>
        <w:ind w:left="382" w:right="22" w:hanging="360"/>
        <w:rPr>
          <w:szCs w:val="24"/>
        </w:rPr>
      </w:pPr>
      <w:r w:rsidRPr="00EA648D">
        <w:rPr>
          <w:szCs w:val="24"/>
        </w:rPr>
        <w:lastRenderedPageBreak/>
        <w:t>Singh, S. Ankul, Swathi Suresh, and Chitra Vellapandian. 2023. “Ozone-Induced Neurotoxicity: In Vitro and in Vivo Evidence.” Ageing Research Reviews 91 (November): 102045. doi:10.1016/j.arr.2023.102045.</w:t>
      </w:r>
    </w:p>
    <w:p w14:paraId="6CBE68D7" w14:textId="77777777" w:rsidR="001F6162" w:rsidRPr="00EA648D" w:rsidRDefault="001F6162" w:rsidP="00EA648D">
      <w:pPr>
        <w:pStyle w:val="Bibliography"/>
        <w:ind w:left="382" w:right="22" w:hanging="360"/>
        <w:rPr>
          <w:szCs w:val="24"/>
        </w:rPr>
      </w:pPr>
      <w:r w:rsidRPr="00EA648D">
        <w:rPr>
          <w:szCs w:val="24"/>
        </w:rPr>
        <w:t>Sun, Haitong Zhe, Kim Robin Van Daalen, Lidia Morawska, Serge Guillas, Chiara Giorio, Qian Di, Haidong Kan, et al. 2024. “An Estimate of Global Cardiovascular Mortality Burden Attributable to Ambient Ozone Exposure Reveals Urban-Rural Environmental Injustice.” One Earth 7 (10): 1803–19. doi:10.1016/j.oneear.2024.08.018.</w:t>
      </w:r>
    </w:p>
    <w:p w14:paraId="5FC8E0C3" w14:textId="77777777" w:rsidR="001F6162" w:rsidRPr="00EA648D" w:rsidRDefault="001F6162" w:rsidP="00EA648D">
      <w:pPr>
        <w:pStyle w:val="Bibliography"/>
        <w:ind w:left="382" w:right="22" w:hanging="360"/>
        <w:rPr>
          <w:szCs w:val="24"/>
        </w:rPr>
      </w:pPr>
      <w:r w:rsidRPr="00EA648D">
        <w:rPr>
          <w:szCs w:val="24"/>
        </w:rPr>
        <w:t>Tao, Chenliang. 2023. “Surface Ozone, NO2, and PM2.5 Concentrations Estimated by the Deep Learning Model (Air Transformer) Based on Satellite Data.” Zenodo. DRCI:DATA2024006028207158. doi:10.5281/ZENODO.10071407.</w:t>
      </w:r>
    </w:p>
    <w:p w14:paraId="38637EF8" w14:textId="77777777" w:rsidR="001F6162" w:rsidRPr="00EA648D" w:rsidRDefault="001F6162" w:rsidP="00EA648D">
      <w:pPr>
        <w:pStyle w:val="Bibliography"/>
        <w:ind w:left="382" w:right="22" w:hanging="360"/>
        <w:rPr>
          <w:szCs w:val="24"/>
        </w:rPr>
      </w:pPr>
      <w:r w:rsidRPr="00EA648D">
        <w:rPr>
          <w:szCs w:val="24"/>
        </w:rPr>
        <w:t>Tessum, Christopher W., David A. Paolella, Sarah E. Chambliss, Joshua S. Apte, Jason D. Hill, and Julian D. Marshall. 2021. “PM2.5 Polluters Disproportionately and Systemically Affect People of Color in the United States.” Science Advances 7 (18): eabf4491. doi:10.1126/sciadv.abf4491.</w:t>
      </w:r>
    </w:p>
    <w:p w14:paraId="5C0AB9AC" w14:textId="77777777" w:rsidR="001F6162" w:rsidRPr="00EA648D" w:rsidRDefault="001F6162" w:rsidP="00EA648D">
      <w:pPr>
        <w:pStyle w:val="Bibliography"/>
        <w:ind w:left="382" w:right="22" w:hanging="360"/>
        <w:rPr>
          <w:szCs w:val="24"/>
        </w:rPr>
      </w:pPr>
      <w:r w:rsidRPr="00EA648D">
        <w:rPr>
          <w:szCs w:val="24"/>
        </w:rPr>
        <w:t>Turner, Michelle C., Michael Jerrett, C. Arden Pope, Daniel Krewski, Susan M. Gapstur, W. Ryan Diver, Bernardo S. Beckerman, et al. 2016a. “Long-Term Ozone Exposure and Mortality in a Large Prospective Study.” American Journal of Respiratory and Critical Care Medicine 193 (10). American Thoracic Society - AJRCCM: 1134–42. doi:10.1164/rccm.201508-1633OC.</w:t>
      </w:r>
    </w:p>
    <w:p w14:paraId="2281E390" w14:textId="77777777" w:rsidR="001F6162" w:rsidRPr="00EA648D" w:rsidRDefault="001F6162" w:rsidP="00EA648D">
      <w:pPr>
        <w:pStyle w:val="Bibliography"/>
        <w:ind w:left="382" w:right="22" w:hanging="360"/>
        <w:rPr>
          <w:szCs w:val="24"/>
        </w:rPr>
      </w:pPr>
      <w:r w:rsidRPr="00EA648D">
        <w:rPr>
          <w:szCs w:val="24"/>
        </w:rPr>
        <w:t>US EPA, OAR. 2015. “Health Effects of Ozone Pollution.” Overviews and Factsheets. June 5. https://www.epa.gov/ground-level-ozone-pollution/health-effects-ozone-pollution.</w:t>
      </w:r>
    </w:p>
    <w:p w14:paraId="6C03CA40" w14:textId="77777777" w:rsidR="001F6162" w:rsidRPr="00EA648D" w:rsidRDefault="001F6162" w:rsidP="00EA648D">
      <w:pPr>
        <w:pStyle w:val="Bibliography"/>
        <w:ind w:left="382" w:right="22" w:hanging="360"/>
        <w:rPr>
          <w:szCs w:val="24"/>
        </w:rPr>
      </w:pPr>
      <w:r w:rsidRPr="00EA648D">
        <w:rPr>
          <w:szCs w:val="24"/>
        </w:rPr>
        <w:t>Wang, CL, YY Wang, ZH Shi, JJ Sun, KJ Gong, JY Li, MM Qin, et al. 2021. “Effects of Using Different Exposure Data to Estimate Changes in Premature Mortality Attributable to PM2.5 and O3 in China.” ENVIRONMENTAL POLLUTION 285 (September). doi:10.1016/j.envpol.2021.117242.</w:t>
      </w:r>
    </w:p>
    <w:p w14:paraId="6872E944" w14:textId="77777777" w:rsidR="001F6162" w:rsidRPr="00EA648D" w:rsidRDefault="001F6162" w:rsidP="00EA648D">
      <w:pPr>
        <w:pStyle w:val="Bibliography"/>
        <w:ind w:left="382" w:right="22" w:hanging="360"/>
        <w:rPr>
          <w:szCs w:val="24"/>
        </w:rPr>
      </w:pPr>
      <w:r w:rsidRPr="00EA648D">
        <w:rPr>
          <w:szCs w:val="24"/>
        </w:rPr>
        <w:t>Wang, Yuting, Guy P. Brasseur, Yong</w:t>
      </w:r>
      <w:r w:rsidRPr="00EA648D">
        <w:rPr>
          <w:rFonts w:ascii="Cambria Math" w:hAnsi="Cambria Math" w:cs="Cambria Math"/>
          <w:szCs w:val="24"/>
        </w:rPr>
        <w:t>‐</w:t>
      </w:r>
      <w:r w:rsidRPr="00EA648D">
        <w:rPr>
          <w:szCs w:val="24"/>
        </w:rPr>
        <w:t>Feng Ma, Vincent</w:t>
      </w:r>
      <w:r w:rsidRPr="00EA648D">
        <w:rPr>
          <w:rFonts w:ascii="Cambria Math" w:hAnsi="Cambria Math" w:cs="Cambria Math"/>
          <w:szCs w:val="24"/>
        </w:rPr>
        <w:t>‐</w:t>
      </w:r>
      <w:r w:rsidRPr="00EA648D">
        <w:rPr>
          <w:szCs w:val="24"/>
        </w:rPr>
        <w:t xml:space="preserve">Henri Peuch, and Tao Wang. 2023. </w:t>
      </w:r>
      <w:r w:rsidRPr="00EA648D">
        <w:rPr>
          <w:rFonts w:cs="Century Schoolbook"/>
          <w:szCs w:val="24"/>
        </w:rPr>
        <w:t>“</w:t>
      </w:r>
      <w:r w:rsidRPr="00EA648D">
        <w:rPr>
          <w:szCs w:val="24"/>
        </w:rPr>
        <w:t>Does Downscaling Improve the Performance of Urban Ozone Modeling?</w:t>
      </w:r>
      <w:r w:rsidRPr="00EA648D">
        <w:rPr>
          <w:rFonts w:cs="Century Schoolbook"/>
          <w:szCs w:val="24"/>
        </w:rPr>
        <w:t>”</w:t>
      </w:r>
      <w:r w:rsidRPr="00EA648D">
        <w:rPr>
          <w:szCs w:val="24"/>
        </w:rPr>
        <w:t xml:space="preserve"> Geophysical Research Letters 50 (23): e2023GL104761. doi:10.1029/2023GL104761.</w:t>
      </w:r>
    </w:p>
    <w:p w14:paraId="1B6BC4D3" w14:textId="77777777" w:rsidR="001F6162" w:rsidRPr="00EA648D" w:rsidRDefault="001F6162" w:rsidP="00EA648D">
      <w:pPr>
        <w:pStyle w:val="Bibliography"/>
        <w:ind w:left="382" w:right="22" w:hanging="360"/>
        <w:rPr>
          <w:szCs w:val="24"/>
        </w:rPr>
      </w:pPr>
      <w:r w:rsidRPr="00EA648D">
        <w:rPr>
          <w:szCs w:val="24"/>
        </w:rPr>
        <w:t>Weng, Xiang. 2023. “Surface Hourly Measurement Data of O3, NO2 and PM2.5 for ‘Large Modeling Uncertainty in Projecting Decadal Surface Ozone Changes over Urban and Industrial Regions of China.’” Zenodo. DRCI:DATA2023074026434277. doi:10.5281/ZENODO.7629985.</w:t>
      </w:r>
    </w:p>
    <w:p w14:paraId="106A9471" w14:textId="77777777" w:rsidR="001F6162" w:rsidRPr="00EA648D" w:rsidRDefault="001F6162" w:rsidP="00EA648D">
      <w:pPr>
        <w:pStyle w:val="Bibliography"/>
        <w:ind w:left="382" w:right="22" w:hanging="360"/>
        <w:rPr>
          <w:szCs w:val="24"/>
        </w:rPr>
      </w:pPr>
      <w:r w:rsidRPr="00EA648D">
        <w:rPr>
          <w:szCs w:val="24"/>
        </w:rPr>
        <w:t>Weschler, Charles J. 2006. “Ozone’s Impact on Public Health: Contributions from Indoor Exposures to Ozone and Products of Ozone-Initiated Chemistry.” Environmental Health Perspectives 114 (10): 1489–96. doi:10.1289/ehp.9256.</w:t>
      </w:r>
    </w:p>
    <w:p w14:paraId="63CD78F5" w14:textId="77777777" w:rsidR="001F6162" w:rsidRPr="00EA648D" w:rsidRDefault="001F6162" w:rsidP="00EA648D">
      <w:pPr>
        <w:pStyle w:val="Bibliography"/>
        <w:ind w:left="382" w:right="22" w:hanging="360"/>
        <w:rPr>
          <w:szCs w:val="24"/>
        </w:rPr>
      </w:pPr>
      <w:r w:rsidRPr="00EA648D">
        <w:rPr>
          <w:szCs w:val="24"/>
        </w:rPr>
        <w:t>WHO. 2021. World Health Organization (WHO) Global Air Quality Guidelines: Particulate Matter (PM2. 5 and PM10), Ozone, Nitrogen Dioxide, Sulfur Dioxide and Carbon Monoxide. 1st ed. Geneva: World Health Organization.</w:t>
      </w:r>
    </w:p>
    <w:p w14:paraId="5CA63AE6" w14:textId="77777777" w:rsidR="001F6162" w:rsidRPr="00EA648D" w:rsidRDefault="001F6162" w:rsidP="00EA648D">
      <w:pPr>
        <w:pStyle w:val="Bibliography"/>
        <w:ind w:left="382" w:right="22" w:hanging="360"/>
        <w:rPr>
          <w:szCs w:val="24"/>
        </w:rPr>
      </w:pPr>
      <w:r w:rsidRPr="00EA648D">
        <w:rPr>
          <w:szCs w:val="24"/>
        </w:rPr>
        <w:t xml:space="preserve">WHO, Regional Office for Europe. 2013. “Health Effects of Ozone.” In Review of Evidence on Health Aspects of Air Pollution – REVIHAAP Project: Technical </w:t>
      </w:r>
      <w:r w:rsidRPr="00EA648D">
        <w:rPr>
          <w:szCs w:val="24"/>
        </w:rPr>
        <w:lastRenderedPageBreak/>
        <w:t>Report. WHO Regional Office for Europe. https://www.ncbi.nlm.nih.gov/books/NBK361809/.</w:t>
      </w:r>
    </w:p>
    <w:p w14:paraId="702E78F8" w14:textId="77777777" w:rsidR="001F6162" w:rsidRPr="00EA648D" w:rsidRDefault="001F6162" w:rsidP="00EA648D">
      <w:pPr>
        <w:pStyle w:val="Bibliography"/>
        <w:ind w:left="382" w:right="22" w:hanging="360"/>
        <w:rPr>
          <w:szCs w:val="24"/>
        </w:rPr>
      </w:pPr>
      <w:r w:rsidRPr="00EA648D">
        <w:rPr>
          <w:szCs w:val="24"/>
        </w:rPr>
        <w:t>Xue, Tao, Ruohan Wang, Mingkun Tong, Frank J. Kelly, Hengyi Liu, Jiajianghui Li, Pengfei Li, et al. 2023. “Estimating the Exposure–Response Function between Long-Term Ozone Exposure and under-5 Mortality in 55 Low-Income and Middle-Income Countries: A Retrospective, Multicentre, Epidemiological Study.” The Lancet Planetary Health 7 (9). Elsevier: e736–46. doi:10.1016/S2542-5196(23)00165-1.</w:t>
      </w:r>
    </w:p>
    <w:p w14:paraId="41E3C61E" w14:textId="77777777" w:rsidR="001F6162" w:rsidRPr="00EA648D" w:rsidRDefault="001F6162" w:rsidP="00EA648D">
      <w:pPr>
        <w:pStyle w:val="Bibliography"/>
        <w:ind w:left="382" w:right="22" w:hanging="360"/>
        <w:rPr>
          <w:szCs w:val="24"/>
        </w:rPr>
      </w:pPr>
      <w:r w:rsidRPr="00EA648D">
        <w:rPr>
          <w:szCs w:val="24"/>
        </w:rPr>
        <w:t>Yang, YH, Q Wang, JR Hou, J Liu, TY Sun, MX Tang, CT Chen, et al. 2024. “Enhancing Reversibility and Kinetics of Anionic Redox in O3-NaLi1/3Mn2/3O2 through Controlled P2 Intergrowth.” ANGEWANDTE CHEMIE-INTERNATIONAL EDITION 63 (43). doi:10.1002/anie.202411059.</w:t>
      </w:r>
    </w:p>
    <w:p w14:paraId="5A3448D6" w14:textId="77777777" w:rsidR="001F6162" w:rsidRPr="00EA648D" w:rsidRDefault="001F6162" w:rsidP="00EA648D">
      <w:pPr>
        <w:pStyle w:val="Bibliography"/>
        <w:ind w:left="382" w:right="22" w:hanging="360"/>
        <w:rPr>
          <w:szCs w:val="24"/>
        </w:rPr>
      </w:pPr>
      <w:r w:rsidRPr="00EA648D">
        <w:rPr>
          <w:szCs w:val="24"/>
        </w:rPr>
        <w:t>Zhang, Junfeng, Yongjie Wei, and Zhangfu Fang. 2019. “Ozone Pollution: A Major Health Hazard Worldwide.” Frontiers in Immunology 10 (October). Frontiers. doi:10.3389/fimmu.2019.02518.</w:t>
      </w:r>
    </w:p>
    <w:p w14:paraId="22DB0EB7" w14:textId="77777777" w:rsidR="001F6162" w:rsidRPr="00EA648D" w:rsidRDefault="001F6162" w:rsidP="00EA648D">
      <w:pPr>
        <w:pStyle w:val="Bibliography"/>
        <w:ind w:left="382" w:right="22" w:hanging="360"/>
        <w:rPr>
          <w:szCs w:val="24"/>
        </w:rPr>
      </w:pPr>
      <w:r w:rsidRPr="00EA648D">
        <w:rPr>
          <w:szCs w:val="24"/>
        </w:rPr>
        <w:t>Zhang, Y, LL Fan, SG Wang, and H Luo. 2024. “Short-Term Interaction Effects of PM2.5 and O3 on Daily Mortality: A Time-Series Study of Multiple Cities in China.” TOXICS 12 (8). doi:10.3390/toxics12080578.</w:t>
      </w:r>
    </w:p>
    <w:p w14:paraId="48D03535" w14:textId="77777777" w:rsidR="001F6162" w:rsidRPr="00EA648D" w:rsidRDefault="001F6162" w:rsidP="00EA648D">
      <w:pPr>
        <w:pStyle w:val="Bibliography"/>
        <w:ind w:left="382" w:right="22" w:hanging="360"/>
        <w:rPr>
          <w:szCs w:val="24"/>
        </w:rPr>
      </w:pPr>
      <w:r w:rsidRPr="00EA648D">
        <w:rPr>
          <w:szCs w:val="24"/>
        </w:rPr>
        <w:t>Zhao, Na, Xinyi Dong, Kan Huang, Joshua S. Fu, Marianne Tronstad Lund, Kengo Sudo, Daven Henze, et al. 2021. “Responses of Arctic Black Carbon and Surface Temperature to Multi-Region Emission Reductions: A Hemispheric Transport of Air Pollution Phase 2 (HTAP2) Ensemble Modeling Study.” Atmospheric Chemistry and Physics 21 (11). Copernicus GmbH: 8637–54. doi:10.5194/acp-21-8637-2021.</w:t>
      </w:r>
    </w:p>
    <w:p w14:paraId="76960AF7" w14:textId="77777777" w:rsidR="001F6162" w:rsidRPr="00EA648D" w:rsidRDefault="001F6162" w:rsidP="00EA648D">
      <w:pPr>
        <w:pStyle w:val="Bibliography"/>
        <w:ind w:left="382" w:right="22" w:hanging="360"/>
        <w:rPr>
          <w:szCs w:val="24"/>
        </w:rPr>
      </w:pPr>
      <w:r w:rsidRPr="00EA648D">
        <w:rPr>
          <w:szCs w:val="24"/>
        </w:rPr>
        <w:t>Zhao, Tianyu, Iana Markevych, Marcel Romanos, Dennis Nowak, and Joachim Heinrich. 2018. “Ambient Ozone Exposure and Mental Health: A Systematic Review of Epidemiological Studies.” Environmental Research 165 (August): 459–72. doi:10.1016/j.envres.2018.04.015.</w:t>
      </w:r>
    </w:p>
    <w:p w14:paraId="752FA854" w14:textId="77777777" w:rsidR="001F6162" w:rsidRPr="00EA648D" w:rsidRDefault="001F6162" w:rsidP="00EA648D">
      <w:pPr>
        <w:pStyle w:val="Bibliography"/>
        <w:ind w:left="382" w:right="22" w:hanging="360"/>
        <w:rPr>
          <w:szCs w:val="24"/>
        </w:rPr>
      </w:pPr>
      <w:r w:rsidRPr="00EA648D">
        <w:rPr>
          <w:szCs w:val="24"/>
        </w:rPr>
        <w:t>Zmirou, Denis, Joel Schwartz, Marc Saez, Antonella Zanobetti, Bogdan Wojtyniak, Giotta Touloumi, Claudia Spix, et al. 1998. “Time-Series Analysis of Air Pollution and Cause-Specific Mortality.” Epidemiology 9 (5). Lippincott Williams &amp; Wilkins: 495–503.</w:t>
      </w:r>
    </w:p>
    <w:p w14:paraId="0F109F04" w14:textId="46E064F9" w:rsidR="00C94DD2" w:rsidRPr="00C94DD2" w:rsidRDefault="00C94DD2" w:rsidP="00EA648D">
      <w:pPr>
        <w:pStyle w:val="NoSpacing"/>
        <w:ind w:left="382" w:right="22" w:hanging="360"/>
        <w:rPr>
          <w:i w:val="0"/>
          <w:iCs/>
        </w:rPr>
      </w:pPr>
      <w:r w:rsidRPr="00EA648D">
        <w:rPr>
          <w:i w:val="0"/>
          <w:iCs/>
          <w:szCs w:val="24"/>
        </w:rPr>
        <w:fldChar w:fldCharType="end"/>
      </w:r>
    </w:p>
    <w:sectPr w:rsidR="00C94DD2" w:rsidRPr="00C94DD2" w:rsidSect="00C94DD2">
      <w:footerReference w:type="default" r:id="rId10"/>
      <w:pgSz w:w="12240" w:h="15840"/>
      <w:pgMar w:top="1440" w:right="1440" w:bottom="1440" w:left="1440" w:header="720" w:footer="720" w:gutter="0"/>
      <w:cols w:space="720"/>
      <w:titlePg/>
      <w:docGrid w:linePitch="49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yan Erickson" w:date="2025-07-22T15:47:00Z" w:initials="RE">
    <w:p w14:paraId="4FB966BE" w14:textId="77777777" w:rsidR="00C94DD2" w:rsidRDefault="00C94DD2" w:rsidP="00C94DD2">
      <w:pPr>
        <w:pStyle w:val="CommentText"/>
      </w:pPr>
      <w:r>
        <w:rPr>
          <w:rStyle w:val="CommentReference"/>
          <w:rFonts w:eastAsiaTheme="majorEastAsia"/>
        </w:rPr>
        <w:annotationRef/>
      </w:r>
      <w:r>
        <w:t>Almost done with discussion of counties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FB966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6241851" w16cex:dateUtc="2025-07-22T2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FB966BE" w16cid:durableId="462418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B7F4B" w14:textId="77777777" w:rsidR="007A5C6F" w:rsidRDefault="007A5C6F" w:rsidP="00C94DD2">
      <w:r>
        <w:separator/>
      </w:r>
    </w:p>
  </w:endnote>
  <w:endnote w:type="continuationSeparator" w:id="0">
    <w:p w14:paraId="2458CB24" w14:textId="77777777" w:rsidR="007A5C6F" w:rsidRDefault="007A5C6F" w:rsidP="00C9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687440"/>
      <w:docPartObj>
        <w:docPartGallery w:val="Page Numbers (Bottom of Page)"/>
        <w:docPartUnique/>
      </w:docPartObj>
    </w:sdtPr>
    <w:sdtEndPr>
      <w:rPr>
        <w:noProof/>
        <w:szCs w:val="24"/>
      </w:rPr>
    </w:sdtEndPr>
    <w:sdtContent>
      <w:p w14:paraId="4AAEB4FF" w14:textId="7BBC36BF" w:rsidR="00C94DD2" w:rsidRPr="00C94DD2" w:rsidRDefault="00C94DD2">
        <w:pPr>
          <w:pStyle w:val="Footer"/>
          <w:jc w:val="center"/>
          <w:rPr>
            <w:szCs w:val="24"/>
          </w:rPr>
        </w:pPr>
        <w:r w:rsidRPr="00C94DD2">
          <w:rPr>
            <w:szCs w:val="24"/>
          </w:rPr>
          <w:fldChar w:fldCharType="begin"/>
        </w:r>
        <w:r w:rsidRPr="00C94DD2">
          <w:rPr>
            <w:szCs w:val="24"/>
          </w:rPr>
          <w:instrText xml:space="preserve"> PAGE   \* MERGEFORMAT </w:instrText>
        </w:r>
        <w:r w:rsidRPr="00C94DD2">
          <w:rPr>
            <w:szCs w:val="24"/>
          </w:rPr>
          <w:fldChar w:fldCharType="separate"/>
        </w:r>
        <w:r w:rsidRPr="00C94DD2">
          <w:rPr>
            <w:noProof/>
            <w:szCs w:val="24"/>
          </w:rPr>
          <w:t>2</w:t>
        </w:r>
        <w:r w:rsidRPr="00C94DD2">
          <w:rPr>
            <w:noProof/>
            <w:szCs w:val="24"/>
          </w:rPr>
          <w:fldChar w:fldCharType="end"/>
        </w:r>
      </w:p>
    </w:sdtContent>
  </w:sdt>
  <w:p w14:paraId="4304E627" w14:textId="77777777" w:rsidR="00C94DD2" w:rsidRDefault="00C94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9B118" w14:textId="77777777" w:rsidR="007A5C6F" w:rsidRDefault="007A5C6F" w:rsidP="00C94DD2">
      <w:r>
        <w:separator/>
      </w:r>
    </w:p>
  </w:footnote>
  <w:footnote w:type="continuationSeparator" w:id="0">
    <w:p w14:paraId="71FA4564" w14:textId="77777777" w:rsidR="007A5C6F" w:rsidRDefault="007A5C6F" w:rsidP="00C94DD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yan Erickson">
    <w15:presenceInfo w15:providerId="AD" w15:userId="S::ryer7052@colorado.edu::6e3278e8-8ffe-4108-9318-8dc719d348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2F"/>
    <w:rsid w:val="00055129"/>
    <w:rsid w:val="000C6EC6"/>
    <w:rsid w:val="000E28B7"/>
    <w:rsid w:val="001303B3"/>
    <w:rsid w:val="001A75EB"/>
    <w:rsid w:val="001F6162"/>
    <w:rsid w:val="0024692D"/>
    <w:rsid w:val="00260190"/>
    <w:rsid w:val="00271E56"/>
    <w:rsid w:val="00310C32"/>
    <w:rsid w:val="00370883"/>
    <w:rsid w:val="003770A7"/>
    <w:rsid w:val="00403167"/>
    <w:rsid w:val="00430130"/>
    <w:rsid w:val="00486630"/>
    <w:rsid w:val="00510165"/>
    <w:rsid w:val="005B317C"/>
    <w:rsid w:val="006A29BB"/>
    <w:rsid w:val="006B70A6"/>
    <w:rsid w:val="007A5C6F"/>
    <w:rsid w:val="008B0591"/>
    <w:rsid w:val="00903C6D"/>
    <w:rsid w:val="00916A29"/>
    <w:rsid w:val="00957D5A"/>
    <w:rsid w:val="009806F2"/>
    <w:rsid w:val="0098180C"/>
    <w:rsid w:val="009D7A82"/>
    <w:rsid w:val="00A868F0"/>
    <w:rsid w:val="00B50E79"/>
    <w:rsid w:val="00C040BE"/>
    <w:rsid w:val="00C52D37"/>
    <w:rsid w:val="00C671D7"/>
    <w:rsid w:val="00C94DD2"/>
    <w:rsid w:val="00D50406"/>
    <w:rsid w:val="00DD06CD"/>
    <w:rsid w:val="00E07B04"/>
    <w:rsid w:val="00E960F0"/>
    <w:rsid w:val="00EA648D"/>
    <w:rsid w:val="00EF7C1A"/>
    <w:rsid w:val="00F05C65"/>
    <w:rsid w:val="00F3212F"/>
    <w:rsid w:val="00F70485"/>
    <w:rsid w:val="00F93389"/>
    <w:rsid w:val="00FA5886"/>
    <w:rsid w:val="00FB4644"/>
    <w:rsid w:val="00FF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C053"/>
  <w15:chartTrackingRefBased/>
  <w15:docId w15:val="{07932195-43B4-48D9-B12B-F424D3BB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370883"/>
    <w:pPr>
      <w:overflowPunct w:val="0"/>
      <w:autoSpaceDE w:val="0"/>
      <w:autoSpaceDN w:val="0"/>
      <w:adjustRightInd w:val="0"/>
      <w:spacing w:after="0" w:line="240" w:lineRule="auto"/>
    </w:pPr>
    <w:rPr>
      <w:rFonts w:ascii="Century Schoolbook" w:eastAsia="Times New Roman" w:hAnsi="Century Schoolbook" w:cs="Times New Roman"/>
      <w:kern w:val="0"/>
      <w:szCs w:val="20"/>
      <w14:ligatures w14:val="none"/>
    </w:rPr>
  </w:style>
  <w:style w:type="paragraph" w:styleId="Heading1">
    <w:name w:val="heading 1"/>
    <w:basedOn w:val="Normal"/>
    <w:next w:val="Normal"/>
    <w:link w:val="Heading1Char"/>
    <w:uiPriority w:val="9"/>
    <w:qFormat/>
    <w:rsid w:val="00F32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1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1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1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1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1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1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1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1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1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1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1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1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12F"/>
    <w:rPr>
      <w:rFonts w:eastAsiaTheme="majorEastAsia" w:cstheme="majorBidi"/>
      <w:color w:val="272727" w:themeColor="text1" w:themeTint="D8"/>
    </w:rPr>
  </w:style>
  <w:style w:type="paragraph" w:styleId="Title">
    <w:name w:val="Title"/>
    <w:basedOn w:val="Normal"/>
    <w:next w:val="Normal"/>
    <w:link w:val="TitleChar"/>
    <w:uiPriority w:val="10"/>
    <w:qFormat/>
    <w:rsid w:val="00F321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12F"/>
    <w:pPr>
      <w:spacing w:before="160"/>
      <w:jc w:val="center"/>
    </w:pPr>
    <w:rPr>
      <w:i/>
      <w:iCs/>
      <w:color w:val="404040" w:themeColor="text1" w:themeTint="BF"/>
    </w:rPr>
  </w:style>
  <w:style w:type="character" w:customStyle="1" w:styleId="QuoteChar">
    <w:name w:val="Quote Char"/>
    <w:basedOn w:val="DefaultParagraphFont"/>
    <w:link w:val="Quote"/>
    <w:uiPriority w:val="29"/>
    <w:rsid w:val="00F3212F"/>
    <w:rPr>
      <w:i/>
      <w:iCs/>
      <w:color w:val="404040" w:themeColor="text1" w:themeTint="BF"/>
    </w:rPr>
  </w:style>
  <w:style w:type="paragraph" w:styleId="ListParagraph">
    <w:name w:val="List Paragraph"/>
    <w:basedOn w:val="Normal"/>
    <w:uiPriority w:val="34"/>
    <w:qFormat/>
    <w:rsid w:val="00F3212F"/>
    <w:pPr>
      <w:ind w:left="720"/>
      <w:contextualSpacing/>
    </w:pPr>
  </w:style>
  <w:style w:type="character" w:styleId="IntenseEmphasis">
    <w:name w:val="Intense Emphasis"/>
    <w:basedOn w:val="DefaultParagraphFont"/>
    <w:uiPriority w:val="21"/>
    <w:qFormat/>
    <w:rsid w:val="00F3212F"/>
    <w:rPr>
      <w:i/>
      <w:iCs/>
      <w:color w:val="0F4761" w:themeColor="accent1" w:themeShade="BF"/>
    </w:rPr>
  </w:style>
  <w:style w:type="paragraph" w:styleId="IntenseQuote">
    <w:name w:val="Intense Quote"/>
    <w:basedOn w:val="Normal"/>
    <w:next w:val="Normal"/>
    <w:link w:val="IntenseQuoteChar"/>
    <w:uiPriority w:val="30"/>
    <w:qFormat/>
    <w:rsid w:val="00F32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12F"/>
    <w:rPr>
      <w:i/>
      <w:iCs/>
      <w:color w:val="0F4761" w:themeColor="accent1" w:themeShade="BF"/>
    </w:rPr>
  </w:style>
  <w:style w:type="character" w:styleId="IntenseReference">
    <w:name w:val="Intense Reference"/>
    <w:basedOn w:val="DefaultParagraphFont"/>
    <w:uiPriority w:val="32"/>
    <w:qFormat/>
    <w:rsid w:val="00F3212F"/>
    <w:rPr>
      <w:b/>
      <w:bCs/>
      <w:smallCaps/>
      <w:color w:val="0F4761" w:themeColor="accent1" w:themeShade="BF"/>
      <w:spacing w:val="5"/>
    </w:rPr>
  </w:style>
  <w:style w:type="paragraph" w:styleId="Bibliography">
    <w:name w:val="Bibliography"/>
    <w:basedOn w:val="Normal"/>
    <w:next w:val="Normal"/>
    <w:uiPriority w:val="37"/>
    <w:unhideWhenUsed/>
    <w:rsid w:val="00C94DD2"/>
    <w:pPr>
      <w:ind w:left="720" w:hanging="720"/>
    </w:pPr>
  </w:style>
  <w:style w:type="character" w:styleId="CommentReference">
    <w:name w:val="annotation reference"/>
    <w:basedOn w:val="DefaultParagraphFont"/>
    <w:uiPriority w:val="99"/>
    <w:semiHidden/>
    <w:unhideWhenUsed/>
    <w:rsid w:val="00C94DD2"/>
    <w:rPr>
      <w:sz w:val="16"/>
      <w:szCs w:val="16"/>
    </w:rPr>
  </w:style>
  <w:style w:type="paragraph" w:styleId="CommentText">
    <w:name w:val="annotation text"/>
    <w:basedOn w:val="Normal"/>
    <w:link w:val="CommentTextChar"/>
    <w:uiPriority w:val="99"/>
    <w:unhideWhenUsed/>
    <w:rsid w:val="00C94DD2"/>
    <w:rPr>
      <w:sz w:val="20"/>
    </w:rPr>
  </w:style>
  <w:style w:type="character" w:customStyle="1" w:styleId="CommentTextChar">
    <w:name w:val="Comment Text Char"/>
    <w:basedOn w:val="DefaultParagraphFont"/>
    <w:link w:val="CommentText"/>
    <w:uiPriority w:val="99"/>
    <w:rsid w:val="00C94DD2"/>
    <w:rPr>
      <w:rFonts w:ascii="Century Schoolbook" w:eastAsia="Times New Roman" w:hAnsi="Century Schoolbook" w:cs="Times New Roman"/>
      <w:i/>
      <w:kern w:val="0"/>
      <w:sz w:val="20"/>
      <w:szCs w:val="20"/>
      <w14:ligatures w14:val="none"/>
    </w:rPr>
  </w:style>
  <w:style w:type="paragraph" w:styleId="Caption">
    <w:name w:val="caption"/>
    <w:basedOn w:val="Normal"/>
    <w:next w:val="Normal"/>
    <w:uiPriority w:val="35"/>
    <w:unhideWhenUsed/>
    <w:qFormat/>
    <w:rsid w:val="00C94DD2"/>
    <w:pPr>
      <w:spacing w:after="200"/>
    </w:pPr>
    <w:rPr>
      <w:i/>
      <w:iCs/>
      <w:color w:val="0E2841" w:themeColor="text2"/>
      <w:sz w:val="18"/>
      <w:szCs w:val="18"/>
    </w:rPr>
  </w:style>
  <w:style w:type="paragraph" w:styleId="Header">
    <w:name w:val="header"/>
    <w:basedOn w:val="Normal"/>
    <w:link w:val="HeaderChar"/>
    <w:uiPriority w:val="99"/>
    <w:unhideWhenUsed/>
    <w:rsid w:val="00C94DD2"/>
    <w:pPr>
      <w:tabs>
        <w:tab w:val="center" w:pos="4680"/>
        <w:tab w:val="right" w:pos="9360"/>
      </w:tabs>
    </w:pPr>
  </w:style>
  <w:style w:type="character" w:customStyle="1" w:styleId="HeaderChar">
    <w:name w:val="Header Char"/>
    <w:basedOn w:val="DefaultParagraphFont"/>
    <w:link w:val="Header"/>
    <w:uiPriority w:val="99"/>
    <w:rsid w:val="00C94DD2"/>
    <w:rPr>
      <w:rFonts w:ascii="Century Schoolbook" w:eastAsia="Times New Roman" w:hAnsi="Century Schoolbook" w:cs="Times New Roman"/>
      <w:i/>
      <w:kern w:val="0"/>
      <w:sz w:val="36"/>
      <w:szCs w:val="20"/>
      <w14:ligatures w14:val="none"/>
    </w:rPr>
  </w:style>
  <w:style w:type="paragraph" w:styleId="Footer">
    <w:name w:val="footer"/>
    <w:basedOn w:val="Normal"/>
    <w:link w:val="FooterChar"/>
    <w:uiPriority w:val="99"/>
    <w:unhideWhenUsed/>
    <w:rsid w:val="00C94DD2"/>
    <w:pPr>
      <w:tabs>
        <w:tab w:val="center" w:pos="4680"/>
        <w:tab w:val="right" w:pos="9360"/>
      </w:tabs>
    </w:pPr>
  </w:style>
  <w:style w:type="character" w:customStyle="1" w:styleId="FooterChar">
    <w:name w:val="Footer Char"/>
    <w:basedOn w:val="DefaultParagraphFont"/>
    <w:link w:val="Footer"/>
    <w:uiPriority w:val="99"/>
    <w:rsid w:val="00C94DD2"/>
    <w:rPr>
      <w:rFonts w:ascii="Century Schoolbook" w:eastAsia="Times New Roman" w:hAnsi="Century Schoolbook" w:cs="Times New Roman"/>
      <w:i/>
      <w:kern w:val="0"/>
      <w:sz w:val="36"/>
      <w:szCs w:val="20"/>
      <w14:ligatures w14:val="none"/>
    </w:rPr>
  </w:style>
  <w:style w:type="paragraph" w:styleId="NoSpacing">
    <w:name w:val="No Spacing"/>
    <w:uiPriority w:val="1"/>
    <w:qFormat/>
    <w:rsid w:val="00C94DD2"/>
    <w:pPr>
      <w:overflowPunct w:val="0"/>
      <w:autoSpaceDE w:val="0"/>
      <w:autoSpaceDN w:val="0"/>
      <w:adjustRightInd w:val="0"/>
      <w:spacing w:after="0" w:line="240" w:lineRule="auto"/>
    </w:pPr>
    <w:rPr>
      <w:rFonts w:ascii="Century Schoolbook" w:eastAsia="Times New Roman" w:hAnsi="Century Schoolbook" w:cs="Times New Roman"/>
      <w:i/>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17</Pages>
  <Words>13562</Words>
  <Characters>77309</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Erickson</dc:creator>
  <cp:keywords/>
  <dc:description/>
  <cp:lastModifiedBy>Ryan Erickson</cp:lastModifiedBy>
  <cp:revision>9</cp:revision>
  <dcterms:created xsi:type="dcterms:W3CDTF">2025-07-24T23:47:00Z</dcterms:created>
  <dcterms:modified xsi:type="dcterms:W3CDTF">2025-07-29T23:02:00Z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id="3Xqpn9z9"/&gt;&lt;style id="http://www.zotero.org/styles/chicago-author-date-16th-edition" locale="en-US"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