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D06CD" w14:textId="77777777" w:rsidR="00E0133D" w:rsidRPr="00E0133D" w:rsidRDefault="00E0133D" w:rsidP="00E0133D">
      <w:pPr>
        <w:jc w:val="center"/>
        <w:rPr>
          <w:szCs w:val="24"/>
        </w:rPr>
      </w:pPr>
      <w:r w:rsidRPr="00E0133D">
        <w:rPr>
          <w:szCs w:val="24"/>
        </w:rPr>
        <w:t>CHAPTER VII</w:t>
      </w:r>
    </w:p>
    <w:p w14:paraId="3BEAC183" w14:textId="77777777" w:rsidR="00E0133D" w:rsidRPr="00E0133D" w:rsidRDefault="00E0133D" w:rsidP="00E0133D">
      <w:pPr>
        <w:jc w:val="center"/>
        <w:rPr>
          <w:szCs w:val="24"/>
        </w:rPr>
      </w:pPr>
    </w:p>
    <w:p w14:paraId="380E8CAA" w14:textId="7DE19941" w:rsidR="00E0133D" w:rsidRPr="00E0133D" w:rsidRDefault="005E35EB" w:rsidP="00E0133D">
      <w:pPr>
        <w:jc w:val="center"/>
        <w:rPr>
          <w:szCs w:val="24"/>
        </w:rPr>
      </w:pPr>
      <w:r w:rsidRPr="00E0133D">
        <w:rPr>
          <w:szCs w:val="24"/>
        </w:rPr>
        <w:t>Conclusion</w:t>
      </w:r>
    </w:p>
    <w:p w14:paraId="213739F0" w14:textId="103ECA8F" w:rsidR="00E0133D" w:rsidRPr="00E0133D" w:rsidRDefault="00E0133D" w:rsidP="00E0133D">
      <w:pPr>
        <w:ind w:firstLine="720"/>
        <w:rPr>
          <w:rFonts w:eastAsiaTheme="minorEastAsia"/>
          <w:szCs w:val="24"/>
        </w:rPr>
      </w:pPr>
      <w:r w:rsidRPr="00E0133D">
        <w:rPr>
          <w:rFonts w:eastAsiaTheme="minorEastAsia"/>
          <w:szCs w:val="24"/>
        </w:rPr>
        <w:t>This project yielded low errors with to minimal incorporation of training values for each quantum mechanical geo-field representing surface O</w:t>
      </w:r>
      <w:r w:rsidRPr="00E0133D">
        <w:rPr>
          <w:rFonts w:eastAsiaTheme="minorEastAsia"/>
          <w:szCs w:val="24"/>
          <w:vertAlign w:val="subscript"/>
        </w:rPr>
        <w:t>3</w:t>
      </w:r>
      <w:r w:rsidRPr="00E0133D">
        <w:rPr>
          <w:rFonts w:eastAsiaTheme="minorEastAsia"/>
          <w:szCs w:val="24"/>
        </w:rPr>
        <w:t xml:space="preserve"> at each pixel. If completed properly, the new-found achievements of modern GIS can be further enhanced with in-situ measurements at consistent points. </w:t>
      </w:r>
      <w:r w:rsidRPr="00E0133D">
        <w:rPr>
          <w:szCs w:val="24"/>
        </w:rPr>
        <w:t xml:space="preserve">Errors seen in the models can be attributed to the </w:t>
      </w:r>
      <w:proofErr w:type="gramStart"/>
      <w:r w:rsidRPr="00E0133D">
        <w:rPr>
          <w:szCs w:val="24"/>
        </w:rPr>
        <w:t>filling</w:t>
      </w:r>
      <w:proofErr w:type="gramEnd"/>
      <w:r w:rsidRPr="00E0133D">
        <w:rPr>
          <w:szCs w:val="24"/>
        </w:rPr>
        <w:t xml:space="preserve"> of missing values via interpolation and imputation, and missing satellite data. While these values can be either gathered or better interpolated with GEE by adding the surrounding counties outside of the AOI, the pre-processing portion of this project was meant to establish the framework for continued research. The light work required to properly fill NA values should simply be done as part of a larger dissertation creating a model which effectively spans the US. Advanced applications of pre-processing methods would be significantly better for ensuring proper continuity in the initial time-series for variables such as NDVI and formaldehyde. While especially effective for datasets with only a few days missing (</w:t>
      </w:r>
      <w:proofErr w:type="spellStart"/>
      <w:r w:rsidRPr="00E0133D">
        <w:rPr>
          <w:szCs w:val="24"/>
        </w:rPr>
        <w:t>e.g</w:t>
      </w:r>
      <w:proofErr w:type="spellEnd"/>
      <w:r w:rsidRPr="00E0133D">
        <w:rPr>
          <w:szCs w:val="24"/>
        </w:rPr>
        <w:t xml:space="preserve"> TOM/OMI and </w:t>
      </w:r>
      <w:proofErr w:type="spellStart"/>
      <w:r w:rsidRPr="00E0133D">
        <w:rPr>
          <w:szCs w:val="24"/>
        </w:rPr>
        <w:t>GRIDmet</w:t>
      </w:r>
      <w:proofErr w:type="spellEnd"/>
      <w:r w:rsidRPr="00E0133D">
        <w:rPr>
          <w:szCs w:val="24"/>
        </w:rPr>
        <w:t xml:space="preserve"> collections), the interpolation and imputation methods are likely not suitable for long spans of missing data unless given proper consideration into historical available data. In addition, much of the display pre-processing a was complete in python and </w:t>
      </w:r>
      <w:proofErr w:type="spellStart"/>
      <w:r w:rsidRPr="00E0133D">
        <w:rPr>
          <w:szCs w:val="24"/>
        </w:rPr>
        <w:t>ArcPRO</w:t>
      </w:r>
      <w:proofErr w:type="spellEnd"/>
      <w:r w:rsidRPr="00E0133D">
        <w:rPr>
          <w:szCs w:val="24"/>
        </w:rPr>
        <w:t xml:space="preserve"> before final importations into GIMP 3.0 for final touch ups and color corrections. Despite the power of </w:t>
      </w:r>
      <w:proofErr w:type="spellStart"/>
      <w:r w:rsidRPr="00E0133D">
        <w:rPr>
          <w:szCs w:val="24"/>
        </w:rPr>
        <w:t>ArcPRO</w:t>
      </w:r>
      <w:proofErr w:type="spellEnd"/>
      <w:r w:rsidRPr="00E0133D">
        <w:rPr>
          <w:szCs w:val="24"/>
        </w:rPr>
        <w:t xml:space="preserve"> and its contributions to the GIS community, long series mapping such as this thesis did not seem worth the extra time associated with processing each final raster through a toolbox for display. Rather, the creation of such a toolbox which automatically corrects satellite imagery given its monitored value should be implemented as a further project and not as </w:t>
      </w:r>
      <w:r>
        <w:rPr>
          <w:szCs w:val="24"/>
        </w:rPr>
        <w:t>the</w:t>
      </w:r>
      <w:r w:rsidRPr="00E0133D">
        <w:rPr>
          <w:szCs w:val="24"/>
        </w:rPr>
        <w:t xml:space="preserve"> result of an MA thesis.</w:t>
      </w:r>
    </w:p>
    <w:p w14:paraId="5EB68068" w14:textId="77777777" w:rsidR="00E0133D" w:rsidRPr="00E0133D" w:rsidRDefault="00E0133D" w:rsidP="00E0133D">
      <w:pPr>
        <w:ind w:firstLine="720"/>
        <w:rPr>
          <w:szCs w:val="24"/>
        </w:rPr>
      </w:pPr>
      <w:r w:rsidRPr="00E0133D">
        <w:rPr>
          <w:rFonts w:eastAsiaTheme="minorEastAsia"/>
          <w:szCs w:val="24"/>
        </w:rPr>
        <w:t xml:space="preserve">This project also required the assumption that monitors were not moved, removing such monitors from the AOI. When a monitor is moved, it no longer offers the potential for future trends unless the original point location and measurements are properly combined prior to being initialized within an ensemble. </w:t>
      </w:r>
      <w:proofErr w:type="spellStart"/>
      <w:r w:rsidRPr="00E0133D">
        <w:rPr>
          <w:rFonts w:eastAsiaTheme="minorEastAsia"/>
          <w:szCs w:val="24"/>
        </w:rPr>
        <w:t>SMaRK</w:t>
      </w:r>
      <w:proofErr w:type="spellEnd"/>
      <w:r w:rsidRPr="00E0133D">
        <w:rPr>
          <w:rFonts w:eastAsiaTheme="minorEastAsia"/>
          <w:szCs w:val="24"/>
        </w:rPr>
        <w:t xml:space="preserve"> improvements would allow for the proper tuning of monitor locations and their location in reference to the overall geo-field driving process. Further work and incorporation of this method into spatial programs is necessary to unleash the full capacity of GIS into the modern world. The establishment of complex trend analysis from </w:t>
      </w:r>
      <w:proofErr w:type="spellStart"/>
      <w:r w:rsidRPr="00E0133D">
        <w:rPr>
          <w:rFonts w:eastAsiaTheme="minorEastAsia"/>
          <w:szCs w:val="24"/>
        </w:rPr>
        <w:t>GeoAI</w:t>
      </w:r>
      <w:proofErr w:type="spellEnd"/>
      <w:r w:rsidRPr="00E0133D">
        <w:rPr>
          <w:rFonts w:eastAsiaTheme="minorEastAsia"/>
          <w:szCs w:val="24"/>
        </w:rPr>
        <w:t xml:space="preserve"> and Big Data has finally enabled for the proper quantification of surface O</w:t>
      </w:r>
      <w:r w:rsidRPr="00E0133D">
        <w:rPr>
          <w:rFonts w:eastAsiaTheme="minorEastAsia"/>
          <w:szCs w:val="24"/>
          <w:vertAlign w:val="subscript"/>
        </w:rPr>
        <w:t>3</w:t>
      </w:r>
      <w:r w:rsidRPr="00E0133D">
        <w:rPr>
          <w:rFonts w:eastAsiaTheme="minorEastAsia"/>
          <w:szCs w:val="24"/>
        </w:rPr>
        <w:t xml:space="preserve"> estimations. Further applications of RK could advance optical technologies of numerous disciplines which utilize similar observations and correctional schema, e.g. correlating satellite imagery to rovers or stations on Mars. </w:t>
      </w:r>
    </w:p>
    <w:p w14:paraId="1A68F5EB" w14:textId="77777777" w:rsidR="00E0133D" w:rsidRPr="00E0133D" w:rsidRDefault="00E0133D" w:rsidP="00E0133D">
      <w:pPr>
        <w:ind w:firstLine="720"/>
        <w:rPr>
          <w:szCs w:val="24"/>
        </w:rPr>
      </w:pPr>
      <w:r w:rsidRPr="00E0133D">
        <w:rPr>
          <w:szCs w:val="24"/>
        </w:rPr>
        <w:t xml:space="preserve">Remote sensing engineers are constantly finding adaptations to algorithms and noisy data to reduce the error of its coarse results. Utilizing monitoring points as geo-atoms associated with the process they are meant to depict incorporates the concept of GCPs seen in extremely high-resolution remote sensing via remote piloting of drone technology. GCPs in this field are stagnant points which the drone </w:t>
      </w:r>
      <w:r w:rsidRPr="00E0133D">
        <w:rPr>
          <w:szCs w:val="24"/>
        </w:rPr>
        <w:lastRenderedPageBreak/>
        <w:t>can always see to relate a constant point to all images which need to be tiles. High-resolution satellite retrievals are stored and shared via similar tiling of data, requiring interpolation and resampling techniques like the ones in this thesis. If imagery can be associated with a monitored location during the resampling methods, the concept of an uncertain geo-atom can be accounted for and further reduce the error of the image. This project showed that the application of spatial thought with ML/AI ensembles can better depict geographic patterns and trends noted by analyses of known observations. With better high-resolution surface O</w:t>
      </w:r>
      <w:r w:rsidRPr="00E0133D">
        <w:rPr>
          <w:szCs w:val="24"/>
          <w:vertAlign w:val="subscript"/>
        </w:rPr>
        <w:t>3</w:t>
      </w:r>
      <w:r w:rsidRPr="00E0133D">
        <w:rPr>
          <w:szCs w:val="24"/>
        </w:rPr>
        <w:t xml:space="preserve"> representations, many communities can be protected from risks associated with it and its constituents. </w:t>
      </w:r>
    </w:p>
    <w:p w14:paraId="47AEED92" w14:textId="0260CECD" w:rsidR="00E0133D" w:rsidRPr="00E0133D" w:rsidRDefault="005E35EB" w:rsidP="00E0133D">
      <w:pPr>
        <w:jc w:val="center"/>
        <w:rPr>
          <w:szCs w:val="24"/>
        </w:rPr>
      </w:pPr>
      <w:r>
        <w:rPr>
          <w:szCs w:val="24"/>
        </w:rPr>
        <w:t xml:space="preserve">VII.1. </w:t>
      </w:r>
      <w:r w:rsidRPr="00E0133D">
        <w:rPr>
          <w:szCs w:val="24"/>
        </w:rPr>
        <w:t xml:space="preserve">Interpolation </w:t>
      </w:r>
      <w:r>
        <w:rPr>
          <w:szCs w:val="24"/>
        </w:rPr>
        <w:t>v</w:t>
      </w:r>
      <w:r w:rsidRPr="00E0133D">
        <w:rPr>
          <w:szCs w:val="24"/>
        </w:rPr>
        <w:t>s</w:t>
      </w:r>
      <w:r>
        <w:rPr>
          <w:szCs w:val="24"/>
        </w:rPr>
        <w:t>.</w:t>
      </w:r>
      <w:r w:rsidRPr="00E0133D">
        <w:rPr>
          <w:szCs w:val="24"/>
        </w:rPr>
        <w:t xml:space="preserve"> Imputation Strategies</w:t>
      </w:r>
    </w:p>
    <w:p w14:paraId="1CDCD288" w14:textId="77777777" w:rsidR="00E0133D" w:rsidRPr="00E0133D" w:rsidRDefault="00E0133D" w:rsidP="00E0133D">
      <w:pPr>
        <w:ind w:firstLine="720"/>
        <w:rPr>
          <w:szCs w:val="24"/>
        </w:rPr>
      </w:pPr>
      <w:r w:rsidRPr="00E0133D">
        <w:rPr>
          <w:szCs w:val="24"/>
        </w:rPr>
        <w:t>The results of the employed K-nearest neighbors (KNN) imputation on the dependent variable achieved a high degree of accuracy due to the available data in this study’s timeframe. Interpolation can be expanded among the entirety of the dataset older measurements from dismantled monitors wish to be utilized. Imputation was crucial for achieving consistency across the available monitors and ensured reliable data for final model training and evaluation. The Linear and Modified Akima interpolation strategies used on the maximum value may not be the best predictive measure if given a larger temporal resolution or reactive feature such as an aerosol. When imputation was conducted on data from 2000-2024, numerous aerosols benefited from 2</w:t>
      </w:r>
      <w:r w:rsidRPr="00E0133D">
        <w:rPr>
          <w:szCs w:val="24"/>
          <w:vertAlign w:val="superscript"/>
        </w:rPr>
        <w:t>nd</w:t>
      </w:r>
      <w:r w:rsidRPr="00E0133D">
        <w:rPr>
          <w:szCs w:val="24"/>
        </w:rPr>
        <w:t xml:space="preserve"> and 3</w:t>
      </w:r>
      <w:r w:rsidRPr="00E0133D">
        <w:rPr>
          <w:szCs w:val="24"/>
          <w:vertAlign w:val="superscript"/>
        </w:rPr>
        <w:t>rd</w:t>
      </w:r>
      <w:r w:rsidRPr="00E0133D">
        <w:rPr>
          <w:szCs w:val="24"/>
        </w:rPr>
        <w:t xml:space="preserve"> degree polynomial interpolation strategies. In addition, interpolation may not be as effective for highly responsive variables such as CO, NO, and Formaldehyde, as these constituents typically show high variability at fine temporal scales. Imputation can be further utilized to accurately predict these features; however, the overall estimation of unknown values leads to increased spreads of error in the final model. This project focused on interpolation of unknown values with the methodology for imputations provided in case it’s needed.</w:t>
      </w:r>
    </w:p>
    <w:p w14:paraId="5E8572BD" w14:textId="59F5C7E9" w:rsidR="00E0133D" w:rsidRPr="00E0133D" w:rsidRDefault="005E35EB" w:rsidP="00E0133D">
      <w:pPr>
        <w:jc w:val="center"/>
        <w:rPr>
          <w:szCs w:val="24"/>
        </w:rPr>
      </w:pPr>
      <w:r>
        <w:rPr>
          <w:szCs w:val="24"/>
        </w:rPr>
        <w:t xml:space="preserve">VII.2. </w:t>
      </w:r>
      <w:r w:rsidRPr="00E0133D">
        <w:rPr>
          <w:szCs w:val="24"/>
        </w:rPr>
        <w:t>Feature Evaluation, Importance and Development</w:t>
      </w:r>
    </w:p>
    <w:p w14:paraId="408F9381" w14:textId="06DD6135" w:rsidR="00E0133D" w:rsidRPr="00E0133D" w:rsidRDefault="00E0133D" w:rsidP="00E0133D">
      <w:pPr>
        <w:ind w:firstLine="720"/>
        <w:rPr>
          <w:szCs w:val="24"/>
        </w:rPr>
      </w:pPr>
      <w:r w:rsidRPr="00E0133D">
        <w:rPr>
          <w:szCs w:val="24"/>
        </w:rPr>
        <w:t xml:space="preserve">Most of the satellite data launched in late 2018 were highly correlated with surface ozone. Individual features known to be precursors for surface ozone reactions from prior models and simulations </w:t>
      </w:r>
      <w:r w:rsidRPr="00E0133D">
        <w:rPr>
          <w:szCs w:val="24"/>
        </w:rPr>
        <w:fldChar w:fldCharType="begin"/>
      </w:r>
      <w:r w:rsidR="00AC21CF">
        <w:rPr>
          <w:szCs w:val="24"/>
        </w:rPr>
        <w:instrText xml:space="preserve"> ADDIN ZOTERO_ITEM CSL_CITATION {"citationID":"oPmC3uyO","properties":{"formattedCitation":"(Ahmadov et al. 2015; Akimoto et al. 2019; Bowdalo, Evans, and Sofen 2016; Engardt 2008; Hakim et al. 2019; Jacob 2000)","plainCitation":"(Ahmadov et al. 2015; Akimoto et al. 2019; Bowdalo, Evans, and Sofen 2016; Engardt 2008; Hakim et al. 2019; Jacob 2000)","noteIndex":0},"citationItems":[{"id":"kDOdxzcL/4dFHAP2k","uris":["http://zotero.org/users/15391371/items/TJZBIZVJ"],"itemData":{"id":475,"type":"article-journal","abstract":"Abstract. Recent increases in oil and natural gas (NG) production throughout the western US have come with scientific and public interest in emission rates, air quality and climate impacts related to this industry. This study uses a regional-scale air quality model (WRF-Chem) to simulate high ozone (O3) episodes during the winter of 2013 over the Uinta Basin (UB) in northeastern Utah, which is densely populated by thousands of oil and NG wells. The high-resolution meteorological simulations are able qualitatively to reproduce the wintertime cold pool conditions that occurred in 2013, allowing the model to reproduce the observed multi-day buildup of atmospheric pollutants and the accompanying rapid photochemical ozone formation in the UB.  Two different emission scenarios for the oil and NG sector were employed in this study. The first emission scenario (bottom-up) was based on the US Environmental Protection Agency (EPA) National Emission Inventory (NEI) (2011, version 1) for the oil and NG sector for the UB. The second emission scenario (top-down) was based on estimates of methane (CH4) emissions derived from in situ aircraft measurements and a regression analysis for multiple species relative to CH4 concentration measurements in the UB. Evaluation of the model results shows greater underestimates of CH4 and other volatile organic compounds (VOCs) in the simulation with the NEI-2011 inventory than in the case when the top-down emission scenario was used. Unlike VOCs, the NEI-2011 inventory significantly overestimates the emissions of nitrogen oxides (NOx), while the top-down emission scenario results in a moderate negative bias. The model simulation using the top-down emission case captures the buildup and afternoon peaks observed during high O3 episodes. In contrast, the simulation using the bottom-up inventory is not able to reproduce any of the observed high O3 concentrations in the UB. Simple emission reduction scenarios show that O3 production is VOC sensitive and NOx insensitive within the UB. The model results show a disproportionate contribution of aromatic VOCs to O3 formation relative to all other VOC emissions. The model analysis reveals that the major factors driving high wintertime O3 in the UB are shallow boundary layers with light winds, high emissions of VOCs from oil and NG operations compared to NOx emissions, enhancement of photolysis fluxes and reduction of O3 loss from deposition due to snow cover.","container-title":"Atmospheric Chemistry and Physics","DOI":"10.5194/acp-15-411-2015","ISSN":"1680-7324","issue":"1","journalAbbreviation":"Atmos. Chem. Phys.","language":"en","license":"https://creativecommons.org/licenses/by/3.0/","page":"411-429","source":"DOI.org (Crossref)","title":"Understanding high wintertime ozone pollution events in an oil- and natural gas-producing region of the western US","volume":"15","author":[{"family":"Ahmadov","given":"R."},{"family":"McKeen","given":"S."},{"family":"Trainer","given":"M."},{"family":"Banta","given":"R."},{"family":"Brewer","given":"A."},{"family":"Brown","given":"S."},{"family":"Edwards","given":"P. M."},{"family":"De Gouw","given":"J. A."},{"family":"Frost","given":"G. J."},{"family":"Gilman","given":"J."},{"family":"Helmig","given":"D."},{"family":"Johnson","given":"B."},{"family":"Karion","given":"A."},{"family":"Koss","given":"A."},{"family":"Langford","given":"A."},{"family":"Lerner","given":"B."},{"family":"Olson","given":"J."},{"family":"Oltmans","given":"S."},{"family":"Peischl","given":"J."},{"family":"Pétron","given":"G."},{"family":"Pichugina","given":"Y."},{"family":"Roberts","given":"J. M."},{"family":"Ryerson","given":"T."},{"family":"Schnell","given":"R."},{"family":"Senff","given":"C."},{"family":"Sweeney","given":"C."},{"family":"Thompson","given":"C."},{"family":"Veres","given":"P. R."},{"family":"Warneke","given":"C."},{"family":"Wild","given":"R."},{"family":"Williams","given":"E. J."},{"family":"Yuan","given":"B."},{"family":"Zamora","given":"R."}],"issued":{"date-parts":[["2015",1,14]]}}},{"id":"kDOdxzcL/hmibz2uO","uris":["http://zotero.org/users/15391371/items/DHJA3FVZ"],"itemData":{"id":2959,"type":"article-journal","abstract":"In order to clarify the causes of variability among the model outputs for surface ozone in the Model Intercomparison Study Asia Phase III (MICS-Asia III), three regional models, CMAQ v.5.0.2, CMAQ v.4.7.1, and NAQPMS (abbreviated as NAQM in this paper), have been selected. Detailed analyses of monthly averaged diurnal variation have been performed for selected grids covering the metropolitan areas of Beijing and Tokyo and at a remote oceanic site, Oki. The chemical reaction mechanism, SAPRC99, used in the CMAQ models tended to give a higher net chemical ozone production than CBM-Z used in NAQM, agreeing with previous studies. Inclusion of the heterogeneous \"renoxification\" reaction of HNO3 (on soot surface) -&gt; NO + NO2 only in NAQM would give a higher NO concentration resulting in a better agreement with observational data for NO and night-time O-3 mixing ratios. In addition to chemical processes, the difference in the vertical transport of O-3 was found to affect the simulated results significantly. Particularly, the increase in downward O-3 flux from the upper layer to the surface after dawn was found to be substantially different among the models. Larger early morning vertical transport of O-3 simulated by CMAQ 5.0.2 is thought to be the reason for higher daytime O-3 in July in this model. All three models overestimated the daytime ozone by ca. 20 ppbv at the remote site Oki in July, where in situ photochemical activity is minimal.","archive_location":"WOS:000456028700002","container-title":"ATMOSPHERIC CHEMISTRY AND PHYSICS","DOI":"10.5194/acp-19-603-2019","ISSN":"1680-7316","issue":"1","page":"603-615","title":"Comparison of surface ozone simulation among selected regional models in MICS-Asia III - effects of chemistry and vertical transport for the causes of difference","volume":"19","author":[{"family":"Akimoto","given":"Hajime"},{"family":"Nagashima","given":"Tatsuya"},{"family":"Li","given":"Jie"},{"family":"Fu","given":"Joshua S."},{"family":"Ji","given":"Dongsheng"},{"family":"Tan","given":"Jiani"},{"family":"Wang","given":"Zifa"}],"issued":{"date-parts":[["2019",1,16]]}}},{"id":"kDOdxzcL/KhrUjKpI","uris":["http://zotero.org/users/15391371/items/YFAW2EKC"],"itemData":{"id":2786,"type":"article-journal","abstract":"Models of atmospheric composition play an essential role in our scientific understanding of atmospheric processes and in providing policy strategies to deal with societally relevant problems such as climate change, air quality, and ecosystem degradation. The fidelity of these models needs to be assessed against observations to ensure that errors in model formulations are found and that model limitations are understood. A range of approaches are necessary for these comparisons. Here, we apply a spectral analysis methodology for this comparison. We use the Lomb-Scargle periodogram, a method similar to a Fourier transform, but better suited to deal with the gapped data sets typical of observational data. We apply this methodology to long-term hourly ozone observations and the equivalent model (GEOS-Chem) output. We show that the spectrally transformed observational data show a distinct power spectrum with regimes indicative of meteorological processes (weather, macroweather) and specific peaks observed at the daily and annual timescales together with corresponding harmonic peaks at one-half, one-third, etc., of these frequencies. Model output shows corresponding features. A comparison between the amplitude and phase of these peaks introduces a new comparison methodology between model and measurements. We focus on the amplitude and phase of diurnal and seasonal cycles and present observational/model comparisons and discuss model performance. We find large biases notably for the seasonal cycle in the mid-latitude Northern Hemisphere where the amplitudes are generally overestimated by up to 16 ppbv, and phases are too late on the order of 1-5 months. This spectral methodology can be applied to a range of model-measurement applications and is highly suitable for Multimodel Intercomparison Projects (MIPs).","archive_location":"WOS:000381091400015","container-title":"ATMOSPHERIC CHEMISTRY AND PHYSICS","DOI":"10.5194/acp-16-8295-2016","ISSN":"1680-7316","issue":"13","page":"8295-8308","title":"Spectral analysis of atmospheric composition: application to surface ozone model-measurement comparisons","volume":"16","author":[{"family":"Bowdalo","given":"Dene R."},{"family":"Evans","given":"Mathew J."},{"family":"Sofen","given":"Eric D."}],"issued":{"date-parts":[["2016"]]}}},{"id":"kDOdxzcL/UkCf3byh","uris":["http://zotero.org/users/15391371/items/9BJ6W797"],"itemData":{"id":2763,"type":"article-journal","abstract":"Hourly, three-dimensional, fields of tropospheric ozone have been produced for 12 consecutive months on a domain covering South Asia, using the regional Eulerian off-line chemistry transport model MATCH. The results were compared with background observations to investigate diurnal and seasonal variations of near-surface ozone in the region. MATCH reproduced the seasonality of near-surface ozone at most locations in the area. However, the current, and previous, studies indicate that the model consequently overestimate night-time concentrations, while it occasionally underestimates the day-time, near-surface, ozone concentrations. The lowest monthly-mean concentrations of near-surface ozone are typically experienced in June-September, coincident with the rainy season in most areas. The seasonality is not identical across the domain; some locations have a completely different trend. Large areas in Northern India and Nepal show a secondary minimum during the cold winter season (December-January). High concentrations of near-surface ozone are found over the oceans, close to the Indian subcontinent, due to the less efficient dry deposition to water surfaces; over parts of Tibet due to influence of free tropospheric air and little deposition to snow covered surfaces; and along the Gangetic valley due to the large emissions of precursors in this region. Monthly-mean ozone concentrations in the densely populated northern India range from 30-45 ppb(v). The model results were also used to produce maps of AOT40. The results point towards similar levels of AOT40 in India as in Europe: large areas of India show 3-month AOT40 values above 3 ppm(v) hours.","archive_location":"WOS:000254090200004","container-title":"JOURNAL OF ATMOSPHERIC CHEMISTRY","DOI":"10.1007/s10874-008-9096-z","ISSN":"0167-7764","issue":"1","page":"61-80","title":"Modelling of near-surface ozone over South Asia","volume":"59","author":[{"family":"Engardt","given":"Magnuz"}],"issued":{"date-parts":[["2008",1]]}}},{"id":"kDOdxzcL/IsGn1ROa","uris":["http://zotero.org/users/15391371/items/SXS7Z9G9"],"itemData":{"id":79,"type":"article-journal","abstract":"Here we present results from an evaluation of model simulations from the International Hemispheric Transport of Air Pollution Phase II (HTAPII) and Chemistry Climate Model Initiative (CCMI) model inter-comparison projects against a comprehensive series of ground-based, aircraft and satellite observations of ozone mixing ratios made at various locations across India. The study focuses on the recent past (observations from 2008 to 2013, models from 2009–2010) as this is most pertinent to understanding the health impacts of ozone. To our understanding this is the most comprehensive evaluation of these models' simulations of ozone across the Indian subcontinent to date. This study highlights some significant successes and challenges that the models face in representing the oxidative chemistry of the region.\n\n The multi-model range in area-weighted surface ozone over the Indian subcontinent is 37.26–56.11&amp;thinsp;ppb, whilst the population-weighted range is 41.38–57.5&amp;thinsp;ppb. When compared against surface observations from the Modelling Atmospheric Pollution and Networking (MAPAN) network of eight semi-urban monitoring sites spread across India, we find that the models tend to simulate higher ozone than that which is observed. However, observations of NOx and CO tend to be much higher than modelled mixing ratios, suggesting that the underlying emissions used in the models do not characterise these regions accurately and/or that the resolution of the models is not adequate to simulate the photo-chemical environment of these surface observations. Empirical orthogonal function (EOF) analysis is used in order to identify the extent to which the models agree with regards to the spatio-temporal distribution of the tropospheric ozone column, derived using OMI-MLS observations. We show that whilst the models agree with the spatial pattern of the first EOF of observed tropospheric ozone column, most of the models simulate a peak in the first EOF seasonal cycle represented by principle component 1, which is later than the observed peak. This suggests a widespread systematic bias in the timing of emissions or some other unknown seasonal process.\n\n In addition to evaluating modelled ozone mixing ratios, we explore modelled emissions of NOx, CO, volatile organic compounds (VOCs) and the ozone response to the emissions. We find a high degree of variation in emissions from non-anthropogenic sources (e.g. lightning NOx and biomass burning CO) between models. Total emissions of NOx and CO over India vary more between different models in the same model intercomparison project (MIP) than the same model used in different MIPs, making it impossible to diagnose whether differences in modelled ozone are due to emissions or model processes. We therefore recommend targeted experiments to pinpoint the exact causes of discrepancies between modelled and observed ozone and ozone precursors for this region. To this end, a higher density of long-term monitoring sites measuring not only ozone but also ozone precursors including speciated VOCs, located in more rural regions of the Indian subcontinent, would enable improvements in assessing the biases in models run at the resolution found in HTAPII and CCMI.","container-title":"Atmospheric Chemistry and Physics","DOI":"10.5194/acp-19-6437-2019","ISSN":"1680-7316","issue":"9","language":"English","note":"publisher: Copernicus GmbH","page":"6437-6458","source":"Copernicus Online Journals","title":"Evaluation of tropospheric ozone and ozone precursors in simulations from the HTAPII and CCMI model intercomparisons – a focus on the Indian subcontinent","volume":"19","author":[{"family":"Hakim","given":"Zainab Q."},{"family":"Archer-Nicholls","given":"Scott"},{"family":"Beig","given":"Gufran"},{"family":"Folberth","given":"Gerd A."},{"family":"Sudo","given":"Kengo"},{"family":"Abraham","given":"Nathan Luke"},{"family":"Ghude","given":"Sachin"},{"family":"Henze","given":"Daven K."},{"family":"Archibald","given":"Alexander T."}],"issued":{"date-parts":[["2019",5,16]]}}},{"id":"kDOdxzcL/x2Y2IJu4","uris":["http://zotero.org/users/15391371/items/3CRSQ9SM"],"itemData":{"id":631,"type":"article-journal","container-title":"Atmospheric Environment","DOI":"10.1016/S1352-2310(99)00462-8","ISSN":"13522310","issue":"12-14","license":"https://www.elsevier.com/tdm/userlicense/1.0/","page":"2131-2159","source":"DOI.org (Crossref)","title":"Heterogeneous chemistry and tropospheric ozone","volume":"34","author":[{"family":"Jacob","given":"D"}],"issued":{"date-parts":[["2000"]]}}}],"schema":"https://github.com/citation-style-language/schema/raw/master/csl-citation.json"} </w:instrText>
      </w:r>
      <w:r w:rsidRPr="00E0133D">
        <w:rPr>
          <w:szCs w:val="24"/>
        </w:rPr>
        <w:fldChar w:fldCharType="separate"/>
      </w:r>
      <w:r w:rsidRPr="00E0133D">
        <w:rPr>
          <w:szCs w:val="24"/>
        </w:rPr>
        <w:t xml:space="preserve">(Ahmadov et al. 2015; Akimoto et al. 2019; </w:t>
      </w:r>
      <w:proofErr w:type="spellStart"/>
      <w:r w:rsidRPr="00E0133D">
        <w:rPr>
          <w:szCs w:val="24"/>
        </w:rPr>
        <w:t>Bowdalo</w:t>
      </w:r>
      <w:proofErr w:type="spellEnd"/>
      <w:r w:rsidRPr="00E0133D">
        <w:rPr>
          <w:szCs w:val="24"/>
        </w:rPr>
        <w:t xml:space="preserve">, Evans, and </w:t>
      </w:r>
      <w:proofErr w:type="spellStart"/>
      <w:r w:rsidRPr="00E0133D">
        <w:rPr>
          <w:szCs w:val="24"/>
        </w:rPr>
        <w:t>Sofen</w:t>
      </w:r>
      <w:proofErr w:type="spellEnd"/>
      <w:r w:rsidRPr="00E0133D">
        <w:rPr>
          <w:szCs w:val="24"/>
        </w:rPr>
        <w:t xml:space="preserve"> 2016; Engardt 2008; Hakim et al. 2019; Jacob 2000)</w:t>
      </w:r>
      <w:r w:rsidRPr="00E0133D">
        <w:rPr>
          <w:szCs w:val="24"/>
        </w:rPr>
        <w:fldChar w:fldCharType="end"/>
      </w:r>
      <w:r w:rsidRPr="00E0133D">
        <w:rPr>
          <w:szCs w:val="24"/>
        </w:rPr>
        <w:t xml:space="preserve"> were among the top features. The distribution of latitudes, longitudes and elevation were heavily skewed as per </w:t>
      </w:r>
      <w:r w:rsidRPr="00E0133D">
        <w:rPr>
          <w:szCs w:val="24"/>
          <w:highlight w:val="yellow"/>
        </w:rPr>
        <w:t>Table X</w:t>
      </w:r>
      <w:r w:rsidRPr="00E0133D">
        <w:rPr>
          <w:szCs w:val="24"/>
        </w:rPr>
        <w:t xml:space="preserve">; while a more normal distribution of these features may provide higher correlation areas spanning numerous elevations, two main caveats still come to light from using latitudes and longitudes as a numerical feature in geospatial models: </w:t>
      </w:r>
    </w:p>
    <w:p w14:paraId="5F1A8358" w14:textId="77777777" w:rsidR="00E0133D" w:rsidRPr="00E0133D" w:rsidRDefault="00E0133D" w:rsidP="00E0133D">
      <w:pPr>
        <w:pStyle w:val="ListParagraph"/>
        <w:numPr>
          <w:ilvl w:val="0"/>
          <w:numId w:val="2"/>
        </w:numPr>
        <w:spacing w:after="0" w:line="240" w:lineRule="auto"/>
        <w:rPr>
          <w:rFonts w:ascii="Century Schoolbook" w:hAnsi="Century Schoolbook"/>
          <w:i w:val="0"/>
        </w:rPr>
      </w:pPr>
      <w:r w:rsidRPr="00E0133D">
        <w:rPr>
          <w:rFonts w:ascii="Century Schoolbook" w:hAnsi="Century Schoolbook"/>
          <w:i w:val="0"/>
        </w:rPr>
        <w:t>They are essentially properties of a geo-atom, such as time, elevation, site-id, etc.; incorporating a property as a feature is like incorporating a tuning metric into the model as a feature.</w:t>
      </w:r>
    </w:p>
    <w:p w14:paraId="172DABC0" w14:textId="77777777" w:rsidR="00E0133D" w:rsidRPr="00E0133D" w:rsidRDefault="00E0133D" w:rsidP="00E0133D">
      <w:pPr>
        <w:pStyle w:val="ListParagraph"/>
        <w:numPr>
          <w:ilvl w:val="0"/>
          <w:numId w:val="2"/>
        </w:numPr>
        <w:spacing w:after="0" w:line="240" w:lineRule="auto"/>
        <w:rPr>
          <w:rFonts w:ascii="Century Schoolbook" w:hAnsi="Century Schoolbook"/>
          <w:i w:val="0"/>
        </w:rPr>
      </w:pPr>
      <w:r w:rsidRPr="00E0133D">
        <w:rPr>
          <w:rFonts w:ascii="Century Schoolbook" w:hAnsi="Century Schoolbook"/>
          <w:i w:val="0"/>
        </w:rPr>
        <w:t xml:space="preserve">The spatial dependency of a monitor’s metrological depiction is provided by a transformation based on its remotely sensed source, numerical </w:t>
      </w:r>
      <w:r w:rsidRPr="00E0133D">
        <w:rPr>
          <w:rFonts w:ascii="Century Schoolbook" w:hAnsi="Century Schoolbook"/>
          <w:i w:val="0"/>
        </w:rPr>
        <w:lastRenderedPageBreak/>
        <w:t xml:space="preserve">representations of spatial data artificially group these transformations and adds bias to models </w:t>
      </w:r>
    </w:p>
    <w:p w14:paraId="4E22A3FD" w14:textId="77777777" w:rsidR="00E0133D" w:rsidRPr="00E0133D" w:rsidRDefault="00E0133D" w:rsidP="00E0133D">
      <w:pPr>
        <w:rPr>
          <w:szCs w:val="24"/>
        </w:rPr>
      </w:pPr>
      <w:r w:rsidRPr="00E0133D">
        <w:rPr>
          <w:szCs w:val="24"/>
        </w:rPr>
        <w:t xml:space="preserve">ML/AI ensembles utilizing geospatial data are estimating trends based on geo-atoms gathered over the estimated AOI in the way of pixels. When latitudes and longitudes are incorporated into prediction, the distribution must be assumed normal, hence why </w:t>
      </w:r>
      <w:proofErr w:type="gramStart"/>
      <w:r w:rsidRPr="00E0133D">
        <w:rPr>
          <w:szCs w:val="24"/>
        </w:rPr>
        <w:t>these may</w:t>
      </w:r>
      <w:proofErr w:type="gramEnd"/>
      <w:r w:rsidRPr="00E0133D">
        <w:rPr>
          <w:szCs w:val="24"/>
        </w:rPr>
        <w:t xml:space="preserve"> not yield significant results in AOIs whose spatial properties don’t vary via the typical normal bell-curve. </w:t>
      </w:r>
    </w:p>
    <w:p w14:paraId="21FA0671" w14:textId="483D9E1F" w:rsidR="00E0133D" w:rsidRPr="00E0133D" w:rsidRDefault="00E0133D" w:rsidP="00E0133D">
      <w:pPr>
        <w:ind w:firstLine="720"/>
        <w:rPr>
          <w:szCs w:val="24"/>
        </w:rPr>
      </w:pPr>
      <w:r w:rsidRPr="00E0133D">
        <w:rPr>
          <w:szCs w:val="24"/>
        </w:rPr>
        <w:t xml:space="preserve">Residual Kriging offers a more stable solution to incorporate geospatial data into ML/AI by integrating geo-atoms as separate, predictive measures. They become a feature of the model without acting as a feature withing the ensemble itself, better depicting spatial dependance and improving overall accuracy as seen in this study. RK is written to model spatial drift, which is difficult to capture for ML/AI models as </w:t>
      </w:r>
      <w:r w:rsidR="005E35EB" w:rsidRPr="00E0133D">
        <w:rPr>
          <w:szCs w:val="24"/>
        </w:rPr>
        <w:t>a</w:t>
      </w:r>
      <w:r w:rsidRPr="00E0133D">
        <w:rPr>
          <w:szCs w:val="24"/>
        </w:rPr>
        <w:t xml:space="preserve"> dependent variable; RK enhancements to the final models account for drift while separating the prediction from group bias. As per the literature review, finely tuned models such as WRFC-XGB and MATCH</w:t>
      </w:r>
      <w:r w:rsidRPr="00E0133D">
        <w:rPr>
          <w:rStyle w:val="FootnoteReference"/>
          <w:szCs w:val="24"/>
        </w:rPr>
        <w:footnoteReference w:id="1"/>
      </w:r>
      <w:r w:rsidRPr="00E0133D">
        <w:rPr>
          <w:szCs w:val="24"/>
        </w:rPr>
        <w:t xml:space="preserve"> </w:t>
      </w:r>
      <w:r w:rsidRPr="00E0133D">
        <w:rPr>
          <w:szCs w:val="24"/>
        </w:rPr>
        <w:fldChar w:fldCharType="begin"/>
      </w:r>
      <w:r w:rsidR="00AC21CF">
        <w:rPr>
          <w:szCs w:val="24"/>
        </w:rPr>
        <w:instrText xml:space="preserve"> ADDIN ZOTERO_ITEM CSL_CITATION {"citationID":"2Dwdb2wm","properties":{"formattedCitation":"(Engardt 2008; Hu et al. 2022)","plainCitation":"(Engardt 2008; Hu et al. 2022)","noteIndex":0},"citationItems":[{"id":"kDOdxzcL/UkCf3byh","uris":["http://zotero.org/users/15391371/items/9BJ6W797"],"itemData":{"id":2763,"type":"article-journal","abstract":"Hourly, three-dimensional, fields of tropospheric ozone have been produced for 12 consecutive months on a domain covering South Asia, using the regional Eulerian off-line chemistry transport model MATCH. The results were compared with background observations to investigate diurnal and seasonal variations of near-surface ozone in the region. MATCH reproduced the seasonality of near-surface ozone at most locations in the area. However, the current, and previous, studies indicate that the model consequently overestimate night-time concentrations, while it occasionally underestimates the day-time, near-surface, ozone concentrations. The lowest monthly-mean concentrations of near-surface ozone are typically experienced in June-September, coincident with the rainy season in most areas. The seasonality is not identical across the domain; some locations have a completely different trend. Large areas in Northern India and Nepal show a secondary minimum during the cold winter season (December-January). High concentrations of near-surface ozone are found over the oceans, close to the Indian subcontinent, due to the less efficient dry deposition to water surfaces; over parts of Tibet due to influence of free tropospheric air and little deposition to snow covered surfaces; and along the Gangetic valley due to the large emissions of precursors in this region. Monthly-mean ozone concentrations in the densely populated northern India range from 30-45 ppb(v). The model results were also used to produce maps of AOT40. The results point towards similar levels of AOT40 in India as in Europe: large areas of India show 3-month AOT40 values above 3 ppm(v) hours.","archive_location":"WOS:000254090200004","container-title":"JOURNAL OF ATMOSPHERIC CHEMISTRY","DOI":"10.1007/s10874-008-9096-z","ISSN":"0167-7764","issue":"1","page":"61-80","title":"Modelling of near-surface ozone over South Asia","volume":"59","author":[{"family":"Engardt","given":"Magnuz"}],"issued":{"date-parts":[["2008",1]]}}},{"id":"kDOdxzcL/ekIqSDgi","uris":["http://zotero.org/users/15391371/items/4JG7VLKI"],"itemData":{"id":3005,"type":"article-journal","abstract":"With the intensification of global warming and economic development in China, the near-surface ozone (O-3) concentration has been increasing recently, especially in the Beijing-Tianjin-Hebei (BTH) region, which is the political and economic center of China. However, O-3 has been measured in real time only over the past few years, and the observational records are discontinuous. Therefore, we propose a new method (WRFC-XGB) to establish a near-surface O-3 concentration dataset in the BTH region by integrating the Weather Research and Forecasting with Chemistry (WRF-Chem) model with the extreme gradient boosting (XGBoost) algorithm. Based on this method, the 8-h maximum daily average (MDA8) O-3 concentrations are obtained with full spatiotemporal coverage at a spatial resolution of 0.1 degrees x 0.1 degrees across the BTH region in 2018. Two evaluation methods, sample- and station-based 10-fold cross-validation (10-CV), are used to assess our method. The sample-based (station-based) 10-CV evaluation results indicate that WRFC-XGB can achieve excellent accuracy with a high coefficient of determination (R-2) of 0.95 (0.91), low root mean square error (RMSE) of 13.50 (17.70) mu g m(-3), and mean absolute error (MAE) of 9.60 (12.89) mu g m(-3). In addition, superb spatiotemporal consistencies are confirmed for this model, including the estimation of high O-3 concentrations, and our WRFC-XGB model outperforms traditional models and previous studies in data mining. In addition, the proposed model can be applied to estimate the O-3 concentration when it has not been measured. Furthermore, the spatial distribution analysis of the MDA8 O-3 in 2018 reveals that O-3 pollution in the BTH region exhibits significant seasonality. Heavy O-3 pollution episodes mainly occur in summer, and the high O-3 loading is distributed mainly in the southern BTH areas, which will pose challenges to atmospheric environmental governance for local governments.","archive_location":"WOS:000787004000001","container-title":"ATMOSPHERE","DOI":"10.3390/atmos13040632","ISSN":"2073-4433","issue":"4","title":"Estimation of the Near-Surface Ozone Concentration with Full Spatiotemporal Coverage across the Beijing-Tianjin-Hebei Region Based on Extreme Gradient Boosting Combined with a WRF-Chem Model","volume":"13","author":[{"family":"Hu","given":"Xiaomin"},{"family":"Zhang","given":"Jing"},{"family":"Xue","given":"Wenhao"},{"family":"Zhou","given":"Lihua"},{"family":"Che","given":"Yunfei"},{"family":"Han","given":"Tian"}],"accessed":{"date-parts":[["2022",5,4]]},"issued":{"date-parts":[["2022",4]]}}}],"schema":"https://github.com/citation-style-language/schema/raw/master/csl-citation.json"} </w:instrText>
      </w:r>
      <w:r w:rsidRPr="00E0133D">
        <w:rPr>
          <w:szCs w:val="24"/>
        </w:rPr>
        <w:fldChar w:fldCharType="separate"/>
      </w:r>
      <w:r w:rsidR="00AC21CF" w:rsidRPr="00AC21CF">
        <w:t>(Engardt 2008; Hu et al. 2022)</w:t>
      </w:r>
      <w:r w:rsidRPr="00E0133D">
        <w:rPr>
          <w:szCs w:val="24"/>
        </w:rPr>
        <w:fldChar w:fldCharType="end"/>
      </w:r>
      <w:r w:rsidRPr="00E0133D">
        <w:rPr>
          <w:szCs w:val="24"/>
        </w:rPr>
        <w:t xml:space="preserve"> mainly utilize chemical transport models in addition to satellite imagery to account for spatial error by integrating atmospheric dynamics and emission inventories, enhancing the accuracy of pollutant dispersion estimates across available resolutions. Studies like </w:t>
      </w:r>
      <w:r w:rsidRPr="00E0133D">
        <w:rPr>
          <w:szCs w:val="24"/>
        </w:rPr>
        <w:fldChar w:fldCharType="begin"/>
      </w:r>
      <w:r w:rsidR="00AC21CF">
        <w:rPr>
          <w:szCs w:val="24"/>
        </w:rPr>
        <w:instrText xml:space="preserve"> ADDIN ZOTERO_ITEM CSL_CITATION {"citationID":"qUmZ5xUx","properties":{"formattedCitation":"(Becker 2021; Centoni 2017; G. Chen et al. 2021; X. Chen et al. 2023; Hu et al. 2022)","plainCitation":"(Becker 2021; Centoni 2017; G. Chen et al. 2021; X. Chen et al. 2023; Hu et al. 2022)","noteIndex":0},"citationItems":[{"id":"kDOdxzcL/pyR0hUzU","uris":["http://zotero.org/users/15391371/items/6HLYB4JZ"],"itemData":{"id":2916,"type":"book","archive_location":"PQDT:65573746","ISBN":"979-8-5160-5817-2","title":"Using Regionalized Air Quality Model Performance and Bayesian Maximum Entropy Data Fusion to Map Global Surface Ozone Concentration and Associated Uncertainty","author":[{"family":"Becker","given":"Jacob Sugar"}],"issued":{"date-parts":[["2021"]]}}},{"id":"kDOdxzcL/dnt3vQk5","uris":["http://zotero.org/users/15391371/items/7ZSAZ5MF"],"itemData":{"id":2767,"type":"article-journal","archive_location":"PQDT:67660087","title":"Global scale modelling of ozone deposition processes and interaction between surface ozone and climate change","author":[{"family":"Centoni","given":"Federico"}],"issued":{"date-parts":[["2017"]]}}},{"id":"kDOdxzcL/26IAH8nw","uris":["http://zotero.org/users/15391371/items/I7TWNWGT"],"itemData":{"id":2970,"type":"article-journal","abstract":"China is faced with increasing ozone pollution due to rapid economic development and urbanization. Although the ground monitoring network provides continuous real-time ozone measurements, its practical applications are limited due to sparse spatial distribution. The monitoring network coupling with various data and the machine learning algorithms is a promising approach to estimate surface ozone concentrations. However, previous studies on ozone estimation in China are restricted to small study scale, low spatial resolution and low predictive ability. The study aims to 1) improve the accuracy of surface ozone estimates across China using an iterative random forest (RF) model, more recent ground monitoring data and high-resolution grid meteorological data, and 2) estimate the daily max 8-h average ozone concentrations across China during 2008?2019 at a spatial resolution of 0.0625?. The iterative RF model showed that the sample-based and site-based cross-validation (CV) R2 were 0.84 and 0.79, respectively, indicating higher accuracy than the single RF model and previous studies. Daily max 8-h average ozone data product across China was estimated during 2008?2019 with an improved spatial resolution of 0.0625?. The newly generated ozone data product shows great potential in future studies to assess the short-term and long-term health effect of ozone pollution.","archive_location":"WOS:000651405200006","container-title":"SUSTAINABLE CITIES AND SOCIETY","DOI":"10.1016/j.scs.2021.102807","ISSN":"2210-6707","title":"Improving satellite-based estimation of surface ozone across China during 2008-2019 using iterative random forest model and high-resolution grid meteorological data","volume":"69","author":[{"family":"Chen","given":"Gongbo"},{"family":"Chen","given":"Jiang"},{"family":"Dong","given":"Guang-hui"},{"family":"Yang","given":"Bo-yi"},{"family":"Liu","given":"Yisi"},{"family":"Lu","given":"Tianjun"},{"family":"Yu","given":"Pei"},{"family":"Guo","given":"Yuming"},{"family":"Li","given":"Shanshan"}],"accessed":{"date-parts":[["2021",5,29]]},"issued":{"date-parts":[["2021",6]]}}},{"id":"kDOdxzcL/pTIChNXs","uris":["http://zotero.org/users/15391371/items/6AS8WZYS"],"itemData":{"id":2854,"type":"article-journal","abstract":"Surface ozone (O3), a well-recognized air pollutant, exists in the atmosphere, which has a detrimental effect on public health and the ecological environment. It is reported that surface O3 has seen a significant increase in many cities from 2019 to 2021 (COVID-19 pandemic). In this study, we applied an innovative machine learning model (Deep Forest) coupled with satellites, the Troposphere Monitoring Instrument (TROPOMI) and the Ozone Monitoring Instrument (OMI), and meteorological datasets to estimate monthly surface O3 of 1 km spatial res-olution across China during this pandemic period. Our model achieved an overall R2 of 0.974, 0.963, and root mean square error (RMSE) of 6.016 mu g/m3, 7.214 mu g/m3 on TROPOMI-based datasets and OMI-based datasets, respectively. Also, we found the higher ozone concentration regions were in Eastern China. Simultaneously, the surface O3 concentration was high in summer(average =110.57 +/- 15.01 mu g/m3). And the ozone concentration in summer 2020 (average = 107.78 +/- 13.90 mu g/m3) declined unprecedently than in summer 2019 (average = 110.54 +/- 16.58 mu g/m3). Our results indicated that TROPOMI data could provide robust data support for surface ozone concentration estimation. Furthermore, this study could enhance our comprehension of the formation mechanisms of surface O3 in China and assist air environment management decision-making.","archive_location":"WOS:001005458600001","container-title":"ATMOSPHERIC ENVIRONMENT","DOI":"10.1016/j.atmosenv.2023.119819","ISSN":"1352-2310","title":"Estimating monthly surface ozone using multi-source satellite products in China based on Deep Forest model","volume":"307","author":[{"family":"Chen","given":"Xueyao"},{"family":"Wang","given":"Zhige"},{"family":"Shangguan","given":"Yulin"},{"family":"Yu","given":"Jie"},{"family":"Hu","given":"Bifeng"},{"family":"Shen","given":"Qiaohui"},{"family":"Xue","given":"Jie"},{"family":"Zhang","given":"Xianglin"},{"family":"Shi","given":"Zhou"}],"accessed":{"date-parts":[["2023",6,25]]},"issued":{"date-parts":[["2023",8,15]]}}},{"id":"kDOdxzcL/ekIqSDgi","uris":["http://zotero.org/users/15391371/items/4JG7VLKI"],"itemData":{"id":3005,"type":"article-journal","abstract":"With the intensification of global warming and economic development in China, the near-surface ozone (O-3) concentration has been increasing recently, especially in the Beijing-Tianjin-Hebei (BTH) region, which is the political and economic center of China. However, O-3 has been measured in real time only over the past few years, and the observational records are discontinuous. Therefore, we propose a new method (WRFC-XGB) to establish a near-surface O-3 concentration dataset in the BTH region by integrating the Weather Research and Forecasting with Chemistry (WRF-Chem) model with the extreme gradient boosting (XGBoost) algorithm. Based on this method, the 8-h maximum daily average (MDA8) O-3 concentrations are obtained with full spatiotemporal coverage at a spatial resolution of 0.1 degrees x 0.1 degrees across the BTH region in 2018. Two evaluation methods, sample- and station-based 10-fold cross-validation (10-CV), are used to assess our method. The sample-based (station-based) 10-CV evaluation results indicate that WRFC-XGB can achieve excellent accuracy with a high coefficient of determination (R-2) of 0.95 (0.91), low root mean square error (RMSE) of 13.50 (17.70) mu g m(-3), and mean absolute error (MAE) of 9.60 (12.89) mu g m(-3). In addition, superb spatiotemporal consistencies are confirmed for this model, including the estimation of high O-3 concentrations, and our WRFC-XGB model outperforms traditional models and previous studies in data mining. In addition, the proposed model can be applied to estimate the O-3 concentration when it has not been measured. Furthermore, the spatial distribution analysis of the MDA8 O-3 in 2018 reveals that O-3 pollution in the BTH region exhibits significant seasonality. Heavy O-3 pollution episodes mainly occur in summer, and the high O-3 loading is distributed mainly in the southern BTH areas, which will pose challenges to atmospheric environmental governance for local governments.","archive_location":"WOS:000787004000001","container-title":"ATMOSPHERE","DOI":"10.3390/atmos13040632","ISSN":"2073-4433","issue":"4","title":"Estimation of the Near-Surface Ozone Concentration with Full Spatiotemporal Coverage across the Beijing-Tianjin-Hebei Region Based on Extreme Gradient Boosting Combined with a WRF-Chem Model","volume":"13","author":[{"family":"Hu","given":"Xiaomin"},{"family":"Zhang","given":"Jing"},{"family":"Xue","given":"Wenhao"},{"family":"Zhou","given":"Lihua"},{"family":"Che","given":"Yunfei"},{"family":"Han","given":"Tian"}],"accessed":{"date-parts":[["2022",5,4]]},"issued":{"date-parts":[["2022",4]]}}}],"schema":"https://github.com/citation-style-language/schema/raw/master/csl-citation.json"} </w:instrText>
      </w:r>
      <w:r w:rsidRPr="00E0133D">
        <w:rPr>
          <w:szCs w:val="24"/>
        </w:rPr>
        <w:fldChar w:fldCharType="separate"/>
      </w:r>
      <w:r w:rsidR="00AC21CF" w:rsidRPr="00AC21CF">
        <w:t>(Becker 2021; Centoni 2017; G. Chen et al. 2021; X. Chen et al. 2023; Hu et al. 2022)</w:t>
      </w:r>
      <w:r w:rsidRPr="00E0133D">
        <w:rPr>
          <w:szCs w:val="24"/>
        </w:rPr>
        <w:fldChar w:fldCharType="end"/>
      </w:r>
      <w:r w:rsidRPr="00E0133D">
        <w:rPr>
          <w:szCs w:val="24"/>
        </w:rPr>
        <w:t xml:space="preserve"> incorporate more data; such as fine resolution land-use data, evaluations of tropospheric/ground level ozone measurements, and higher quality data from the source</w:t>
      </w:r>
      <w:r w:rsidRPr="00E0133D">
        <w:rPr>
          <w:rStyle w:val="FootnoteReference"/>
          <w:szCs w:val="24"/>
        </w:rPr>
        <w:footnoteReference w:id="2"/>
      </w:r>
      <w:r w:rsidRPr="00E0133D">
        <w:rPr>
          <w:szCs w:val="24"/>
        </w:rPr>
        <w:t xml:space="preserve">, yielding extremely accurate results without the correction of monitor values. </w:t>
      </w:r>
    </w:p>
    <w:p w14:paraId="0FD5D540" w14:textId="77777777" w:rsidR="00E0133D" w:rsidRPr="00E0133D" w:rsidRDefault="00E0133D" w:rsidP="00E0133D">
      <w:pPr>
        <w:ind w:firstLine="720"/>
        <w:rPr>
          <w:szCs w:val="24"/>
        </w:rPr>
      </w:pPr>
      <w:r w:rsidRPr="00E0133D">
        <w:rPr>
          <w:szCs w:val="24"/>
        </w:rPr>
        <w:t>Remote sensing is simply the analysis of measured, reflected light. After numerous optical corrections and mathematical transforms rooted in sibling-sciences, astronomy-based processes and biological activity can be detected with great accuracy and precision. For example, the normalized differential vegetation index (NDVI) is a great depiction of plant health stemming in differences between red and shortwave UV light. Remote Sensing can be a geographer’s best tool in this modern day of spatial computing. Studies utilizing this analysis of geospatial correction to reflected light are attempting to incorporate geospatial corrections into these models as hardcoded feature transformations. As imagery gets more advanced, technology begins to better account for the errors recorded among satellite imagery, models which don’t incorporate spatial error via residual kriging are slightly incorporating this error by way of complex physics and optics. The estimated kinetic energy depicted on the day and time that the ozone concentration was gathered may offer key insights into a new, highly correlated feature with minimal collinearity</w:t>
      </w:r>
    </w:p>
    <w:p w14:paraId="1962B492" w14:textId="5074D477" w:rsidR="00E0133D" w:rsidRPr="00E0133D" w:rsidRDefault="005E35EB" w:rsidP="00E0133D">
      <w:pPr>
        <w:jc w:val="center"/>
        <w:rPr>
          <w:szCs w:val="24"/>
        </w:rPr>
      </w:pPr>
      <w:bookmarkStart w:id="0" w:name="_Hlk202621333"/>
      <w:r>
        <w:rPr>
          <w:szCs w:val="24"/>
        </w:rPr>
        <w:t xml:space="preserve">VII.3. </w:t>
      </w:r>
      <w:r w:rsidRPr="00E0133D">
        <w:rPr>
          <w:szCs w:val="24"/>
        </w:rPr>
        <w:t xml:space="preserve">An Advanced Adaptation of </w:t>
      </w:r>
      <w:proofErr w:type="spellStart"/>
      <w:r w:rsidRPr="00E0133D">
        <w:rPr>
          <w:szCs w:val="24"/>
        </w:rPr>
        <w:t>Lagrangian</w:t>
      </w:r>
      <w:proofErr w:type="spellEnd"/>
      <w:r w:rsidRPr="00E0133D">
        <w:rPr>
          <w:szCs w:val="24"/>
        </w:rPr>
        <w:t xml:space="preserve"> Mechanics</w:t>
      </w:r>
    </w:p>
    <w:p w14:paraId="7AB600FA" w14:textId="77777777" w:rsidR="00E0133D" w:rsidRPr="00E0133D" w:rsidRDefault="00E0133D" w:rsidP="00E0133D">
      <w:pPr>
        <w:ind w:firstLine="720"/>
        <w:rPr>
          <w:szCs w:val="24"/>
        </w:rPr>
      </w:pPr>
      <w:r w:rsidRPr="00E0133D">
        <w:rPr>
          <w:szCs w:val="24"/>
        </w:rPr>
        <w:t xml:space="preserve">The basics of </w:t>
      </w:r>
      <w:proofErr w:type="spellStart"/>
      <w:r w:rsidRPr="00E0133D">
        <w:rPr>
          <w:szCs w:val="24"/>
        </w:rPr>
        <w:t>Lagrangian</w:t>
      </w:r>
      <w:proofErr w:type="spellEnd"/>
      <w:r w:rsidRPr="00E0133D">
        <w:rPr>
          <w:szCs w:val="24"/>
        </w:rPr>
        <w:t xml:space="preserve"> field theory were initially known to the research and used to construct two features for prediction, one of which does not exist for gaseous states: KE and UE. Using a series of transformations, an entire system can </w:t>
      </w:r>
      <w:r w:rsidRPr="00E0133D">
        <w:rPr>
          <w:szCs w:val="24"/>
        </w:rPr>
        <w:lastRenderedPageBreak/>
        <w:t xml:space="preserve">be explained as an integral of internal energies over time: The general scope of this theory is if a system's motion is subject to any form of constraint, then there exists a set of generalized coordinates which are compatible with those constraints and hence, simplify the analysis of the system's motion. It was initially believed that a system carried out motions that minimize its actions. This was called the Principle of Least Action, but later, it was realized that an infinitesimal variation in the path yielded no effect on the action of the system. In the world of physics, the difference between minimal and 0 drastically changes the theory. With this new assumption that actions are assumed to be stationary with respect to small variations in their motion, a set of equations known as Euler-Lagrange equations can be implemented and utilized as a feature known as the Action Potential. </w:t>
      </w:r>
    </w:p>
    <w:p w14:paraId="33508303" w14:textId="77777777" w:rsidR="00E0133D" w:rsidRPr="00E0133D" w:rsidRDefault="00E0133D" w:rsidP="00E0133D">
      <w:pPr>
        <w:ind w:firstLine="720"/>
        <w:rPr>
          <w:szCs w:val="24"/>
        </w:rPr>
      </w:pPr>
      <w:r w:rsidRPr="00E0133D">
        <w:rPr>
          <w:szCs w:val="24"/>
        </w:rPr>
        <w:t xml:space="preserve">These equations represent general coordinates that are replaced by </w:t>
      </w:r>
      <w:proofErr w:type="spellStart"/>
      <w:r w:rsidRPr="00E0133D">
        <w:rPr>
          <w:szCs w:val="24"/>
        </w:rPr>
        <w:t>Lagrangian</w:t>
      </w:r>
      <w:proofErr w:type="spellEnd"/>
      <w:r w:rsidRPr="00E0133D">
        <w:rPr>
          <w:szCs w:val="24"/>
        </w:rPr>
        <w:t xml:space="preserve"> densities (</w:t>
      </w:r>
      <w:proofErr w:type="spellStart"/>
      <w:r w:rsidRPr="00E0133D">
        <w:rPr>
          <w:szCs w:val="24"/>
        </w:rPr>
        <w:t>L</w:t>
      </w:r>
      <w:r w:rsidRPr="00E0133D">
        <w:rPr>
          <w:szCs w:val="24"/>
          <w:vertAlign w:val="subscript"/>
        </w:rPr>
        <w:t>ρ</w:t>
      </w:r>
      <w:proofErr w:type="spellEnd"/>
      <w:r w:rsidRPr="00E0133D">
        <w:rPr>
          <w:szCs w:val="24"/>
        </w:rPr>
        <w:t xml:space="preserve">). Like replacing loss functions within a statistical model to change outcomes, LFT allows for numerous representations of </w:t>
      </w:r>
      <w:proofErr w:type="spellStart"/>
      <w:r w:rsidRPr="00E0133D">
        <w:rPr>
          <w:szCs w:val="24"/>
        </w:rPr>
        <w:t>L</w:t>
      </w:r>
      <w:r w:rsidRPr="00E0133D">
        <w:rPr>
          <w:szCs w:val="24"/>
          <w:vertAlign w:val="subscript"/>
        </w:rPr>
        <w:t>ρ</w:t>
      </w:r>
      <w:proofErr w:type="spellEnd"/>
      <w:r w:rsidRPr="00E0133D">
        <w:rPr>
          <w:szCs w:val="24"/>
          <w:vertAlign w:val="subscript"/>
        </w:rPr>
        <w:t xml:space="preserve"> </w:t>
      </w:r>
      <w:r w:rsidRPr="00E0133D">
        <w:rPr>
          <w:szCs w:val="24"/>
        </w:rPr>
        <w:t>to account for the numerous mechanics discovered in thermodynamical and chemical-based features mentioned in Chapter III.</w:t>
      </w:r>
      <w:bookmarkEnd w:id="0"/>
      <w:r w:rsidRPr="00E0133D">
        <w:rPr>
          <w:szCs w:val="24"/>
        </w:rPr>
        <w:t xml:space="preserve"> The history of these developing theories and their core, the Principle of Least Action (PLA), offers exciting new relationships to modern satellite technology which can be further developed into features of many molecular and mechanical surface measurements. </w:t>
      </w:r>
    </w:p>
    <w:p w14:paraId="32BEDE3C" w14:textId="215F9DB7" w:rsidR="00E0133D" w:rsidRPr="00E0133D" w:rsidRDefault="005E35EB" w:rsidP="00E0133D">
      <w:pPr>
        <w:jc w:val="center"/>
        <w:rPr>
          <w:szCs w:val="24"/>
        </w:rPr>
      </w:pPr>
      <w:r>
        <w:rPr>
          <w:szCs w:val="24"/>
        </w:rPr>
        <w:t xml:space="preserve">VII.3.1. </w:t>
      </w:r>
      <w:r w:rsidRPr="00E0133D">
        <w:rPr>
          <w:szCs w:val="24"/>
        </w:rPr>
        <w:t>The Principle of Least Action</w:t>
      </w:r>
    </w:p>
    <w:p w14:paraId="5F607CF6" w14:textId="48D38EAC" w:rsidR="00E0133D" w:rsidRPr="00E0133D" w:rsidRDefault="00E0133D" w:rsidP="00E0133D">
      <w:pPr>
        <w:ind w:firstLine="720"/>
        <w:rPr>
          <w:szCs w:val="24"/>
        </w:rPr>
      </w:pPr>
      <w:r w:rsidRPr="00E0133D">
        <w:rPr>
          <w:szCs w:val="24"/>
        </w:rPr>
        <w:t xml:space="preserve">PLA was initially established under the theory that a system always moves </w:t>
      </w:r>
      <w:proofErr w:type="gramStart"/>
      <w:r w:rsidR="005E35EB" w:rsidRPr="00E0133D">
        <w:rPr>
          <w:szCs w:val="24"/>
        </w:rPr>
        <w:t>in regard to</w:t>
      </w:r>
      <w:proofErr w:type="gramEnd"/>
      <w:r w:rsidRPr="00E0133D">
        <w:rPr>
          <w:szCs w:val="24"/>
        </w:rPr>
        <w:t xml:space="preserve"> the minimal number of actions allowable from the degrees of freedom defining the system. Later, PLA established that an infinitesimal variation within the path yielded no effects on the overall actions a system can have. In the world of physics, the difference between minimal and 0 drastically changes the theory; actions now are assumed to be stationary with respect to small variations in motion. A set of equations known as Euler-Lagrange equations can be implemented and utilized as a feature known as the Action Potential (AP). These represent a function of general coordinates that are replaced by </w:t>
      </w:r>
      <w:proofErr w:type="spellStart"/>
      <w:r w:rsidRPr="00E0133D">
        <w:rPr>
          <w:szCs w:val="24"/>
        </w:rPr>
        <w:t>Lagrangian</w:t>
      </w:r>
      <w:proofErr w:type="spellEnd"/>
      <w:r w:rsidRPr="00E0133D">
        <w:rPr>
          <w:szCs w:val="24"/>
        </w:rPr>
        <w:t xml:space="preserve"> densities (</w:t>
      </w:r>
      <w:proofErr w:type="spellStart"/>
      <w:r w:rsidRPr="00E0133D">
        <w:rPr>
          <w:szCs w:val="24"/>
        </w:rPr>
        <w:t>L</w:t>
      </w:r>
      <w:r w:rsidRPr="00E0133D">
        <w:rPr>
          <w:szCs w:val="24"/>
          <w:vertAlign w:val="subscript"/>
        </w:rPr>
        <w:t>ρ</w:t>
      </w:r>
      <w:proofErr w:type="spellEnd"/>
      <w:r w:rsidRPr="00E0133D">
        <w:rPr>
          <w:szCs w:val="24"/>
        </w:rPr>
        <w:t xml:space="preserve">). Like replacing loss functions within a statistical model to change outcomes, LFT allows for numerous representations of </w:t>
      </w:r>
      <w:proofErr w:type="spellStart"/>
      <w:r w:rsidRPr="00E0133D">
        <w:rPr>
          <w:szCs w:val="24"/>
        </w:rPr>
        <w:t>L</w:t>
      </w:r>
      <w:r w:rsidRPr="00E0133D">
        <w:rPr>
          <w:szCs w:val="24"/>
          <w:vertAlign w:val="subscript"/>
        </w:rPr>
        <w:t>ρ</w:t>
      </w:r>
      <w:proofErr w:type="spellEnd"/>
      <w:r w:rsidRPr="00E0133D">
        <w:rPr>
          <w:szCs w:val="24"/>
          <w:vertAlign w:val="subscript"/>
        </w:rPr>
        <w:t xml:space="preserve"> </w:t>
      </w:r>
      <w:r w:rsidRPr="00E0133D">
        <w:rPr>
          <w:szCs w:val="24"/>
        </w:rPr>
        <w:t xml:space="preserve">to account for the numerous sub-fields in physics. </w:t>
      </w:r>
    </w:p>
    <w:p w14:paraId="13A6C90E" w14:textId="77777777" w:rsidR="00E0133D" w:rsidRPr="00E0133D" w:rsidRDefault="00E0133D" w:rsidP="00E0133D">
      <w:pPr>
        <w:ind w:firstLine="720"/>
        <w:rPr>
          <w:szCs w:val="24"/>
        </w:rPr>
      </w:pPr>
      <w:r w:rsidRPr="00E0133D">
        <w:rPr>
          <w:szCs w:val="24"/>
        </w:rPr>
        <w:t xml:space="preserve">The proposed kinetic energy calculations for the properties of geo-atoms in this thesis are precursors to a much broader set of terms stemming from these </w:t>
      </w:r>
      <w:proofErr w:type="spellStart"/>
      <w:r w:rsidRPr="00E0133D">
        <w:rPr>
          <w:szCs w:val="24"/>
        </w:rPr>
        <w:t>Lagrangian</w:t>
      </w:r>
      <w:proofErr w:type="spellEnd"/>
      <w:r w:rsidRPr="00E0133D">
        <w:rPr>
          <w:szCs w:val="24"/>
        </w:rPr>
        <w:t xml:space="preserve"> mechanics. In its most general form, any independent variable in LFT can be represented as some theoretical event in space-time </w:t>
      </w:r>
      <w:proofErr w:type="gramStart"/>
      <w:r w:rsidRPr="00E0133D">
        <w:rPr>
          <w:szCs w:val="24"/>
        </w:rPr>
        <w:t>S(</w:t>
      </w:r>
      <w:proofErr w:type="gramEnd"/>
      <w:r w:rsidRPr="00E0133D">
        <w:rPr>
          <w:szCs w:val="24"/>
        </w:rPr>
        <w:t xml:space="preserve">x, y, z, t) </w:t>
      </w:r>
      <w:proofErr w:type="gramStart"/>
      <w:r w:rsidRPr="00E0133D">
        <w:rPr>
          <w:szCs w:val="24"/>
        </w:rPr>
        <w:t>similar to</w:t>
      </w:r>
      <w:proofErr w:type="gramEnd"/>
      <w:r w:rsidRPr="00E0133D">
        <w:rPr>
          <w:szCs w:val="24"/>
        </w:rPr>
        <w:t xml:space="preserve"> the geo-atom established in 2007 by Dr Goodchild. Dependent variables can be represented as a quantifiable action attributing to the independent event occurring at that time, φ(</w:t>
      </w:r>
      <w:proofErr w:type="spellStart"/>
      <w:proofErr w:type="gramStart"/>
      <w:r w:rsidRPr="00E0133D">
        <w:rPr>
          <w:szCs w:val="24"/>
        </w:rPr>
        <w:t>x,y</w:t>
      </w:r>
      <w:proofErr w:type="gramEnd"/>
      <w:r w:rsidRPr="00E0133D">
        <w:rPr>
          <w:szCs w:val="24"/>
        </w:rPr>
        <w:t>,</w:t>
      </w:r>
      <w:proofErr w:type="gramStart"/>
      <w:r w:rsidRPr="00E0133D">
        <w:rPr>
          <w:szCs w:val="24"/>
        </w:rPr>
        <w:t>z,t</w:t>
      </w:r>
      <w:proofErr w:type="spellEnd"/>
      <w:proofErr w:type="gramEnd"/>
      <w:r w:rsidRPr="00E0133D">
        <w:rPr>
          <w:szCs w:val="24"/>
        </w:rPr>
        <w:t xml:space="preserve">). If these actions can be properly defined as properties establishing values for a geo-atom and in a geo-field, then implementation of LFT via modern complex ensembles would assume that once an event has happened, it does not happen again until the same number of actions are present in the system. While underlying complex mathematics like this are included in CTMs by way of features representing emissions, the accuracy offered by RK shows there are potential missing transport mechanisms that can be further improved. </w:t>
      </w:r>
    </w:p>
    <w:p w14:paraId="007BCFD8" w14:textId="77777777" w:rsidR="00E0133D" w:rsidRPr="00E0133D" w:rsidRDefault="00E0133D" w:rsidP="00E0133D">
      <w:pPr>
        <w:ind w:firstLine="720"/>
        <w:rPr>
          <w:szCs w:val="24"/>
        </w:rPr>
      </w:pPr>
      <w:r w:rsidRPr="00E0133D">
        <w:rPr>
          <w:szCs w:val="24"/>
        </w:rPr>
        <w:lastRenderedPageBreak/>
        <w:t>In general, this thesis used three main takeaways from LFT which are also used in the bases of CTM models to establish the core concepts of KE depictions in Chapter III:</w:t>
      </w:r>
    </w:p>
    <w:p w14:paraId="28E135F6" w14:textId="77777777" w:rsidR="00E0133D" w:rsidRPr="00E0133D" w:rsidRDefault="00E0133D" w:rsidP="00E0133D">
      <w:pPr>
        <w:pStyle w:val="ListParagraph"/>
        <w:numPr>
          <w:ilvl w:val="1"/>
          <w:numId w:val="1"/>
        </w:numPr>
        <w:spacing w:after="0" w:line="240" w:lineRule="auto"/>
        <w:rPr>
          <w:rFonts w:ascii="Century Schoolbook" w:hAnsi="Century Schoolbook"/>
          <w:i w:val="0"/>
        </w:rPr>
      </w:pPr>
      <w:r w:rsidRPr="00E0133D">
        <w:rPr>
          <w:rFonts w:ascii="Century Schoolbook" w:hAnsi="Century Schoolbook"/>
          <w:i w:val="0"/>
        </w:rPr>
        <w:t xml:space="preserve">A system wants to be stationarity unless actions cause it to be otherwise. Stationarity ensues an energy state of 0, or a systems ground state. </w:t>
      </w:r>
    </w:p>
    <w:p w14:paraId="62DFE373" w14:textId="77777777" w:rsidR="00E0133D" w:rsidRPr="00E0133D" w:rsidRDefault="00E0133D" w:rsidP="00E0133D">
      <w:pPr>
        <w:pStyle w:val="ListParagraph"/>
        <w:numPr>
          <w:ilvl w:val="1"/>
          <w:numId w:val="1"/>
        </w:numPr>
        <w:spacing w:after="0" w:line="240" w:lineRule="auto"/>
        <w:rPr>
          <w:rFonts w:ascii="Century Schoolbook" w:hAnsi="Century Schoolbook"/>
          <w:i w:val="0"/>
        </w:rPr>
      </w:pPr>
      <w:r w:rsidRPr="00E0133D">
        <w:rPr>
          <w:rFonts w:ascii="Century Schoolbook" w:hAnsi="Century Schoolbook"/>
          <w:i w:val="0"/>
        </w:rPr>
        <w:t>Where a system's motion is subject to constraints, there exists a set of generalized coordinates that are compatible with those constraints</w:t>
      </w:r>
    </w:p>
    <w:p w14:paraId="4225AA40" w14:textId="77777777" w:rsidR="00E0133D" w:rsidRPr="00E0133D" w:rsidRDefault="00E0133D" w:rsidP="00E0133D">
      <w:pPr>
        <w:pStyle w:val="ListParagraph"/>
        <w:numPr>
          <w:ilvl w:val="1"/>
          <w:numId w:val="1"/>
        </w:numPr>
        <w:spacing w:after="0" w:line="240" w:lineRule="auto"/>
        <w:rPr>
          <w:rFonts w:ascii="Century Schoolbook" w:hAnsi="Century Schoolbook"/>
          <w:i w:val="0"/>
        </w:rPr>
      </w:pPr>
      <w:r w:rsidRPr="00E0133D">
        <w:rPr>
          <w:rFonts w:ascii="Century Schoolbook" w:hAnsi="Century Schoolbook"/>
          <w:i w:val="0"/>
        </w:rPr>
        <w:t>The analysis of the system's motion can be represented as an equivalency of energy such that:</w:t>
      </w:r>
    </w:p>
    <w:p w14:paraId="3A0137F6" w14:textId="66401426" w:rsidR="00E0133D" w:rsidRPr="00E0133D" w:rsidRDefault="00E0133D" w:rsidP="00E0133D">
      <w:pPr>
        <w:rPr>
          <w:szCs w:val="24"/>
        </w:rPr>
      </w:pPr>
      <m:oMathPara>
        <m:oMath>
          <m:r>
            <m:rPr>
              <m:sty m:val="p"/>
            </m:rPr>
            <w:rPr>
              <w:rFonts w:ascii="Cambria Math" w:hAnsi="Cambria Math"/>
              <w:szCs w:val="24"/>
            </w:rPr>
            <m:t>L</m:t>
          </m:r>
          <m:r>
            <m:rPr>
              <m:sty m:val="p"/>
            </m:rPr>
            <w:rPr>
              <w:rFonts w:ascii="Cambria Math" w:hAnsi="Cambria Math"/>
              <w:szCs w:val="24"/>
              <w:vertAlign w:val="subscript"/>
            </w:rPr>
            <m:t>=KE-UE=</m:t>
          </m:r>
          <m:nary>
            <m:naryPr>
              <m:limLoc m:val="subSup"/>
              <m:ctrlPr>
                <w:rPr>
                  <w:rFonts w:ascii="Cambria Math" w:hAnsi="Cambria Math"/>
                  <w:szCs w:val="24"/>
                </w:rPr>
              </m:ctrlPr>
            </m:naryPr>
            <m:sub>
              <m:r>
                <m:rPr>
                  <m:sty m:val="p"/>
                </m:rPr>
                <w:rPr>
                  <w:rFonts w:ascii="Cambria Math" w:hAnsi="Cambria Math"/>
                  <w:szCs w:val="24"/>
                </w:rPr>
                <m:t>i</m:t>
              </m:r>
            </m:sub>
            <m:sup>
              <m:r>
                <m:rPr>
                  <m:sty m:val="p"/>
                </m:rPr>
                <w:rPr>
                  <w:rFonts w:ascii="Cambria Math" w:hAnsi="Cambria Math"/>
                  <w:szCs w:val="24"/>
                </w:rPr>
                <m:t>t</m:t>
              </m:r>
            </m:sup>
            <m:e>
              <m:r>
                <m:rPr>
                  <m:sty m:val="p"/>
                </m:rPr>
                <w:rPr>
                  <w:rFonts w:ascii="Cambria Math" w:hAnsi="Cambria Math"/>
                  <w:szCs w:val="24"/>
                </w:rPr>
                <m:t>L</m:t>
              </m:r>
            </m:e>
          </m:nary>
          <m:sSup>
            <m:sSupPr>
              <m:ctrlPr>
                <w:rPr>
                  <w:rFonts w:ascii="Cambria Math" w:hAnsi="Cambria Math"/>
                  <w:szCs w:val="24"/>
                </w:rPr>
              </m:ctrlPr>
            </m:sSupPr>
            <m:e>
              <m:r>
                <m:rPr>
                  <m:sty m:val="p"/>
                </m:rPr>
                <w:rPr>
                  <w:rFonts w:ascii="Cambria Math" w:hAnsi="Cambria Math"/>
                  <w:szCs w:val="24"/>
                </w:rPr>
                <m:t>d</m:t>
              </m:r>
            </m:e>
            <m:sup>
              <m:r>
                <m:rPr>
                  <m:sty m:val="p"/>
                </m:rPr>
                <w:rPr>
                  <w:rFonts w:ascii="Cambria Math" w:hAnsi="Cambria Math"/>
                  <w:szCs w:val="24"/>
                </w:rPr>
                <m:t>μ</m:t>
              </m:r>
            </m:sup>
          </m:sSup>
          <m:r>
            <m:rPr>
              <m:sty m:val="p"/>
            </m:rPr>
            <w:rPr>
              <w:rFonts w:ascii="Cambria Math" w:hAnsi="Cambria Math"/>
              <w:szCs w:val="24"/>
            </w:rPr>
            <m:t>=0</m:t>
          </m:r>
        </m:oMath>
      </m:oMathPara>
    </w:p>
    <w:p w14:paraId="5BCCA29F" w14:textId="77777777" w:rsidR="00E0133D" w:rsidRPr="00E0133D" w:rsidRDefault="00E0133D" w:rsidP="00E0133D">
      <w:pPr>
        <w:rPr>
          <w:szCs w:val="24"/>
        </w:rPr>
      </w:pPr>
      <w:r w:rsidRPr="00E0133D">
        <w:rPr>
          <w:szCs w:val="24"/>
        </w:rPr>
        <w:t xml:space="preserve">Where </w:t>
      </w:r>
      <w:proofErr w:type="spellStart"/>
      <w:r w:rsidRPr="00E0133D">
        <w:rPr>
          <w:szCs w:val="24"/>
        </w:rPr>
        <w:t>i</w:t>
      </w:r>
      <w:proofErr w:type="spellEnd"/>
      <w:r w:rsidRPr="00E0133D">
        <w:rPr>
          <w:szCs w:val="24"/>
        </w:rPr>
        <w:t xml:space="preserve"> represents any number of actions in the system at any point in time t. Some systems do not contain potential energy given their state, such as chemical systems. Chemical potential energy and thermodynamic relationships drastically change the representation of </w:t>
      </w:r>
      <w:proofErr w:type="spellStart"/>
      <w:r w:rsidRPr="00E0133D">
        <w:rPr>
          <w:szCs w:val="24"/>
        </w:rPr>
        <w:t>Lagrangian</w:t>
      </w:r>
      <w:proofErr w:type="spellEnd"/>
      <w:r w:rsidRPr="00E0133D">
        <w:rPr>
          <w:szCs w:val="24"/>
        </w:rPr>
        <w:t xml:space="preserve"> densities; vast fields dedicated to this concept have yet to fully reach the world of GIS transformations. If given a continuous set of maximum and minimums over time, the property of a geo-atom can be a representation of </w:t>
      </w:r>
      <w:bookmarkStart w:id="1" w:name="_Hlk194149784"/>
      <w:proofErr w:type="spellStart"/>
      <w:r w:rsidRPr="00E0133D">
        <w:rPr>
          <w:szCs w:val="24"/>
        </w:rPr>
        <w:t>L</w:t>
      </w:r>
      <w:r w:rsidRPr="00E0133D">
        <w:rPr>
          <w:szCs w:val="24"/>
          <w:vertAlign w:val="subscript"/>
        </w:rPr>
        <w:t>ρ</w:t>
      </w:r>
      <w:bookmarkEnd w:id="1"/>
      <w:proofErr w:type="spellEnd"/>
      <w:r w:rsidRPr="00E0133D">
        <w:rPr>
          <w:szCs w:val="24"/>
        </w:rPr>
        <w:t xml:space="preserve"> using Euler–Lagrange transformations of available imagery. These equations are a system of second-order ordinary differential equations whose solutions are stationary points of a given action. They can be related to entropy and thermodynamics to describe the geodesic flow of any field, φ, for some set of time:</w:t>
      </w:r>
    </w:p>
    <w:p w14:paraId="548787D3" w14:textId="6DF4BA89" w:rsidR="00E0133D" w:rsidRPr="00E0133D" w:rsidRDefault="00E0133D" w:rsidP="00E0133D">
      <w:pPr>
        <w:rPr>
          <w:szCs w:val="24"/>
        </w:rPr>
      </w:pPr>
      <m:oMathPara>
        <m:oMath>
          <m:f>
            <m:fPr>
              <m:ctrlPr>
                <w:rPr>
                  <w:rFonts w:ascii="Cambria Math" w:hAnsi="Cambria Math"/>
                  <w:szCs w:val="24"/>
                </w:rPr>
              </m:ctrlPr>
            </m:fPr>
            <m:num>
              <m:r>
                <m:rPr>
                  <m:sty m:val="p"/>
                </m:rPr>
                <w:rPr>
                  <w:rFonts w:ascii="Cambria Math" w:hAnsi="Cambria Math"/>
                  <w:szCs w:val="24"/>
                </w:rPr>
                <m:t>δS</m:t>
              </m:r>
            </m:num>
            <m:den>
              <m:r>
                <m:rPr>
                  <m:sty m:val="p"/>
                </m:rPr>
                <w:rPr>
                  <w:rFonts w:ascii="Cambria Math" w:hAnsi="Cambria Math"/>
                  <w:szCs w:val="24"/>
                </w:rPr>
                <m:t>δ</m:t>
              </m:r>
              <m:sSub>
                <m:sSubPr>
                  <m:ctrlPr>
                    <w:rPr>
                      <w:rFonts w:ascii="Cambria Math" w:hAnsi="Cambria Math"/>
                      <w:szCs w:val="24"/>
                    </w:rPr>
                  </m:ctrlPr>
                </m:sSubPr>
                <m:e>
                  <m:r>
                    <m:rPr>
                      <m:sty m:val="p"/>
                    </m:rPr>
                    <w:rPr>
                      <w:rFonts w:ascii="Cambria Math" w:hAnsi="Cambria Math"/>
                      <w:szCs w:val="24"/>
                    </w:rPr>
                    <m:t>φ</m:t>
                  </m:r>
                </m:e>
                <m:sub>
                  <m:r>
                    <m:rPr>
                      <m:sty m:val="p"/>
                    </m:rPr>
                    <w:rPr>
                      <w:rFonts w:ascii="Cambria Math" w:hAnsi="Cambria Math"/>
                      <w:szCs w:val="24"/>
                    </w:rPr>
                    <m:t>i</m:t>
                  </m:r>
                </m:sub>
              </m:sSub>
            </m:den>
          </m:f>
          <m:r>
            <m:rPr>
              <m:sty m:val="p"/>
            </m:rPr>
            <w:rPr>
              <w:rFonts w:ascii="Cambria Math" w:hAnsi="Cambria Math"/>
              <w:szCs w:val="24"/>
            </w:rPr>
            <m:t xml:space="preserve">= </m:t>
          </m:r>
          <m:nary>
            <m:naryPr>
              <m:limLoc m:val="subSup"/>
              <m:ctrlPr>
                <w:rPr>
                  <w:rFonts w:ascii="Cambria Math" w:hAnsi="Cambria Math"/>
                  <w:szCs w:val="24"/>
                </w:rPr>
              </m:ctrlPr>
            </m:naryPr>
            <m:sub>
              <m:r>
                <m:rPr>
                  <m:sty m:val="p"/>
                </m:rPr>
                <w:rPr>
                  <w:rFonts w:ascii="Cambria Math" w:hAnsi="Cambria Math"/>
                  <w:szCs w:val="24"/>
                </w:rPr>
                <m:t>i</m:t>
              </m:r>
            </m:sub>
            <m:sup>
              <m:r>
                <m:rPr>
                  <m:sty m:val="p"/>
                </m:rPr>
                <w:rPr>
                  <w:rFonts w:ascii="Cambria Math" w:hAnsi="Cambria Math"/>
                  <w:szCs w:val="24"/>
                </w:rPr>
                <m:t>N</m:t>
              </m:r>
            </m:sup>
            <m:e>
              <m:r>
                <m:rPr>
                  <m:sty m:val="p"/>
                </m:rPr>
                <w:rPr>
                  <w:rFonts w:ascii="Cambria Math" w:hAnsi="Cambria Math"/>
                  <w:szCs w:val="24"/>
                </w:rPr>
                <m:t>L</m:t>
              </m:r>
            </m:e>
          </m:nary>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μ</m:t>
              </m:r>
            </m:e>
            <m:sub>
              <m:r>
                <m:rPr>
                  <m:sty m:val="p"/>
                </m:rPr>
                <w:rPr>
                  <w:rFonts w:ascii="Cambria Math" w:hAnsi="Cambria Math"/>
                  <w:szCs w:val="24"/>
                </w:rPr>
                <m:t>q</m:t>
              </m:r>
            </m:sub>
          </m:sSub>
        </m:oMath>
      </m:oMathPara>
    </w:p>
    <w:p w14:paraId="6E72903A" w14:textId="77777777" w:rsidR="00E0133D" w:rsidRPr="00E0133D" w:rsidRDefault="00E0133D" w:rsidP="00E0133D">
      <w:pPr>
        <w:rPr>
          <w:szCs w:val="24"/>
        </w:rPr>
      </w:pPr>
      <w:r w:rsidRPr="00E0133D">
        <w:rPr>
          <w:szCs w:val="24"/>
        </w:rPr>
        <w:t xml:space="preserve">Taking the variation with respect to </w:t>
      </w:r>
      <w:proofErr w:type="gramStart"/>
      <w:r w:rsidRPr="00E0133D">
        <w:rPr>
          <w:szCs w:val="24"/>
        </w:rPr>
        <w:t>φ,</w:t>
      </w:r>
      <w:proofErr w:type="gramEnd"/>
      <w:r w:rsidRPr="00E0133D">
        <w:rPr>
          <w:szCs w:val="24"/>
        </w:rPr>
        <w:t xml:space="preserve"> one obtains the typical states of systematic entropy:</w:t>
      </w:r>
    </w:p>
    <w:p w14:paraId="3C13F476" w14:textId="77777777" w:rsidR="00E0133D" w:rsidRPr="00E0133D" w:rsidRDefault="00E0133D" w:rsidP="00E0133D">
      <w:pPr>
        <w:rPr>
          <w:szCs w:val="24"/>
        </w:rPr>
      </w:pPr>
    </w:p>
    <w:p w14:paraId="64962237" w14:textId="77777777" w:rsidR="00E0133D" w:rsidRPr="00E0133D" w:rsidRDefault="00E0133D" w:rsidP="00E0133D">
      <w:pPr>
        <w:ind w:firstLine="720"/>
        <w:rPr>
          <w:szCs w:val="24"/>
        </w:rPr>
      </w:pPr>
      <w:r w:rsidRPr="00E0133D">
        <w:rPr>
          <w:szCs w:val="24"/>
        </w:rPr>
        <w:t xml:space="preserve">Given the space and time features produced in pre-processing, variables ds/dt, </w:t>
      </w:r>
      <w:proofErr w:type="spellStart"/>
      <w:r w:rsidRPr="00E0133D">
        <w:rPr>
          <w:szCs w:val="24"/>
        </w:rPr>
        <w:t>dp</w:t>
      </w:r>
      <w:proofErr w:type="spellEnd"/>
      <w:r w:rsidRPr="00E0133D">
        <w:rPr>
          <w:szCs w:val="24"/>
        </w:rPr>
        <w:t>/dt, dv/dt, etc., geo-atoms representing the PLA of any states can be implemented via proper consideration of these transformations. The final representation of surface ozone actions via Euler-LaGrange Mechanics then can be further implemented into a multidisciplinary approach known as the Supersymmetric Theory of Stochastic Dynamics (SSD).</w:t>
      </w:r>
    </w:p>
    <w:p w14:paraId="6EAB7F87" w14:textId="6D47603F" w:rsidR="00E0133D" w:rsidRPr="00E0133D" w:rsidRDefault="005E35EB" w:rsidP="00E0133D">
      <w:pPr>
        <w:jc w:val="center"/>
        <w:rPr>
          <w:szCs w:val="24"/>
        </w:rPr>
      </w:pPr>
      <w:r>
        <w:rPr>
          <w:szCs w:val="24"/>
        </w:rPr>
        <w:t>VII.3.</w:t>
      </w:r>
      <w:r>
        <w:rPr>
          <w:szCs w:val="24"/>
        </w:rPr>
        <w:t>2</w:t>
      </w:r>
      <w:r>
        <w:rPr>
          <w:szCs w:val="24"/>
        </w:rPr>
        <w:t>.</w:t>
      </w:r>
      <w:r>
        <w:rPr>
          <w:szCs w:val="24"/>
        </w:rPr>
        <w:t xml:space="preserve"> </w:t>
      </w:r>
      <w:r w:rsidRPr="00E0133D">
        <w:rPr>
          <w:szCs w:val="24"/>
        </w:rPr>
        <w:t>Spontaneous Symmetric Breaking</w:t>
      </w:r>
    </w:p>
    <w:p w14:paraId="44485F4B" w14:textId="77777777" w:rsidR="00E0133D" w:rsidRPr="00E0133D" w:rsidRDefault="00E0133D" w:rsidP="00E0133D">
      <w:pPr>
        <w:ind w:firstLine="720"/>
        <w:rPr>
          <w:szCs w:val="24"/>
        </w:rPr>
      </w:pPr>
      <w:r w:rsidRPr="00E0133D">
        <w:rPr>
          <w:szCs w:val="24"/>
        </w:rPr>
        <w:t xml:space="preserve">The estimated kinetic energy depicted on the day and time that the ozone concentration was gathered may offer key insights into a new, highly correlated feature with minimal collinearity. The estimated kinetic energy must be representative of the chemical and physical properties just mentioned. Further analysis of </w:t>
      </w:r>
      <w:proofErr w:type="spellStart"/>
      <w:r w:rsidRPr="00E0133D">
        <w:rPr>
          <w:szCs w:val="24"/>
        </w:rPr>
        <w:t>Lagrangian</w:t>
      </w:r>
      <w:proofErr w:type="spellEnd"/>
      <w:r w:rsidRPr="00E0133D">
        <w:rPr>
          <w:szCs w:val="24"/>
        </w:rPr>
        <w:t xml:space="preserve"> Field Thery applied to surface ozone densities is mentioned in Chapter 6. The basic take away from this is the construction of the theoretical kinetic energy of the reaction at a given state, in some space at some time it is given as a combination of chemical-thermodynamics and LFT, for later use with a scaled field correlating to the predictor variable:</w:t>
      </w:r>
    </w:p>
    <w:p w14:paraId="277CA6D3" w14:textId="77777777" w:rsidR="00E0133D" w:rsidRPr="00E0133D" w:rsidRDefault="00E0133D" w:rsidP="00E0133D">
      <w:pPr>
        <w:ind w:firstLine="720"/>
        <w:rPr>
          <w:szCs w:val="24"/>
        </w:rPr>
      </w:pPr>
      <w:r w:rsidRPr="00E0133D">
        <w:rPr>
          <w:szCs w:val="24"/>
        </w:rPr>
        <w:lastRenderedPageBreak/>
        <w:t>If one delves deep enough into the darkness of condensed matter physics, field theory and applications of Feynman mechanics; the act of “spontaneous symmetry breaking” seems oddly familiar to the spontaneity of ozone reactions.</w:t>
      </w:r>
      <w:r w:rsidRPr="00E0133D">
        <w:rPr>
          <w:rFonts w:cs="Segoe UI"/>
          <w:szCs w:val="24"/>
          <w:shd w:val="clear" w:color="auto" w:fill="FFFFFF"/>
        </w:rPr>
        <w:t xml:space="preserve"> </w:t>
      </w:r>
      <w:r w:rsidRPr="00E0133D">
        <w:rPr>
          <w:szCs w:val="24"/>
        </w:rPr>
        <w:t>Spontaneous symmetry breaking (SSB) refers to a special case where the lowest energy state (a vacuum), may not be invariant under all symmetries. In other words, several vacuums are possible, and the overall field may not change with respect to a singular process. SSB states that a spontaneous process of symmetry breaking, by which a physical system in a symmetric state may spontaneously end up in an asymmetric state. In the case of surface ozone, light, NO</w:t>
      </w:r>
      <w:r w:rsidRPr="00E0133D">
        <w:rPr>
          <w:szCs w:val="24"/>
          <w:vertAlign w:val="subscript"/>
        </w:rPr>
        <w:t>2</w:t>
      </w:r>
      <w:r w:rsidRPr="00E0133D">
        <w:rPr>
          <w:szCs w:val="24"/>
        </w:rPr>
        <w:t xml:space="preserve">, and other atmospheric processes which drive ozone, depict the symmetric states required to produce the asymmetric state of surface ozone. Proper implementation of this theory with regards to remote sensing, geospatial transformations, and spatial-temporal analytics may be a novel missing link in modeling chemical transport systems. </w:t>
      </w:r>
    </w:p>
    <w:p w14:paraId="7418B9AD" w14:textId="7818BAED" w:rsidR="00E0133D" w:rsidRPr="00E0133D" w:rsidRDefault="005E35EB" w:rsidP="00E0133D">
      <w:pPr>
        <w:jc w:val="center"/>
        <w:rPr>
          <w:szCs w:val="24"/>
        </w:rPr>
      </w:pPr>
      <w:r>
        <w:rPr>
          <w:szCs w:val="24"/>
        </w:rPr>
        <w:t>VII.</w:t>
      </w:r>
      <w:r>
        <w:rPr>
          <w:szCs w:val="24"/>
        </w:rPr>
        <w:t>4</w:t>
      </w:r>
      <w:r>
        <w:rPr>
          <w:szCs w:val="24"/>
        </w:rPr>
        <w:t>.</w:t>
      </w:r>
      <w:r>
        <w:rPr>
          <w:szCs w:val="24"/>
        </w:rPr>
        <w:t xml:space="preserve"> </w:t>
      </w:r>
      <w:r w:rsidRPr="00E0133D">
        <w:rPr>
          <w:szCs w:val="24"/>
        </w:rPr>
        <w:t>Advancing Surface O</w:t>
      </w:r>
      <w:r w:rsidRPr="00E0133D">
        <w:rPr>
          <w:szCs w:val="24"/>
          <w:vertAlign w:val="subscript"/>
        </w:rPr>
        <w:t>3</w:t>
      </w:r>
      <w:r w:rsidRPr="00E0133D">
        <w:rPr>
          <w:szCs w:val="24"/>
        </w:rPr>
        <w:t xml:space="preserve"> Mapping with </w:t>
      </w:r>
      <w:r>
        <w:rPr>
          <w:szCs w:val="24"/>
        </w:rPr>
        <w:t>RK</w:t>
      </w:r>
      <w:r w:rsidRPr="00E0133D">
        <w:rPr>
          <w:szCs w:val="24"/>
        </w:rPr>
        <w:t xml:space="preserve"> Regression</w:t>
      </w:r>
    </w:p>
    <w:p w14:paraId="7F015CB0" w14:textId="77777777" w:rsidR="005E35EB" w:rsidRDefault="00E0133D" w:rsidP="00E0133D">
      <w:pPr>
        <w:ind w:firstLine="720"/>
        <w:rPr>
          <w:szCs w:val="24"/>
        </w:rPr>
      </w:pPr>
      <w:r w:rsidRPr="00E0133D">
        <w:rPr>
          <w:szCs w:val="24"/>
        </w:rPr>
        <w:t xml:space="preserve">The RK method emerged as a standout approach, offering robust spatial refinement to all baseline models by accounting for residual spatial dependencies. While some base ensembles out predicted </w:t>
      </w:r>
      <w:proofErr w:type="spellStart"/>
      <w:r w:rsidRPr="00E0133D">
        <w:rPr>
          <w:szCs w:val="24"/>
        </w:rPr>
        <w:t>SMaRK</w:t>
      </w:r>
      <w:proofErr w:type="spellEnd"/>
      <w:r w:rsidRPr="00E0133D">
        <w:rPr>
          <w:szCs w:val="24"/>
        </w:rPr>
        <w:t xml:space="preserve"> based estimations due to a stronger complex property, the overall </w:t>
      </w:r>
      <w:proofErr w:type="spellStart"/>
      <w:r w:rsidRPr="00E0133D">
        <w:rPr>
          <w:szCs w:val="24"/>
        </w:rPr>
        <w:t>SMaRK</w:t>
      </w:r>
      <w:proofErr w:type="spellEnd"/>
      <w:r w:rsidRPr="00E0133D">
        <w:rPr>
          <w:szCs w:val="24"/>
        </w:rPr>
        <w:t xml:space="preserve"> version of that ensemble still shows stronger associations with the in-situ value at each location. This approach successfully captured O</w:t>
      </w:r>
      <w:r w:rsidRPr="00E0133D">
        <w:rPr>
          <w:szCs w:val="24"/>
          <w:vertAlign w:val="subscript"/>
        </w:rPr>
        <w:t>3</w:t>
      </w:r>
      <w:r w:rsidRPr="00E0133D">
        <w:rPr>
          <w:szCs w:val="24"/>
        </w:rPr>
        <w:t xml:space="preserve"> concentrations across diverse anthropogenic environments with similar meteorological conditions as well as if not better than current ensemble approaches to correcting imagery. </w:t>
      </w:r>
    </w:p>
    <w:p w14:paraId="2E2FEC4E" w14:textId="77777777" w:rsidR="005E35EB" w:rsidRDefault="00E0133D" w:rsidP="00E0133D">
      <w:pPr>
        <w:ind w:firstLine="720"/>
        <w:rPr>
          <w:szCs w:val="24"/>
        </w:rPr>
      </w:pPr>
      <w:r w:rsidRPr="00E0133D">
        <w:rPr>
          <w:szCs w:val="24"/>
        </w:rPr>
        <w:t xml:space="preserve">If the associated instrument can be correlated to a monitor of the same type which is properly gathered (e.g. Dobson Monitors and TOMS/OMI imagery or high-resolution drone imagery corrected with GCPs and NDVI imagery from Landsat in-between retrievals), then predictive ensembles using remotely sensed data would inherently benefit from the reduced error in imagery. </w:t>
      </w:r>
      <w:proofErr w:type="spellStart"/>
      <w:r w:rsidRPr="00E0133D">
        <w:rPr>
          <w:szCs w:val="24"/>
        </w:rPr>
        <w:t>SMaRK’s</w:t>
      </w:r>
      <w:proofErr w:type="spellEnd"/>
      <w:r w:rsidRPr="00E0133D">
        <w:rPr>
          <w:szCs w:val="24"/>
        </w:rPr>
        <w:t xml:space="preserve"> low error rates and enhanced spatial precision offers novel solutions to correcting high-resolution imagery beneficial for numerous sectors; like public health research, urban chemical transport studies, and local weather mapping, where fine-scale exposure assessments are critical </w:t>
      </w:r>
      <w:r w:rsidRPr="00E0133D">
        <w:rPr>
          <w:szCs w:val="24"/>
        </w:rPr>
        <w:fldChar w:fldCharType="begin"/>
      </w:r>
      <w:r w:rsidRPr="00E0133D">
        <w:rPr>
          <w:szCs w:val="24"/>
        </w:rPr>
        <w:instrText xml:space="preserve"> ADDIN ZOTERO_ITEM CSL_CITATION {"citationID":"RYnoyNHo","properties":{"formattedCitation":"(Kong et al. 2023; Lo et al. 2024; Northeim, Tiwari, and Oppong 2021; Yin et al. 2019)","plainCitation":"(Kong et al. 2023; Lo et al. 2024; Northeim, Tiwari, and Oppong 2021; Yin et al. 2019)","noteIndex":0},"citationItems":[{"id":9916,"uris":["http://zotero.org/users/15391371/items/MJDFWJNR"],"itemData":{"id":9916,"type":"article-journal","abstract":"Since State Council launched the Action Plan for Air Pollution Prevention and Control in 2013, national concentration of fine particulate matter (PM2.5) has continued to decline in China, while surface ozone (O-3) pollution shows an obvious rise. To identity hot regions and develop targeted policy, the spatiotemporal O-3 variation and its population-weighted exposure features were analyzed in 337 cities across China, using autocorrelation analysis and grid exposure calculation. In the identified hot urban agglomerations, the correlation analysis and geographic weighted regression model (GWR) were used to study related meteorological factors and socioeconomic driving factors. O-3 pollution and its human exposure were found to have significant spatial aggregation characteristics, showing a need for regional management policy. Beijing-Tianjin-Hebei Urban Agglomeration (BTH-UA), Central Plains Urban Agglomeration (CP-UA), and Yangtze River Delta Urban Agglomeration (YRD-UA) were identified as hot regions where O-3 concentration exceeded 160 &amp; mu;g &amp; BULL;m(-3), exceedance rate was over 20% and population-weighted exposure risk was relatively high. Correlation analysis in the hot regions indicated high surface temperature, low relative humidity, and low wind speed were positive to O-3 increase. Further, GWR results revealed that O-3 in the majority of cities was positively related with population density (PD), the per capita GDP (Per_GDP), industrial soot emissions (ISE), industrial SO2 emissions (ISO2), and average annual concentration of inhaled fine particulate matter (PM10), and negatively related with total land area of administrative region (Administration) and area of green land (Green). From the regional driving factor difference, the targeted UA management policy was provided.","archive_location":"WOS:001018890200001","container-title":"FRONTIERS IN ECOLOGY AND EVOLUTION","DOI":"10.3389/fevo.2023.1103503","ISSN":"2296-701X","title":"Unraveling spatiotemporal patterns and multiple driving factors of surface ozone across China and its urban agglomerations management strategies","volume":"11","author":[{"family":"Kong","given":"SJ"},{"family":"Wang","given":"T"},{"family":"Li","given":"F"},{"family":"Yan","given":"JJ"},{"family":"Qu","given":"ZG"}],"issued":{"date-parts":[["2023",6,15]]}}},{"id":9634,"uris":["http://zotero.org/users/15391371/items/K7HEY3AJ"],"itemData":{"id":9634,"type":"article-journal","abstract":"This study pioneered the forecasting of typhoon trajectories and conducted the comprehensive analysis of pre-typhoon surface O3 patterns using WRF-Chem model integrated with a novel FourDimensional Variation Data Assimilation (4DVAR). The WRF-Chem model was employed to analyze the impact of typhoon tracks on surface O3 concentrations in southern Taiwan in 2013 and 2023. The simulations examined the variation of surface O3 concentrations; while both surface monitoring and sounding data were integrated into the model. The study evaluated the spatiotemporal variation of typhoon tracks, and correlated them with suface O3 concentrations. Elevated surface O3 levels preceding typhoon arrival were significantly influenced by the typhoon tracks. Meanwhile, a surge observed approximately 1-2 days prior to sea warnings was associated with the weakened West Pacific Subtropical High (WPSH) and intensified leeward effects. Atmospheric subsidence in both scenarios contributed to declining air quality. Typhoon invasions raised surface O3 concentrations 1-3 times higher than normal in summer and fall. Model simulation results indicated that spatial O3 patterns preceding typhoon arrival could forecast the typhoon tracks 1-2 days in advance, providing insights into mechanisms behind pre-typhoon elevated O3 levels. The findings offer valuable references for forecasting surface O3 concentrations based on typhoon tracks.","archive_location":"WOS:001298060800001","container-title":"URBAN CLIMATE","DOI":"10.1016/j.uclim.2024.102093","ISSN":"2212-0955","title":"Elevated surface ozone concentration caused by subtropical cyclones and topographical effect: Model simulation and field measurement","volume":"57","author":[{"family":"Lo","given":"KC"},{"family":"Cheng","given":"WH"},{"family":"Lin","given":"C"},{"family":"Hung","given":"CH"},{"family":"Yuan","given":"CS"},{"family":"Tseng","given":"YL"}],"issued":{"date-parts":[["2024",9]]}}},{"id":9950,"uris":["http://zotero.org/users/15391371/items/GZAQJ4ZB"],"itemData":{"id":9950,"type":"article-journal","abstract":"Fixed site monitoring is the primary method of measuring surface ozone pollution for health advisories and pollutant reduction, but the spatial scale may not reflect the current population distribution or its future growth. Moreover, formal methods for the placement of ozone monitoring sites within populations regions omit important spatial criteria producing monitoring locations that could unintentionally bias the exposure burden. Because ozone pollution endangers human health, triggering shortness of breath, causing asthma attacks and mortality, a need exists for assessing the spatial representativeness and data gaps of existing pollution monitors and to evaluate future placement strategies of additional monitors. A new metric, the potency index, for assessing the placements of monitors in relation to population distribution was developed. This index was used to evaluate the configuration of the ozone pollution monitoring network in relation to the population distribution in Dallas Fort Worth (DFW). Location-allocation models were used to optimize future sensor quantity and placement. Finally, we propose the development of a decision support system that uses evaluation and optimization methods to improve air pollution monitoring objectives.","archive_location":"WOS:000708822900003","container-title":"ENVIRONMENTAL SCIENCE &amp; POLICY","DOI":"10.1016/j.envsci.2021.09.011","ISSN":"1462-9011","page":"48-59","title":"Surface ozone monitoring and policy: A geospatial decision support tool for suitable location of monitoring stations in urban areas","volume":"126","author":[{"family":"Northeim","given":"K"},{"family":"Tiwari","given":"C"},{"family":"Oppong","given":"J"}],"issued":{"date-parts":[["2021",12]]}}},{"id":9294,"uris":["http://zotero.org/users/15391371/items/CEZ8SRV9"],"itemData":{"id":9294,"type":"article-journal","abstract":"The long-term variations of ozone are the combined results of climate change and air quality management. As Guangzhou is under the influence of both subtropical monsoon climate and rapid economic development, the ozone trend in recent years is uncertain. This paper presents the trend analysis of maximum daily average 8 h (MDA8) ozone and daily meteorological observations in Guangzhou from 2008 to 2018, using the Kolmogorov-Zurbenko (KZ) filter method. The observations were conducted at two sites in suburban Guangzhou, thus the datasets were processed in two periods. The first period (P1) is from 2008 to 2013, and the second period (P2) is from 2014 to 2018. Results show that the KZ filter method separates the short-term, seasonal, and long-term components efficiently, leaving a covariance term of 7.3% (5.4%) for P1 (P2). Through linear regression of long-term components, the trends were inferred as -0.06 +/- 0.04 ppb year(-1) (R-2 = 0.00, p &lt; 0.05) for P1, and 0.51 +/- 0.08 ppb year(-1) (R-2 = 0.11, pb 0.05) for P2. It is found that the solar radiation has the strongest impact on ozone. With inclusion of temperature, relative humidity, and wind speed, these four meteorological factors held 71% (76%) variability in baseline ozone (sum of seasonal and long-term ozone) for P1 (P2). After applying the KZ filter method, the results reveal that the variance contribution of emission to long-term ozone variation is larger than that of meteorology in P1, while smaller in P2. Furthermore, 59% of the emission-induced ozone change in P2 could be explained by nitrogen dioxide variation, and their inverse correlation suggests that Guangzhou is mainly under volatile organic compounds-limited regime, despite continuous nitrogen oxides reduction. (C) 2019 Elsevier B.V. All rights reserved.","archive_location":"WOS:000496802200093","container-title":"SCIENCE OF THE TOTAL ENVIRONMENT","DOI":"10.1016/j.scitotenv.2019.133880","ISSN":"0048-9697","title":"Trend analysis of surface ozone at suburban Guangzhou, China","volume":"695","author":[{"family":"Yin","given":"CQ"},{"family":"Deng","given":"XJ"},{"family":"Zou","given":"Y"},{"family":"Solmon","given":"F"},{"family":"Li","given":"F"},{"family":"Deng","given":"T"}],"issued":{"date-parts":[["2019",12,10]]}}}],"schema":"https://github.com/citation-style-language/schema/raw/master/csl-citation.json"} </w:instrText>
      </w:r>
      <w:r w:rsidRPr="00E0133D">
        <w:rPr>
          <w:szCs w:val="24"/>
        </w:rPr>
        <w:fldChar w:fldCharType="separate"/>
      </w:r>
      <w:r w:rsidRPr="00E0133D">
        <w:rPr>
          <w:szCs w:val="24"/>
        </w:rPr>
        <w:t>(Kong et al. 2023; Lo et al. 2024; Northeim, Tiwari, and Oppong 2021; Yin et al. 2019)</w:t>
      </w:r>
      <w:r w:rsidRPr="00E0133D">
        <w:rPr>
          <w:szCs w:val="24"/>
        </w:rPr>
        <w:fldChar w:fldCharType="end"/>
      </w:r>
      <w:r w:rsidRPr="00E0133D">
        <w:rPr>
          <w:szCs w:val="24"/>
        </w:rPr>
        <w:t xml:space="preserve">. </w:t>
      </w:r>
    </w:p>
    <w:p w14:paraId="7398178F" w14:textId="724DCFF5" w:rsidR="00E0133D" w:rsidRPr="00E0133D" w:rsidRDefault="00E0133D" w:rsidP="00E0133D">
      <w:pPr>
        <w:ind w:firstLine="720"/>
        <w:rPr>
          <w:szCs w:val="24"/>
        </w:rPr>
      </w:pPr>
      <w:r w:rsidRPr="00E0133D">
        <w:rPr>
          <w:szCs w:val="24"/>
        </w:rPr>
        <w:t xml:space="preserve">RK can be used to mitigate the Modifiable Areal Unit Problem (MAUP) and a unique advantage for remotely sensed imagery, providing more accurate, localized predictions of retrieval from current and historical technologies. By modelling the relative distance an observation is from its predicted value, the </w:t>
      </w:r>
      <w:proofErr w:type="spellStart"/>
      <w:r w:rsidRPr="00E0133D">
        <w:rPr>
          <w:szCs w:val="24"/>
        </w:rPr>
        <w:t>SMaRK</w:t>
      </w:r>
      <w:proofErr w:type="spellEnd"/>
      <w:r w:rsidRPr="00E0133D">
        <w:rPr>
          <w:szCs w:val="24"/>
        </w:rPr>
        <w:t xml:space="preserve"> approach can be thought </w:t>
      </w:r>
      <w:proofErr w:type="gramStart"/>
      <w:r w:rsidRPr="00E0133D">
        <w:rPr>
          <w:szCs w:val="24"/>
        </w:rPr>
        <w:t>of</w:t>
      </w:r>
      <w:proofErr w:type="gramEnd"/>
      <w:r w:rsidRPr="00E0133D">
        <w:rPr>
          <w:szCs w:val="24"/>
        </w:rPr>
        <w:t xml:space="preserve"> a mathematical implementation of Tobler’s Law in ML/AI models. Each residual geo-atom, a representation of a complex trend based on geo-atoms within a set field, dictates the amount of similarity between the source and estimated value. By including this in modern imagery, large sets of geo-spatial uncertainty can be accounted for.</w:t>
      </w:r>
    </w:p>
    <w:p w14:paraId="2CCCB094" w14:textId="33C52E7D" w:rsidR="00E0133D" w:rsidRPr="00E0133D" w:rsidRDefault="005E35EB" w:rsidP="00E0133D">
      <w:pPr>
        <w:jc w:val="center"/>
        <w:rPr>
          <w:szCs w:val="24"/>
        </w:rPr>
      </w:pPr>
      <w:r>
        <w:rPr>
          <w:szCs w:val="24"/>
        </w:rPr>
        <w:t>VII.</w:t>
      </w:r>
      <w:r>
        <w:rPr>
          <w:szCs w:val="24"/>
        </w:rPr>
        <w:t>5</w:t>
      </w:r>
      <w:r>
        <w:rPr>
          <w:szCs w:val="24"/>
        </w:rPr>
        <w:t xml:space="preserve">. </w:t>
      </w:r>
      <w:r w:rsidRPr="00E0133D">
        <w:rPr>
          <w:szCs w:val="24"/>
        </w:rPr>
        <w:t>Implications For Public Health and Policy</w:t>
      </w:r>
    </w:p>
    <w:p w14:paraId="439ED955" w14:textId="77777777" w:rsidR="00E0133D" w:rsidRPr="00E0133D" w:rsidRDefault="00E0133D" w:rsidP="00E0133D">
      <w:pPr>
        <w:ind w:firstLine="720"/>
        <w:rPr>
          <w:szCs w:val="24"/>
        </w:rPr>
      </w:pPr>
      <w:r w:rsidRPr="00E0133D">
        <w:rPr>
          <w:szCs w:val="24"/>
        </w:rPr>
        <w:lastRenderedPageBreak/>
        <w:t>Enhanced ozone modeling has significant implications for public health. By addressing spatial and temporal variability more effectively, RK and ensemble methods can support targeted interventions to reduce ozone exposure, particularly in vulnerable populations. Policies informed by high-resolution ozone models can prioritize areas with high exposure, guiding infrastructure development and resource allocation for air quality improvement initiatives. Furthermore, the capacity of RK to capture fine-scale ozone variations holds potential for advancing urban planning, where localized emission control measures could significantly impact public health (Jerrett et al., 2009; Bell et al., 2014).</w:t>
      </w:r>
    </w:p>
    <w:p w14:paraId="40047B3A" w14:textId="77777777" w:rsidR="00E0133D" w:rsidRPr="00E0133D" w:rsidRDefault="00E0133D" w:rsidP="00E0133D">
      <w:pPr>
        <w:ind w:firstLine="720"/>
        <w:rPr>
          <w:szCs w:val="24"/>
        </w:rPr>
      </w:pPr>
      <w:r w:rsidRPr="00E0133D">
        <w:rPr>
          <w:szCs w:val="24"/>
        </w:rPr>
        <w:t>This study’s findings underscore the need for high-resolution models to achieve accurate exposure assessments that inform public health strategies and urban expansion plans. The RK method provides an advanced tool for mapping not only surface O</w:t>
      </w:r>
      <w:r w:rsidRPr="00E0133D">
        <w:rPr>
          <w:szCs w:val="24"/>
          <w:vertAlign w:val="subscript"/>
        </w:rPr>
        <w:t>3</w:t>
      </w:r>
      <w:r w:rsidRPr="00E0133D">
        <w:rPr>
          <w:szCs w:val="24"/>
        </w:rPr>
        <w:t xml:space="preserve"> concentrations, but many air pollutants and aerosols at resolutions finer than 300m in need be. If the dataset for surface O</w:t>
      </w:r>
      <w:r w:rsidRPr="00E0133D">
        <w:rPr>
          <w:szCs w:val="24"/>
          <w:vertAlign w:val="subscript"/>
        </w:rPr>
        <w:t>3</w:t>
      </w:r>
      <w:r w:rsidRPr="00E0133D">
        <w:rPr>
          <w:szCs w:val="24"/>
        </w:rPr>
        <w:t xml:space="preserve"> is expanded upon, it can offer the ability to rapidly estimate exposure risks for participants in exposure studies, especially in densely populated urban centers. Public health officials and policymakers could leverage this to implement localized interventions and standards, such as regulating vehicular emissions and industrial pollutants via emission credits, ultimately reducing health burdens associated with ozone and air pollution exposures.</w:t>
      </w:r>
    </w:p>
    <w:p w14:paraId="06F848C0" w14:textId="34E89253" w:rsidR="00E0133D" w:rsidRPr="00E0133D" w:rsidRDefault="005E35EB" w:rsidP="00E0133D">
      <w:pPr>
        <w:jc w:val="center"/>
        <w:rPr>
          <w:caps/>
          <w:szCs w:val="24"/>
        </w:rPr>
      </w:pPr>
      <w:r>
        <w:rPr>
          <w:szCs w:val="24"/>
        </w:rPr>
        <w:t>VII.</w:t>
      </w:r>
      <w:r>
        <w:rPr>
          <w:szCs w:val="24"/>
        </w:rPr>
        <w:t>6</w:t>
      </w:r>
      <w:r>
        <w:rPr>
          <w:szCs w:val="24"/>
        </w:rPr>
        <w:t xml:space="preserve">. </w:t>
      </w:r>
      <w:r w:rsidRPr="00E0133D">
        <w:rPr>
          <w:szCs w:val="24"/>
        </w:rPr>
        <w:t>Insights Into Historical Exposures and Concentrations</w:t>
      </w:r>
    </w:p>
    <w:p w14:paraId="7E0B97B5" w14:textId="77777777" w:rsidR="00E0133D" w:rsidRPr="00E0133D" w:rsidRDefault="00E0133D" w:rsidP="00E0133D">
      <w:pPr>
        <w:ind w:firstLine="720"/>
        <w:rPr>
          <w:caps/>
          <w:szCs w:val="24"/>
        </w:rPr>
      </w:pPr>
      <w:r w:rsidRPr="00E0133D">
        <w:rPr>
          <w:szCs w:val="24"/>
        </w:rPr>
        <w:t>The historical feasibility of high-resolution ozone modeling, particularly from 1980 to 2000, relies heavily on the RK method’s ability to accurately capture residual spatial dependencies. With RK, historical data from sources like TOMS can be spatially refined to produce monthly average ozone concentrations, filling a critical gap in historical ozone exposure records. This capability is invaluable for public health research, as it allows for the retrospective analysis of exposure patterns over time, linking long-term ozone trends with health outcomes in different populations. The RK method’s refinement of historical datasets can thus support an unprecedented level of detail in exposure mapping, fostering a new understanding of how ozone exposure has evolved in response to environmental and socio-economic changes. From 2000 onwards, with the advent of advanced satellite data from instruments like Sentinel-5P, the RK method can facilitate daily average ozone models by enabling granular spatial predictions, making high-resolution daily models feasible for the first time.</w:t>
      </w:r>
    </w:p>
    <w:p w14:paraId="1DC7F02B" w14:textId="77777777" w:rsidR="00E0133D" w:rsidRPr="00E0133D" w:rsidRDefault="00E0133D" w:rsidP="00E0133D">
      <w:pPr>
        <w:ind w:firstLine="720"/>
        <w:rPr>
          <w:szCs w:val="24"/>
        </w:rPr>
      </w:pPr>
      <w:r w:rsidRPr="00E0133D">
        <w:rPr>
          <w:szCs w:val="24"/>
        </w:rPr>
        <w:t>One of the most promising aspects of the RK method lies in its potential to improve existing statistical models, estimating predictions before 2005. By predicting geospatial error within a larger temporal range, RK can enhance the predictive accuracy of ML/AI corrections used for understanding trends over large decades if collected imagery. Statistical models, when combined with residual kriging, are empowered to deliver predictions that reflect both large-scale trends and localized variations. This integration enables a new generation of high-resolution spatial datasets that offer valuable insights for epidemiological studies, allowing for a more precise estimation of the impacts associated with different O</w:t>
      </w:r>
      <w:r w:rsidRPr="00E0133D">
        <w:rPr>
          <w:szCs w:val="24"/>
          <w:vertAlign w:val="subscript"/>
        </w:rPr>
        <w:t>3</w:t>
      </w:r>
      <w:r w:rsidRPr="00E0133D">
        <w:rPr>
          <w:szCs w:val="24"/>
        </w:rPr>
        <w:t xml:space="preserve"> </w:t>
      </w:r>
      <w:r w:rsidRPr="00E0133D">
        <w:rPr>
          <w:szCs w:val="24"/>
        </w:rPr>
        <w:lastRenderedPageBreak/>
        <w:t>exposure levels and more. The RK method provides a structured means of adjusting for the inherent variability in ozone concentrations that traditional statistical models cannot easily account for. This adjustment is critical in capturing the ozone’s complex behavior across diverse landscapes, which is essential for accurate long-term health impact assessments.</w:t>
      </w:r>
    </w:p>
    <w:p w14:paraId="1A556D60" w14:textId="77777777" w:rsidR="00E0133D" w:rsidRPr="00E0133D" w:rsidRDefault="00E0133D" w:rsidP="00E0133D">
      <w:pPr>
        <w:ind w:firstLine="720"/>
        <w:rPr>
          <w:szCs w:val="24"/>
        </w:rPr>
      </w:pPr>
      <w:r w:rsidRPr="00E0133D">
        <w:rPr>
          <w:szCs w:val="24"/>
        </w:rPr>
        <w:t xml:space="preserve">In tandem, the enhancement of remote sensing monitoring systems through RK underscores the potential for a more comprehensive air pollution monitoring network that combines satellite data with ground-level measurements. This approach addresses a key limitation of remote sensing: the lack of fine-scale spatial detail required for accurate exposure predictions in urban and rural microenvironments. RK can improve the spatial accuracy of satellite data by integrating it with in-situ measurements, thereby creating a more precise depiction of ozone concentrations near densely populated areas. Such high spatial resolution is essential for not only quicky estimating exposures, </w:t>
      </w:r>
      <w:proofErr w:type="gramStart"/>
      <w:r w:rsidRPr="00E0133D">
        <w:rPr>
          <w:szCs w:val="24"/>
        </w:rPr>
        <w:t>it</w:t>
      </w:r>
      <w:proofErr w:type="gramEnd"/>
      <w:r w:rsidRPr="00E0133D">
        <w:rPr>
          <w:szCs w:val="24"/>
        </w:rPr>
        <w:t xml:space="preserve"> showed populations in this thesis are disproportionately affected by O</w:t>
      </w:r>
      <w:r w:rsidRPr="00E0133D">
        <w:rPr>
          <w:szCs w:val="24"/>
          <w:vertAlign w:val="subscript"/>
        </w:rPr>
        <w:t>3</w:t>
      </w:r>
      <w:r w:rsidRPr="00E0133D">
        <w:rPr>
          <w:szCs w:val="24"/>
        </w:rPr>
        <w:t xml:space="preserve"> due to their geographic location, socio-economic status, or underlying health vulnerabilities given their surroundings. By refining satellite-based O</w:t>
      </w:r>
      <w:r w:rsidRPr="00E0133D">
        <w:rPr>
          <w:szCs w:val="24"/>
          <w:vertAlign w:val="subscript"/>
        </w:rPr>
        <w:t>3</w:t>
      </w:r>
      <w:r w:rsidRPr="00E0133D">
        <w:rPr>
          <w:szCs w:val="24"/>
        </w:rPr>
        <w:t xml:space="preserve"> estimates, RK can also facilitate more responsive public health interventions, allowing for the timely identification and mitigation of high-exposure areas.</w:t>
      </w:r>
    </w:p>
    <w:p w14:paraId="5A51C7DA" w14:textId="77777777" w:rsidR="00E0133D" w:rsidRPr="00E0133D" w:rsidRDefault="00E0133D" w:rsidP="00E0133D">
      <w:pPr>
        <w:ind w:firstLine="720"/>
        <w:rPr>
          <w:caps/>
          <w:szCs w:val="24"/>
        </w:rPr>
      </w:pPr>
      <w:r w:rsidRPr="00E0133D">
        <w:rPr>
          <w:szCs w:val="24"/>
        </w:rPr>
        <w:t xml:space="preserve">Multi-disciplinary GIS modeling techniques such as </w:t>
      </w:r>
      <w:proofErr w:type="spellStart"/>
      <w:r w:rsidRPr="00E0133D">
        <w:rPr>
          <w:szCs w:val="24"/>
        </w:rPr>
        <w:t>SMaRK</w:t>
      </w:r>
      <w:proofErr w:type="spellEnd"/>
      <w:r w:rsidRPr="00E0133D">
        <w:rPr>
          <w:szCs w:val="24"/>
        </w:rPr>
        <w:t xml:space="preserve"> have become more widespread because of this most recent data revolution </w:t>
      </w:r>
      <w:r w:rsidRPr="00E0133D">
        <w:rPr>
          <w:szCs w:val="24"/>
        </w:rPr>
        <w:fldChar w:fldCharType="begin"/>
      </w:r>
      <w:r w:rsidRPr="00E0133D">
        <w:rPr>
          <w:szCs w:val="24"/>
        </w:rPr>
        <w:instrText xml:space="preserve"> ADDIN ZOTERO_ITEM CSL_CITATION {"citationID":"AMqhm8PM","properties":{"formattedCitation":"(Goodchild 2018)","plainCitation":"(Goodchild 2018)","noteIndex":0},"citationItems":[{"id":12386,"uris":["http://zotero.org/users/15391371/items/KT5XIINR"],"itemData":{"id":12386,"type":"article-journal","container-title":"The AAG Review of Books","DOI":"10.1080/2325548x.2018.1402278","ISSN":"2325-548X","issue":"2","language":"en","note":"publisher: Informa UK Limited","page":"115-117","source":"Crossref","title":"Mapping Across Academia","volume":"6","author":[{"family":"Goodchild","given":"Michael F."}],"issued":{"date-parts":[["2018",4,3]]}}}],"schema":"https://github.com/citation-style-language/schema/raw/master/csl-citation.json"} </w:instrText>
      </w:r>
      <w:r w:rsidRPr="00E0133D">
        <w:rPr>
          <w:szCs w:val="24"/>
        </w:rPr>
        <w:fldChar w:fldCharType="separate"/>
      </w:r>
      <w:r w:rsidRPr="00E0133D">
        <w:rPr>
          <w:szCs w:val="24"/>
        </w:rPr>
        <w:t>(Goodchild 2018)</w:t>
      </w:r>
      <w:r w:rsidRPr="00E0133D">
        <w:rPr>
          <w:szCs w:val="24"/>
        </w:rPr>
        <w:fldChar w:fldCharType="end"/>
      </w:r>
      <w:r w:rsidRPr="00E0133D">
        <w:rPr>
          <w:szCs w:val="24"/>
        </w:rPr>
        <w:t>. Brought about by the exponential growth in data storage and processing capacities via advancements in Big Data, new-found spatial and temporal analysis of both micro- and macro- ecologies have spurred the need for simplified, sound methodologies. The pursuit of high spatial resolution O</w:t>
      </w:r>
      <w:r w:rsidRPr="00E0133D">
        <w:rPr>
          <w:szCs w:val="24"/>
          <w:vertAlign w:val="subscript"/>
        </w:rPr>
        <w:t>3</w:t>
      </w:r>
      <w:r w:rsidRPr="00E0133D">
        <w:rPr>
          <w:szCs w:val="24"/>
        </w:rPr>
        <w:t xml:space="preserve"> models may represent a landmark methodology</w:t>
      </w:r>
      <w:r w:rsidRPr="00E0133D">
        <w:rPr>
          <w:caps/>
          <w:szCs w:val="24"/>
        </w:rPr>
        <w:t xml:space="preserve"> </w:t>
      </w:r>
      <w:r w:rsidRPr="00E0133D">
        <w:rPr>
          <w:szCs w:val="24"/>
        </w:rPr>
        <w:t xml:space="preserve">for GIS users. This ambition, driven by the imperative need for readily available, accurate, spatial-temporal based data has only become attainable due to advances in technology. Particularly, the availability of Big Data like TOAR/Google Earth Engine, application of spatial uncertainty into ML/AI representations of satellite data, and overall improvement of programming language syntaxes (Python 3.12.x, Java 8.x, R 4.x, SQL Server 2022, etc.). The </w:t>
      </w:r>
      <w:proofErr w:type="spellStart"/>
      <w:r w:rsidRPr="00E0133D">
        <w:rPr>
          <w:szCs w:val="24"/>
        </w:rPr>
        <w:t>SMaRK</w:t>
      </w:r>
      <w:proofErr w:type="spellEnd"/>
      <w:r w:rsidRPr="00E0133D">
        <w:rPr>
          <w:szCs w:val="24"/>
        </w:rPr>
        <w:t xml:space="preserve"> approach significantly enhanced the predictive accuracy of traditional ML/AI models by spatially interpolating residuals from features at a given point and adding the predicted error back into the model. Satellite imagery in the PHOTUC region via </w:t>
      </w:r>
      <w:proofErr w:type="spellStart"/>
      <w:r w:rsidRPr="00E0133D">
        <w:rPr>
          <w:szCs w:val="24"/>
        </w:rPr>
        <w:t>SMaRK</w:t>
      </w:r>
      <w:proofErr w:type="spellEnd"/>
      <w:r w:rsidRPr="00E0133D">
        <w:rPr>
          <w:szCs w:val="24"/>
        </w:rPr>
        <w:t xml:space="preserve"> provides transformative capabilities for surface O</w:t>
      </w:r>
      <w:r w:rsidRPr="00E0133D">
        <w:rPr>
          <w:szCs w:val="24"/>
          <w:vertAlign w:val="subscript"/>
        </w:rPr>
        <w:t>3</w:t>
      </w:r>
      <w:r w:rsidRPr="00E0133D">
        <w:rPr>
          <w:szCs w:val="24"/>
        </w:rPr>
        <w:t xml:space="preserve"> mapping, CTMs, and exposure studies by including known values detected at the surface. The incorporation of spatial uncertainty into ML/AI methods for the proper display of geospatial information is critical to the progression of GIS programs. It enables finer, more nuanced depictions of any independent variable of interest across any temporal and geographic scale with the appropriate coverage of monitors. These fine-grained enhancements are critical for uncovering the full spectrum of micro- and macro-effects of the many pollutants threatening human health, ecosystems, and air quality. </w:t>
      </w:r>
    </w:p>
    <w:p w14:paraId="0E6CD715" w14:textId="1BB4137C" w:rsidR="00E0133D" w:rsidRPr="00E0133D" w:rsidRDefault="005E35EB" w:rsidP="00E0133D">
      <w:pPr>
        <w:contextualSpacing/>
        <w:jc w:val="center"/>
        <w:rPr>
          <w:caps/>
          <w:szCs w:val="24"/>
        </w:rPr>
      </w:pPr>
      <w:r>
        <w:rPr>
          <w:szCs w:val="24"/>
        </w:rPr>
        <w:t xml:space="preserve">VII.7. </w:t>
      </w:r>
      <w:r w:rsidRPr="00E0133D">
        <w:rPr>
          <w:szCs w:val="24"/>
        </w:rPr>
        <w:t xml:space="preserve">Final Comments on </w:t>
      </w:r>
      <w:r>
        <w:rPr>
          <w:szCs w:val="24"/>
        </w:rPr>
        <w:t>t</w:t>
      </w:r>
      <w:r w:rsidRPr="00E0133D">
        <w:rPr>
          <w:szCs w:val="24"/>
        </w:rPr>
        <w:t xml:space="preserve">he </w:t>
      </w:r>
      <w:proofErr w:type="spellStart"/>
      <w:r>
        <w:rPr>
          <w:szCs w:val="24"/>
        </w:rPr>
        <w:t>SMaRK</w:t>
      </w:r>
      <w:proofErr w:type="spellEnd"/>
      <w:r>
        <w:rPr>
          <w:szCs w:val="24"/>
        </w:rPr>
        <w:t xml:space="preserve"> </w:t>
      </w:r>
      <w:r w:rsidRPr="00E0133D">
        <w:rPr>
          <w:szCs w:val="24"/>
        </w:rPr>
        <w:t>Method</w:t>
      </w:r>
    </w:p>
    <w:p w14:paraId="0083EECA" w14:textId="531B02EE" w:rsidR="00E0133D" w:rsidRPr="00E0133D" w:rsidRDefault="00E0133D" w:rsidP="00E0133D">
      <w:pPr>
        <w:ind w:firstLine="720"/>
        <w:contextualSpacing/>
        <w:rPr>
          <w:caps/>
          <w:szCs w:val="24"/>
        </w:rPr>
      </w:pPr>
      <w:r w:rsidRPr="00E0133D">
        <w:rPr>
          <w:szCs w:val="24"/>
        </w:rPr>
        <w:lastRenderedPageBreak/>
        <w:t>In general, utilizing the RK method allowed for capturing complex error trends associated with predicted and actual values of surface O</w:t>
      </w:r>
      <w:r w:rsidRPr="00E0133D">
        <w:rPr>
          <w:szCs w:val="24"/>
          <w:vertAlign w:val="subscript"/>
        </w:rPr>
        <w:t>3</w:t>
      </w:r>
      <w:r w:rsidRPr="00E0133D">
        <w:rPr>
          <w:szCs w:val="24"/>
        </w:rPr>
        <w:t xml:space="preserve">. </w:t>
      </w:r>
      <w:proofErr w:type="spellStart"/>
      <w:r w:rsidRPr="00E0133D">
        <w:rPr>
          <w:szCs w:val="24"/>
        </w:rPr>
        <w:t>SMaRK</w:t>
      </w:r>
      <w:proofErr w:type="spellEnd"/>
      <w:r w:rsidRPr="00E0133D">
        <w:rPr>
          <w:szCs w:val="24"/>
        </w:rPr>
        <w:t xml:space="preserve"> displayed high variability and complexity of O</w:t>
      </w:r>
      <w:r w:rsidRPr="00E0133D">
        <w:rPr>
          <w:szCs w:val="24"/>
          <w:vertAlign w:val="subscript"/>
        </w:rPr>
        <w:t>3</w:t>
      </w:r>
      <w:r w:rsidRPr="00E0133D">
        <w:rPr>
          <w:szCs w:val="24"/>
        </w:rPr>
        <w:t xml:space="preserve"> concentrations due to emissions </w:t>
      </w:r>
      <w:r w:rsidRPr="00E0133D">
        <w:rPr>
          <w:caps/>
          <w:szCs w:val="24"/>
        </w:rPr>
        <w:fldChar w:fldCharType="begin"/>
      </w:r>
      <w:r w:rsidRPr="00E0133D">
        <w:rPr>
          <w:szCs w:val="24"/>
        </w:rPr>
        <w:instrText xml:space="preserve"> ADDIN ZOTERO_ITEM CSL_CITATION {"citationID":"0WD9xBjV","properties":{"unsorted":true,"formattedCitation":"(Staehle, Rieder, and Fiore 2023)","plainCitation":"(Staehle, Rieder, and Fiore 2023)","noteIndex":0},"citationItems":[{"id":11397,"uris":["http://zotero.org/users/15391371/items/S4D4TV6F"],"itemData":{"id":11397,"type":"article-journal","abstract":"State of the art chemistry-climate models (CCMs) still show biases compared to ground level ozone observations, illustrating remaining difficulties and challenges in the simulation of atmospheric processes governing ozone production and loss. Therefore, CCM output is frequently bias-corrected in studies seeking to explore changing air quality burdens and associated impacts. Here we assess four statistical bias correction techniques of varying complexity, and their application to surface ozone fields of four CCMs, and evaluate their performance against gridded observations in the EU and US. For the evaluation of the raw CCM outputs and the performance of the individual adjustment techniques we focus on two time periods (2005–2009 &amp;amp; 2010–2014), where the first period is used for development and training and the second to evaluate the performance of techniques when applied to model projections. Our results show, that while all methods applied are capable of significantly reducing the model bias, better results are obtained for more complex approaches such as quantile-mapping and delta-functions. We also highlight the sensitivity of the correction techniques to individual CCM skill at reproducing the observed distributional change in surface ozone. Ensemble simulations available for one CCM indicate the ozone bias arises from sensitivities in chemical mechanisms or emissions rather than driving meteorology.","archive":"Applied Science &amp; Technology Source Ultimate","archive_location":"173802439","container-title":"EGUsphere","DOI":"10.5194/egusphere-2023-2743","journalAbbreviation":"EGUsphere","language":"English","page":"1-21","source":"EBSCOhost","title":"Technical note: An assessment of the performance of statistical bias correction techniques for global chemistry-climate model surface ozone fields.","author":[{"family":"Staehle","given":"Christoph"},{"family":"Rieder","given":"Harald E."},{"family":"Fiore","given":"Arlene M."}],"issued":{"date-parts":[["2023",11,23]]}}}],"schema":"https://github.com/citation-style-language/schema/raw/master/csl-citation.json"} </w:instrText>
      </w:r>
      <w:r w:rsidRPr="00E0133D">
        <w:rPr>
          <w:caps/>
          <w:szCs w:val="24"/>
        </w:rPr>
        <w:fldChar w:fldCharType="separate"/>
      </w:r>
      <w:r w:rsidRPr="00E0133D">
        <w:rPr>
          <w:szCs w:val="24"/>
        </w:rPr>
        <w:t>(Staehle, Rieder, and Fiore 2023)</w:t>
      </w:r>
      <w:r w:rsidRPr="00E0133D">
        <w:rPr>
          <w:caps/>
          <w:szCs w:val="24"/>
        </w:rPr>
        <w:fldChar w:fldCharType="end"/>
      </w:r>
      <w:r w:rsidRPr="00E0133D">
        <w:rPr>
          <w:szCs w:val="24"/>
        </w:rPr>
        <w:t xml:space="preserve"> while accounting for minute associations due to metrological factors </w:t>
      </w:r>
      <w:r w:rsidRPr="00E0133D">
        <w:rPr>
          <w:szCs w:val="24"/>
        </w:rPr>
        <w:fldChar w:fldCharType="begin"/>
      </w:r>
      <w:r w:rsidR="00AC21CF">
        <w:rPr>
          <w:szCs w:val="24"/>
        </w:rPr>
        <w:instrText xml:space="preserve"> ADDIN ZOTERO_ITEM CSL_CITATION {"citationID":"0Hdr41il","properties":{"formattedCitation":"(Hou et al. 2024; Liang et al. 2018; Liu et al. 2023; Meng et al. 2022; Venkanna et al. 2015)","plainCitation":"(Hou et al. 2024; Liang et al. 2018; Liu et al. 2023; Meng et al. 2022; Venkanna et al. 2015)","noteIndex":0},"citationItems":[{"id":10892,"uris":["http://zotero.org/users/15391371/items/YZVZXUUV"],"itemData":{"id":10892,"type":"article-journal","abstract":"Air pollution exhibits significant spatial spillover effects, complicating and challenging regional governance models. This study innovatively applied and optimized a statistics-based complex network method in atmospheric environmental field. The methodology was enhanced through improvements in edge weighting and threshold calculations, leading to the development of an advanced pollutant transport network model. This model integrates pollution, meteorological, and geographical data, thereby comprehensively revealing the dynamic characteristics of PM 2.5 and O3 3 transport among various cities in China. Research findings indicated that, throughout the year, the O3 3 transport network surpassed the PM 2.5 network in edge count, average degree, and average weighted degree, showcasing a higher network density, broader city connections, and greater transmission strength. Particularly during the warm period, these characteristics of the O3 3 network were more pronounced, showcasing significant transport potential. Furthermore, the model successfully identified key influential cities in different periods; it also provided detailed descriptions of the interprovincial spillover flux and pathways of PM 2.5 and O3 3 across various time scales. It pinpointed major pollution spillover and receiving provinces, with primary spillover pathways concentrated in crucial areas such as the Beijing-Tianjin-Hebei (BTH) region and its surrounding areas, the Yangtze River Delta, and the Fen-Wei Plain. Building on this, the model divided the O3, 3 , PM2.5, 2.5 , and synergistic pollution transmission regions in China into 6, 7, and 8 zones, respectively, based on network weights and the Girvan Newman (GN) algorithm. Such division offers novel perspectives and strategies for regional joint prevention and control. The validity of the model was further corroborated by source analysis results from the WRF-CAMx model in the BTH area. Overall, this research provides valuable insights for local and regional atmospheric pollution control strategies. Additionally, it offers a robust analytical tool for research in the field of atmospheric pollution.","archive_location":"WOS:001294726500001","container-title":"ENVIRONMENT INTERNATIONAL","DOI":"10.1016/j.envint.2024.108731","ISSN":"0160-4120","title":"Elucidating transport dynamics and regional division of PM2.5 and O3 in China using an advanced network model","volume":"188","author":[{"family":"Hou","given":"XS"},{"family":"Wang","given":"XQ"},{"family":"Cheng","given":"SY"},{"family":"Qi","given":"HY"},{"family":"Wang","given":"CD"},{"family":"Huang","given":"ZJ"}],"issued":{"date-parts":[["2024",6]]}}},{"id":"kDOdxzcL/GEu3o6gv","uris":["http://zotero.org/users/15391371/items/3KESWG6L"],"itemData":{"id":"PEdcMclW/MhnoduZb","type":"article-journal","abstract":"Ambient air pollution from ozone and fine particulate matter is associated with premature mortality. As emissions from one continent influence air quality over others, changes in emissions can also influence human health on other continents. We estimate global air-pollution-related premature mortality from exposure to PM2.5 and ozone and the avoided deaths due to 20&amp;thinsp;% anthropogenic emission reductions from six source regions, North America (NAM), Europe (EUR), South Asia (SAS), East Asia (EAS), Russia–Belarus–Ukraine (RBU), and the Middle East (MDE), three global emission sectors, power and industry (PIN), ground transportation (TRN), and residential (RES), and one global domain (GLO), using an ensemble of global chemical transport model simulations coordinated by the second phase of the Task Force on Hemispheric Transport of Air Pollutants (TF HTAP2), and epidemiologically derived concentration response functions. We build on results from previous studies of TF HTAP by using improved atmospheric models driven by new estimates of 2010 anthropogenic emissions (excluding methane), with more source and receptor regions, new consideration of source sector impacts, and new epidemiological mortality functions. We estimate 290&amp;thinsp;000 (95&amp;thinsp;% confidence interval (CI): 30&amp;thinsp;000, 600&amp;thinsp;000) premature O3-related deaths and 2.8 million (0.5 million, 4.6 million) PM2.5-related premature deaths globally for the baseline year 2010. While 20&amp;thinsp;% emission reductions from one region generally lead to more avoided deaths within the source region than outside, reducing emissions from MDE and RBU can avoid more O3-related deaths outside of these regions than within, and reducing MDE emissions also avoids more PM2.5-related deaths outside of MDE than within. Our findings that most avoided O3-related deaths from emission reductions in NAM and EUR occur outside of those regions contrast with those of previous studies, while estimates of PM2.5-related deaths from NAM, EUR, SAS, and EAS emission reductions agree well. In addition, EUR, MDE, and RBU have more avoided O3-related deaths from reducing foreign emissions than from domestic reductions. For six regional emission reductions, the total avoided extra-regional mortality is estimated as 6000 (−3400, 15&amp;thinsp;500) deaths per year and 25&amp;thinsp;100 (8200, 35&amp;thinsp;800) deaths per year through changes in O3 and PM2.5, respectively. Interregional transport of air pollutants leads to more deaths through changes in PM2.5 than in O3, even though O3 is transported more on interregional scales, since PM2.5 has a stronger influence on mortality. For NAM and EUR, our estimates of avoided mortality from regional and extra-regional emission reductions are comparable to those estimated by regional models for these same experiments. In sectoral emission reductions, TRN emissions account for the greatest fraction (26–53&amp;thinsp;% of global emission reduction) of O3-related premature deaths in most regions, in agreement with previous studies, except for EAS (58&amp;thinsp;%) and RBU (38&amp;thinsp;%) where PIN emissions dominate. In contrast, PIN emission reductions have the greatest fraction (38–78&amp;thinsp;% of global emission reduction) of PM2.5-related deaths in most regions, except for SAS (45&amp;thinsp;%) where RES emission dominates, which differs with previous studies in which RES emissions dominate global health impacts. The spread of air pollutant concentration changes across models contributes most to the overall uncertainty in estimated avoided deaths, highlighting the uncertainty in results based on a single model. Despite uncertainties, the health benefits of reduced intercontinental air pollution transport suggest that international cooperation may be desirable to mitigate pollution transported over long distances.","container-title":"Atmospheric Chemistry and Physics","DOI":"10.5194/acp-18-10497-2018","ISSN":"1680-7316","issue":"14","language":"English","note":"publisher: Copernicus GmbH","page":"10497-10520","source":"Copernicus Online Journals","title":"HTAP2 multi-model estimates of premature human mortality due to intercontinental transport of air pollution and emission sectors","volume":"18","author":[{"family":"Liang","given":"Ciao-Kai"},{"family":"West","given":"J. Jason"},{"family":"Silva","given":"Raquel A."},{"family":"Bian","given":"Huisheng"},{"family":"Chin","given":"Mian"},{"family":"Davila","given":"Yanko"},{"family":"Dentener","given":"Frank J."},{"family":"Emmons","given":"Louisa"},{"family":"Flemming","given":"Johannes"},{"family":"Folberth","given":"Gerd"},{"family":"Henze","given":"Daven"},{"family":"Im","given":"Ulas"},{"family":"Jonson","given":"Jan Eiof"},{"family":"Keating","given":"Terry J."},{"family":"Kucsera","given":"Tom"},{"family":"Lenzen","given":"Allen"},{"family":"Lin","given":"Meiyun"},{"family":"Lund","given":"Marianne Tronstad"},{"family":"Pan","given":"Xiaohua"},{"family":"Park","given":"Rokjin J."},{"family":"Pierce","given":"R. Bradley"},{"family":"Sekiya","given":"Takashi"},{"family":"Sudo","given":"Kengo"},{"family":"Takemura","given":"Toshihiko"}],"issued":{"date-parts":[["2018",7,23]]}}},{"id":10360,"uris":["http://zotero.org/users/15391371/items/AJZIE9PP"],"itemData":{"id":10360,"type":"article-journal","abstract":"The regional transport of air pollutants significantly affects downwind air quality in the North China Plain (NCP), which forms part of the East Asian monsoon region. Here, we investigated the meteorological regional transport mechanisms that lead to wintertime PM2.5 and summertime O3 pollution episodes in downwind regions over the NCP during the East Asian monsoon. First, we analyzed the spatiotemporal patterns of PM2.5 and O3 pollution during the summers and winters of 2015-2020 in the NCP, as well as the influence of meteorological conditions. Subsequently, we identified the typical regional transport patterns of wintertime PM2.5 and summertime O3 using the multivariable empirical orthogonal function with multi-source data. The results showed that prevailing southerly and southeasterly winds in summer aggravated PM2.5 and O3 pollution over the northern NCP. Conversely, prevailing northerly and northwesterly winds in winter exacerbated PM2.5 and O3 pollution over the southern NCP. Wintertime PM2.5 pollution events in Henan (on the southern edge of the NCP) were induced by the southward movement of weak cold airflow following northerly winds governed by the East Asian winter monsoon. Additionally, a warm air mass to the south of Henan and the high surrounding terrain inhibited further southward invasion of weak cold air, causing heavy PM2.5 pollution. Conversely, summertime O3 pollution episodes in Beijing (on the northern edge of the NCP) were associated with southerly and southeasterly winds, which drove the transport of O3 and its precursors from the southern NCP to Beijing. The mountain barrier in northern Beijing aggravated O3 pollution. During the O3 pollution events, Beijing was in a transitional regime, and HCHO and NO2 increased by 17.16% and 20.43%, respectively. Furthermore, the vertical structure of the atmosphere facilitated the downward mixing of PM2.5 and O3 transported during pollution episodes. These re- sults provide a theoretical reference for predicting and controlling heavy air pollution in the NCP.","archive_location":"WOS:000920448900001","container-title":"ATMOSPHERIC POLLUTION RESEARCH","DOI":"10.1016/j.apr.2022.101638","ISSN":"1309-1042","issue":"1","title":"Meteorological mechanisms of regional PM2.5 and O3 transport in the North China Plain driven by the East Asian monsoon","volume":"14","author":[{"family":"Liu","given":"S"},{"family":"Zhao","given":"WH"},{"family":"Li","given":"LJ"},{"family":"Jin","given":"JN"},{"family":"Li","given":"TZ"},{"family":"Xu","given":"HT"},{"family":"Zhao","given":"WJ"}],"issued":{"date-parts":[["2023",1]]}}},{"id":12162,"uris":["http://zotero.org/users/15391371/items/ZEWXY4WA"],"itemData":{"id":12162,"type":"article-journal","abstract":"The North China Plain (NCP) is a major region of summer O 3 pollution in China. However, the contribution of stratosphere-to-troposphere transport (STT) to summertime surface O 3 in the NCP and the meteorological mechanisms are poorly understood. In this study, meteorological reanalysis data, O 3 observations, and Lagrange modeling were used to analyze the contribution of the STT to the change in surface O 3 in the NCP, the vertical transport pathways, and the associated meteorological mechanism. In summer 2019, the STT contributed an estimated 5.7%–18.8% to the surface O 3 concentrations in the NCP. The influence of the STT in the NCP is closely related to the changes in westerly circulation in the upper troposphere and lower stratosphere (UTLS) over the Eurasian region. The troughs and vortices in the westerlies led to the convergences of O 3 in the UTLS and tropopause folding, forming downward intrusions of O 3 -rich air from the UTLS to the lower troposphere. Controlled by the westerly circulation, the O 3 source regions of STT in the stratosphere are found between 40° and 70°N, oscillating zonally with changing transport periods, where a key source region of STT is situated steadily over 60°-100°E northwest of the NCP. In association with the cut-off low of westerly circulation in the UTLS over Siberia evolved from the splitting of the polar vortex, a slanted channel of O 3 downward intrusion was set up from the UTLS to the lower troposphere over the NCP in 7 days. As the cut-off low in westerly circulation moves southeastward close to the NCP, the channel of the O 3 downward intrusion is set upright with a shorter period of vertical transport to the NCP ground. Our results provide insights into the the O 3 source–receptor relationship in the STT with vertical O 3 transport structures in changes in the atmospheric environment. • STT contributes 5.7%–18.8% to surface O 3 in the North China Plain (NCP). • Stratospheric O 3 sources intruding NCP oscillate over 60–100°E and 40–70°N. • STT affects NCP with long-range slanted channels followed by upright transport.","archive":"Academic Search Premier","archive_location":"157386214","container-title":"Atmospheric Research","DOI":"10.1016/j.atmosres.2022.106271","ISSN":"0169-8095","journalAbbreviation":"Atmospheric Research","language":"eng","note":"publisher: Elsevier B.V.","page":"N.PAG-N.PAG","source":"EBSCOhost","title":"Influence of stratosphere-to-troposphere transport on summertime surface O3 changes in North China Plain in 2019.","volume":"276","author":[{"family":"Meng","given":"Kai"},{"family":"Zhao","given":"Tianliang"},{"family":"Xu","given":"Xiangde"},{"family":"Zhang","given":"Zhongjie"},{"family":"Bai","given":"Yongqing"},{"family":"Hu","given":"Yannan"},{"family":"Zhao","given":"Yang"},{"family":"Zhang","given":"Xiao"},{"family":"Xin","given":"Yushan"}],"issued":{"date-parts":[["2022",10,1]]}}},{"id":9890,"uris":["http://zotero.org/users/15391371/items/CELXRQH5"],"itemData":{"id":9890,"type":"article-journal","abstract":"Increasing concentration of tropospheric ozone (O-3) is a serious air pollution problem faced commonly by the urban people. The present study emphasizes on variations of air pollutant concentrations viz., O-3, nitrogen oxides (NOx), carbon monoxide (CO), sulfur dioxide (SO2) and black carbon (BC) at a tropical urban site located in the Deccan plateau region with semi-arid climate. The air monitoring site revealed typical diurnal/seasonal trends attributing to the complex chemistry of surface O-3 formation from its precursors. Role of SO2 in the formation of free radical () and its impact on O-3 concentration is distinguished part of the study. The results showed the highest mean O-3 in summer (57.5 +/- A 15.2 ppbv) followed by winter and monsoon. Observations of BC aerosols showed the highest mean value during winter (8.2 +/- A 2 mu g m(-3)) and the lowest in monsoon (4.2 +/- A 1 mu g m(-3)). Besides local influences, long-range transport of air masses were also studied by simulating back trajectories at different elevations during the study period. Furthermore, statistical analysis and modeling was performed with both linear (regression) and nonlinear (neural network) methods.","archive_location":"WOS:000351537800026","container-title":"INTERNATIONAL JOURNAL OF ENVIRONMENTAL SCIENCE AND TECHNOLOGY","DOI":"10.1007/s13762-014-0537-8","ISSN":"1735-1472","issue":"5","page":"1749-1758","title":"Environmental monitoring of surface ozone and other trace gases over different time scales: chemistry, transport and modeling","volume":"12","author":[{"family":"Venkanna","given":"R"},{"family":"Nikhil","given":"GN"},{"family":"Rao","given":"TS"},{"family":"Sinha","given":"PR"},{"family":"Swamy","given":"YV"}],"issued":{"date-parts":[["2015",5]]}}}],"schema":"https://github.com/citation-style-language/schema/raw/master/csl-citation.json"} </w:instrText>
      </w:r>
      <w:r w:rsidRPr="00E0133D">
        <w:rPr>
          <w:szCs w:val="24"/>
        </w:rPr>
        <w:fldChar w:fldCharType="separate"/>
      </w:r>
      <w:r w:rsidR="00AC21CF" w:rsidRPr="00AC21CF">
        <w:t>(Hou et al. 2024; Liang et al. 2018; Liu et al. 2023; Meng et al. 2022; Venkanna et al. 2015)</w:t>
      </w:r>
      <w:r w:rsidRPr="00E0133D">
        <w:rPr>
          <w:szCs w:val="24"/>
        </w:rPr>
        <w:fldChar w:fldCharType="end"/>
      </w:r>
      <w:r w:rsidRPr="00E0133D">
        <w:rPr>
          <w:szCs w:val="24"/>
        </w:rPr>
        <w:t xml:space="preserve">.  While kriging has been known about for some time, it’s frequency and applications to geospatial representation in ML/AI ensembles and corrective measures remain extinct. In addition, a high-spatial resolution less than </w:t>
      </w:r>
      <w:r w:rsidRPr="00E0133D">
        <w:rPr>
          <w:caps/>
          <w:szCs w:val="24"/>
        </w:rPr>
        <w:t>300</w:t>
      </w:r>
      <w:r w:rsidRPr="00E0133D">
        <w:rPr>
          <w:szCs w:val="24"/>
        </w:rPr>
        <w:t>m of surface O</w:t>
      </w:r>
      <w:r w:rsidRPr="00E0133D">
        <w:rPr>
          <w:szCs w:val="24"/>
          <w:vertAlign w:val="subscript"/>
        </w:rPr>
        <w:t>3</w:t>
      </w:r>
      <w:r w:rsidRPr="00E0133D">
        <w:rPr>
          <w:szCs w:val="24"/>
        </w:rPr>
        <w:t xml:space="preserve"> does not yet exist for the USNA as it does for other </w:t>
      </w:r>
      <w:r w:rsidR="005E35EB" w:rsidRPr="00E0133D">
        <w:rPr>
          <w:szCs w:val="24"/>
        </w:rPr>
        <w:t>nations</w:t>
      </w:r>
      <w:r w:rsidR="005E35EB" w:rsidRPr="00E0133D">
        <w:rPr>
          <w:caps/>
          <w:szCs w:val="24"/>
        </w:rPr>
        <w:t>.</w:t>
      </w:r>
      <w:r w:rsidRPr="00E0133D">
        <w:rPr>
          <w:szCs w:val="24"/>
        </w:rPr>
        <w:t xml:space="preserve"> Models have been utilized via atmospheric monitoring networks provided by large institutions and networks such as tropospheric ozone assessment report (TOAR), EPA, and NASA</w:t>
      </w:r>
      <w:r w:rsidRPr="00E0133D">
        <w:rPr>
          <w:caps/>
          <w:szCs w:val="24"/>
        </w:rPr>
        <w:t>.</w:t>
      </w:r>
    </w:p>
    <w:p w14:paraId="606C6AA9" w14:textId="77777777" w:rsidR="00E0133D" w:rsidRPr="00E0133D" w:rsidRDefault="00E0133D" w:rsidP="00E0133D">
      <w:pPr>
        <w:ind w:firstLine="720"/>
        <w:rPr>
          <w:szCs w:val="24"/>
        </w:rPr>
      </w:pPr>
      <w:r w:rsidRPr="00E0133D">
        <w:rPr>
          <w:szCs w:val="24"/>
        </w:rPr>
        <w:t>The RK method’s innovations addressed explicit limitations inherent in traditional geo-statistical models, particularly with respect to handling complex spatial dependencies and improving spatial resolution. Statistical models, such as linear and ridge regression, have long served as foundational tools for geographic and environmental predictions due to their simplicity and interpretability. However, their effectiveness in ozone modeling has been restricted by an inability to handle non-linear and spatially heterogeneous relationships, which are fundamental characteristics of ozone transport and transformation in the atmosphere. Atmospheric chemistry models, like geos-chem, offer the non-linear predictive power required to understand ozone formation processes at large scales but often lack the spatial granularity necessary for detailed exposure assessments. These models, though informative for understanding ozone formation mechanisms, typically provide results that are too coarse to capture the spatial variations crucial to localized public health research. The RK method, by interpolating spatial residuals from baseline models, introduces a critical enhancement that addresses these deficiencies, providing a more refined spatial resolution that is suitable for high-resolution monthly and daily historical modeling.</w:t>
      </w:r>
    </w:p>
    <w:p w14:paraId="3A44C6D6" w14:textId="0999BBEE" w:rsidR="00E0133D" w:rsidRPr="00E0133D" w:rsidRDefault="005E35EB" w:rsidP="00E0133D">
      <w:pPr>
        <w:jc w:val="center"/>
        <w:rPr>
          <w:caps/>
          <w:szCs w:val="24"/>
        </w:rPr>
      </w:pPr>
      <w:r>
        <w:rPr>
          <w:szCs w:val="24"/>
        </w:rPr>
        <w:t xml:space="preserve">VII.8. </w:t>
      </w:r>
      <w:r w:rsidRPr="00E0133D">
        <w:rPr>
          <w:szCs w:val="24"/>
        </w:rPr>
        <w:t xml:space="preserve">Necessity </w:t>
      </w:r>
      <w:r>
        <w:rPr>
          <w:szCs w:val="24"/>
        </w:rPr>
        <w:t>o</w:t>
      </w:r>
      <w:r w:rsidRPr="00E0133D">
        <w:rPr>
          <w:szCs w:val="24"/>
        </w:rPr>
        <w:t>f Residual Kriging</w:t>
      </w:r>
    </w:p>
    <w:p w14:paraId="7B8CE531" w14:textId="77777777" w:rsidR="00E0133D" w:rsidRPr="00E0133D" w:rsidRDefault="00E0133D" w:rsidP="00E0133D">
      <w:pPr>
        <w:ind w:firstLine="720"/>
        <w:rPr>
          <w:caps/>
          <w:szCs w:val="24"/>
        </w:rPr>
      </w:pPr>
      <w:r w:rsidRPr="00E0133D">
        <w:rPr>
          <w:szCs w:val="24"/>
        </w:rPr>
        <w:t xml:space="preserve">The advent of satellite monitoring systems has also contributed significantly to ozone modeling by supplying remote sensing data that is crucial for large-scale atmospheric studies. Instruments like the total ozone mapping spectrometer (toms) and the more recent Sentinel-5P satellite offer invaluable datasets that track ozone and its precursors at a global level. These data, however, are subject to spatial limitations and are constrained by their resolution, particularly in densely populated or topographically diverse regions where ozone variability can be substantial. Satellite data alone cannot achieve the spatial and temporal precision needed for accurate, localized exposure assessments. However, the integration of satellite data with the RK method opens new possibilities. By applying residual kriging to the baseline satellite data, we can account for local variability and improve upon the spatial resolution, rendering the dataset much more useful for high-resolution historical and current-day models. This enhancement is particularly promising for bridging the gap in ozone data quality from 1980 to the present, </w:t>
      </w:r>
      <w:r w:rsidRPr="00E0133D">
        <w:rPr>
          <w:szCs w:val="24"/>
        </w:rPr>
        <w:lastRenderedPageBreak/>
        <w:t>enabling continuous historical models that track monthly and daily ozone variations across decades.</w:t>
      </w:r>
    </w:p>
    <w:p w14:paraId="674186C1" w14:textId="14BC734E" w:rsidR="00E0133D" w:rsidRPr="00E0133D" w:rsidRDefault="005E35EB" w:rsidP="00E0133D">
      <w:pPr>
        <w:jc w:val="center"/>
        <w:rPr>
          <w:szCs w:val="24"/>
        </w:rPr>
      </w:pPr>
      <w:r>
        <w:rPr>
          <w:szCs w:val="24"/>
        </w:rPr>
        <w:t>VII.</w:t>
      </w:r>
      <w:r>
        <w:rPr>
          <w:szCs w:val="24"/>
        </w:rPr>
        <w:t>9</w:t>
      </w:r>
      <w:r>
        <w:rPr>
          <w:szCs w:val="24"/>
        </w:rPr>
        <w:t xml:space="preserve">. </w:t>
      </w:r>
      <w:proofErr w:type="spellStart"/>
      <w:r>
        <w:rPr>
          <w:szCs w:val="24"/>
        </w:rPr>
        <w:t>SMaRK</w:t>
      </w:r>
      <w:proofErr w:type="spellEnd"/>
      <w:r w:rsidRPr="00E0133D">
        <w:rPr>
          <w:szCs w:val="24"/>
        </w:rPr>
        <w:t xml:space="preserve"> Developments </w:t>
      </w:r>
      <w:proofErr w:type="gramStart"/>
      <w:r w:rsidRPr="00E0133D">
        <w:rPr>
          <w:szCs w:val="24"/>
        </w:rPr>
        <w:t xml:space="preserve">and </w:t>
      </w:r>
      <w:r>
        <w:rPr>
          <w:szCs w:val="24"/>
        </w:rPr>
        <w:t xml:space="preserve"> Future</w:t>
      </w:r>
      <w:proofErr w:type="gramEnd"/>
      <w:r>
        <w:rPr>
          <w:szCs w:val="24"/>
        </w:rPr>
        <w:t xml:space="preserve"> </w:t>
      </w:r>
      <w:r w:rsidRPr="00E0133D">
        <w:rPr>
          <w:szCs w:val="24"/>
        </w:rPr>
        <w:t>Directions</w:t>
      </w:r>
    </w:p>
    <w:p w14:paraId="57DB80FD" w14:textId="77777777" w:rsidR="00E0133D" w:rsidRPr="00E0133D" w:rsidRDefault="00E0133D" w:rsidP="00E0133D">
      <w:pPr>
        <w:ind w:firstLine="720"/>
        <w:rPr>
          <w:szCs w:val="24"/>
        </w:rPr>
      </w:pPr>
      <w:r w:rsidRPr="00E0133D">
        <w:rPr>
          <w:szCs w:val="24"/>
        </w:rPr>
        <w:t>The deployment of advanced ozone models, however, particularly regarding funding and the willingness of research institutions and governmental bodies to sustain long-term efforts in ozone exposure modeling. High spatial resolution ozone models require substantial computational resources and ongoing support for data collection and analysis. In particular, the production of continuous historical models from 1980 to 2000 necessitates significant funding for the acquisition and processing of archival data, as well as the refinement of modeling techniques to ensure accuracy. Moreover, the establishment of daily average models from 2000 to the present will require robust investment in both hardware and software infrastructure capable of handling the high-resolution demands of RK-enhanced datasets. This sustained funding is essential not only for the generation of accurate ozone models but also for fostering public health research that can meaningfully impact policy and environmental regulations.</w:t>
      </w:r>
    </w:p>
    <w:p w14:paraId="1AF052D0" w14:textId="77777777" w:rsidR="00E0133D" w:rsidRPr="00E0133D" w:rsidRDefault="00E0133D" w:rsidP="00E0133D">
      <w:pPr>
        <w:ind w:firstLine="720"/>
        <w:rPr>
          <w:szCs w:val="24"/>
        </w:rPr>
      </w:pPr>
      <w:r w:rsidRPr="00E0133D">
        <w:rPr>
          <w:szCs w:val="24"/>
        </w:rPr>
        <w:t>A commitment to understanding the full scope of ozone’s impact on human health extends beyond the scientific community and requires collaborative action from public health officials, environmental agencies, and policymakers. The development of high-resolution ozone models could reveal the toxicology of surface ozone with unprecedented clarity, illustrating the exposure risks associated with both indoor and outdoor environments. This knowledge is critical for protecting vulnerable populations, especially those who live in regions with frequent ozone pollution events or who work in industries where indoor ozone exposure may be elevated. Ozone modeling those accounts for both indoor and outdoor exposure is crucial for accurately estimating the true burden of ozone-related diseases, as indoor exposure can vary significantly depending on building ventilation, material interactions, and proximity to outdoor pollution sources. A comprehensive understanding of ozone exposure patterns could facilitate policies aimed at reducing indoor ozone levels in Workplaces, schools, and homes, further protecting public health.</w:t>
      </w:r>
    </w:p>
    <w:p w14:paraId="0415645D" w14:textId="77777777" w:rsidR="005E35EB" w:rsidRPr="00E0133D" w:rsidRDefault="00E0133D" w:rsidP="005E35EB">
      <w:pPr>
        <w:ind w:firstLine="720"/>
        <w:contextualSpacing/>
        <w:rPr>
          <w:szCs w:val="24"/>
        </w:rPr>
      </w:pPr>
      <w:r w:rsidRPr="00E0133D">
        <w:rPr>
          <w:szCs w:val="24"/>
        </w:rPr>
        <w:t>Accurate ozone models have the potential to reduce mortality rates associated with air pollution by informing more targeted and effective interventions. By providing a clearer picture of where and when high ozone concentrations occur, these models empower public health officials to issue more accurate advisories and allocate resources to areas in need. This can lead to reduced hospital admissions, fewer cases of respiratory distress, and ultimately a decrease in the mortality rate associated with ozone-related health issues. The knowledge gained from high-resolution ozone models can also serve as a foundation for preventative measures, such as urban planning initiatives that reduce vehicle emissions in densely populated areas, minimizing the risk of acute ozone exposure. Such measures not only improve air quality but also contribute to sustainable urban environments, promoting public health and well-being over the long term.</w:t>
      </w:r>
    </w:p>
    <w:p w14:paraId="43B7F6E3" w14:textId="4DC53635" w:rsidR="005E35EB" w:rsidRPr="00E0133D" w:rsidRDefault="005E35EB" w:rsidP="005E35EB">
      <w:pPr>
        <w:jc w:val="center"/>
        <w:rPr>
          <w:szCs w:val="24"/>
        </w:rPr>
      </w:pPr>
      <w:r>
        <w:rPr>
          <w:szCs w:val="24"/>
        </w:rPr>
        <w:t>VII.</w:t>
      </w:r>
      <w:r>
        <w:rPr>
          <w:szCs w:val="24"/>
        </w:rPr>
        <w:t>9</w:t>
      </w:r>
      <w:r>
        <w:rPr>
          <w:szCs w:val="24"/>
        </w:rPr>
        <w:t>.</w:t>
      </w:r>
      <w:r>
        <w:rPr>
          <w:szCs w:val="24"/>
        </w:rPr>
        <w:t>1</w:t>
      </w:r>
      <w:r>
        <w:rPr>
          <w:szCs w:val="24"/>
        </w:rPr>
        <w:t xml:space="preserve"> </w:t>
      </w:r>
      <w:r w:rsidRPr="00E0133D">
        <w:rPr>
          <w:szCs w:val="24"/>
        </w:rPr>
        <w:t>Accessing Code and Data</w:t>
      </w:r>
    </w:p>
    <w:p w14:paraId="10A5B46E" w14:textId="3C3FF068" w:rsidR="00E0133D" w:rsidRPr="00E0133D" w:rsidRDefault="005E35EB" w:rsidP="005E35EB">
      <w:pPr>
        <w:rPr>
          <w:szCs w:val="24"/>
        </w:rPr>
      </w:pPr>
      <w:r w:rsidRPr="00E0133D">
        <w:rPr>
          <w:szCs w:val="24"/>
        </w:rPr>
        <w:lastRenderedPageBreak/>
        <w:t>All raster data is freely available on GitHub. Scripts for downloading the necessary data are based in python. While the full project is privately available on GitHub, a public version with access to scripts and sample data can be accessed via the following link: The full scope of this project is in its infancy, and while discerning the available code now may be difficult; developments and improvements are being made daily to make this an easily distributable package via python to facilitate development of high spatial resolution imagery.</w:t>
      </w:r>
    </w:p>
    <w:p w14:paraId="4007A2A6" w14:textId="2421B4DF" w:rsidR="00E0133D" w:rsidRPr="00E0133D" w:rsidRDefault="005E35EB" w:rsidP="00E0133D">
      <w:pPr>
        <w:jc w:val="center"/>
        <w:rPr>
          <w:szCs w:val="24"/>
        </w:rPr>
      </w:pPr>
      <w:r>
        <w:rPr>
          <w:szCs w:val="24"/>
        </w:rPr>
        <w:t>VII.</w:t>
      </w:r>
      <w:r>
        <w:rPr>
          <w:szCs w:val="24"/>
        </w:rPr>
        <w:t>10</w:t>
      </w:r>
      <w:r>
        <w:rPr>
          <w:szCs w:val="24"/>
        </w:rPr>
        <w:t xml:space="preserve">. </w:t>
      </w:r>
      <w:r w:rsidRPr="00E0133D">
        <w:rPr>
          <w:szCs w:val="24"/>
        </w:rPr>
        <w:t>Closing Remarks</w:t>
      </w:r>
    </w:p>
    <w:p w14:paraId="7FF7871A" w14:textId="77777777" w:rsidR="00E0133D" w:rsidRPr="00E0133D" w:rsidRDefault="00E0133D" w:rsidP="00E0133D">
      <w:pPr>
        <w:ind w:firstLine="720"/>
        <w:rPr>
          <w:rFonts w:cs="Calibri Light"/>
          <w:szCs w:val="24"/>
        </w:rPr>
      </w:pPr>
      <w:r w:rsidRPr="00E0133D">
        <w:rPr>
          <w:rFonts w:cs="Calibri Light"/>
          <w:szCs w:val="24"/>
        </w:rPr>
        <w:t xml:space="preserve">The insights gained from these models can aid the development of high-resolution surface ozone metrics for numerous areas. To reduce ozone-related health risks, support sustainable urban environments, and restore the Earth’s natural ozone cycles, the </w:t>
      </w:r>
      <w:proofErr w:type="spellStart"/>
      <w:r w:rsidRPr="00E0133D">
        <w:rPr>
          <w:rFonts w:cs="Calibri Light"/>
          <w:szCs w:val="24"/>
        </w:rPr>
        <w:t>SMaRK</w:t>
      </w:r>
      <w:proofErr w:type="spellEnd"/>
      <w:r w:rsidRPr="00E0133D">
        <w:rPr>
          <w:rFonts w:cs="Calibri Light"/>
          <w:szCs w:val="24"/>
        </w:rPr>
        <w:t xml:space="preserve"> method enables a more accurate representation of ozone concentrations across diverse settings. This has the potential to reshape current understandings of ozone exposure, impacts to general air pollution, and could pave the way for a future where scientifically informed air quality management and deeply attuned to the needs of human health and environmental sustainability.</w:t>
      </w:r>
    </w:p>
    <w:p w14:paraId="645635F3" w14:textId="6F07361F" w:rsidR="00E0133D" w:rsidRPr="00E0133D" w:rsidRDefault="00E0133D" w:rsidP="005E35EB">
      <w:pPr>
        <w:ind w:firstLine="720"/>
        <w:rPr>
          <w:rFonts w:cs="Calibri Light"/>
          <w:szCs w:val="24"/>
        </w:rPr>
      </w:pPr>
      <w:r w:rsidRPr="00E0133D">
        <w:rPr>
          <w:rFonts w:cs="Calibri Light"/>
          <w:szCs w:val="24"/>
        </w:rPr>
        <w:t>There are many worries associated with semi-known/fully known health outcomes. Developing theories on health associations from surface ozone exposure on pediatric/elderly populations call for more detailed ozone models to quickly assign accurate exposures to aid air quality, public health, and urban ecology studies. Given that data for these studies are typically small in total area (compared to that of an entire nation or state), there is a need for methodology that can incorporate machine learning and geographic information, when necessary, fully leveraging advantages of both sides for use in high-resolution geographic modelling.</w:t>
      </w:r>
    </w:p>
    <w:p w14:paraId="5A60850A" w14:textId="77777777" w:rsidR="00E0133D" w:rsidRPr="00E0133D" w:rsidRDefault="00E0133D" w:rsidP="00E0133D">
      <w:pPr>
        <w:overflowPunct/>
        <w:autoSpaceDE/>
        <w:autoSpaceDN/>
        <w:adjustRightInd/>
        <w:ind w:firstLine="720"/>
        <w:contextualSpacing/>
        <w:rPr>
          <w:rFonts w:eastAsiaTheme="minorHAnsi"/>
          <w:kern w:val="2"/>
          <w:szCs w:val="24"/>
          <w14:ligatures w14:val="standardContextual"/>
        </w:rPr>
      </w:pPr>
      <w:commentRangeStart w:id="2"/>
      <w:commentRangeStart w:id="3"/>
      <w:r w:rsidRPr="00E0133D">
        <w:rPr>
          <w:szCs w:val="24"/>
        </w:rPr>
        <w:t xml:space="preserve">Atmospheric chemistry plays a foundational role in the history of life on Earth </w:t>
      </w:r>
      <w:r w:rsidRPr="00E0133D">
        <w:rPr>
          <w:szCs w:val="24"/>
        </w:rPr>
        <w:fldChar w:fldCharType="begin"/>
      </w:r>
      <w:r w:rsidRPr="00E0133D">
        <w:rPr>
          <w:szCs w:val="24"/>
        </w:rPr>
        <w:instrText xml:space="preserve"> ADDIN ZOTERO_ITEM CSL_CITATION {"citationID":"p3U9QXsM","properties":{"formattedCitation":"(Barzeghar et al. 2020; Chapleski et al. 2016; Flynn et al. 2021; Tanimoto et al. 2008)","plainCitation":"(Barzeghar et al. 2020; Chapleski et al. 2016; Flynn et al. 2021; Tanimoto et al. 2008)","noteIndex":0},"citationItems":[{"id":10368,"uris":["http://zotero.org/users/15391371/items/8AXT8RLY"],"itemData":{"id":10368,"type":"article-journal","abstract":"This study was conducted to investigate the long-term temporal trends and spatial variations of ambient PM10, PM2.5 and O-3 concentrations using the Moran's I index and Mann-Kendall's test and also to evaluate their health effects in Tabriz city, between 2006 and 2017. The health impacts of air pollutants were estimated using the World Health Organization (WHO) AirQ + software updated in 2017. The results showed that the annual trend of PM concentrations was decreasing while O-3 concentration was almost constant during the study period. The results indicated that in approximately 59 % and 4 % of the studied days for PM10, 48 % and 28 % for PM2.5, and 30/0 and 0.3 % for O-3, inhabitants of Tabriz city were exposed to the air pollutants in levels greater than the WHO AQG and National and U.S.EPA standard levels. Moreover, the highest monthly mean concentrations of PM10, PM2.5, and O-3 were respectively observed in May (80.4 pg/m(3)), December (42.5 pg/m(3)), and June (78.4 pg/m(3)). It was estimated that attributable proportions due to long-term exposure to PMic, were between 7.9 % and 28.7 % for post neonatal infant mortality and between 20.7 % and 61.5 % for incidence of chronic bronchitis in adults. Long-term exposure to PM2.5 was attributed to about 11.8 % from all-cause, 34.6 % from ischemic heart disease, 26.7 % from stroke, 23.4 % from chronic obstructive pulmonary disease, 24.2 % from acute lower respiratory infection, and 16.5 % from lung cancer mortalities. Our study results showed that there were no effective policies and strategies to reduce Tabriz air pollution during the study period; and codification and implementation of effective control policies is necessary to improve ambient air quality of Tabriz.","archive_location":"WOS:000545577700027","container-title":"SUSTAINABLE CITIES AND SOCIETY","DOI":"10.1016/j.scs.2019.101988","ISSN":"2210-6707","title":"Long-term trend of ambient air PM10, PM2.5, and O3 and their health effects in Tabriz city, Iran, during 2006-2017","volume":"54","author":[{"family":"Barzeghar","given":"V"},{"family":"Sarbakhsh","given":"P"},{"family":"Hassanvand","given":"MS"},{"family":"Faridi","given":"S"},{"family":"Gholampour","given":"A"}],"issued":{"date-parts":[["2020",3]]}}},{"id":12110,"uris":["http://zotero.org/users/15391371/items/VBPNJXV7"],"itemData":{"id":12110,"type":"article-journal","abstract":"Heterogeneous chemistry of the most important atmospheric oxidants, O&lt;sub&gt;3&lt;/sub&gt;, NO&lt;sub&gt;3&lt;/sub&gt;, and OH, plays a central role in regulating atmospheric gas concentrations, processing aerosols, and aging materials. Recent experimental and computational studies have begun to reveal the detailed reaction mechanisms and kinetics for gas-phase O&lt;sub&gt;3&lt;/sub&gt;, NO&lt;sub&gt;3&lt;/sub&gt;, and OH when they impinge on organic surfaces. Through new research approaches that merge the fields of traditional surface science with atmospheric chemistry, researchers are developing an understanding for how surface structure and functionality affect interfacial chemistry with this class of highly oxidizing pollutants. Together with future research initiatives, these studies will provide a more complete description of atmospheric chemistry and help others more accurately predict the properties of aerosols, the environmental impact of interfacial oxidation, and the concentrations of tropospheric gases.","archive":"Academic Search Premier","archive_location":"116485660","container-title":"Chemical Society Reviews","DOI":"10.1039/c5cs00375j","ISSN":"0306-0012","issue":"13","journalAbbreviation":"Chemical Society Reviews","language":"eng","note":"publisher: Royal Society of Chemistry","page":"3731-3746","source":"EBSCOhost","title":"Heterogeneous chemistry and reaction dynamics of the atmospheric oxidants, O3, NO3, and OH, on organic surfaces.","volume":"45","author":[{"family":"Chapleski","given":"Robert C."},{"family":"Zhang","given":"Yafen"},{"family":"Troya","given":"Diego"},{"family":"Morris","given":"John R."}],"issued":{"date-parts":[["2016",7,7]]}}},{"id":9170,"uris":["http://zotero.org/users/15391371/items/IDVLQD7Y"],"itemData":{"id":9170,"type":"article-journal","abstract":"Summertime ozone in the Western United States presents a unique public health challenge. Changes in population, background ozone, wildland fire, and local precursor emissions combined with terrain-induced meteorology can affect surface ozone levels and compliance with the National Ambient Air Quality Standards (NAAQS). While there is considerable research on ozone in the Northern Front Range Metropolitan Area of Colorado, United States, less is known about the Southern Front Range. In Colorado Springs, approximately 100 km south of Denver, summertime maximum daily 8-h average (MDA8) ozone shows no significant (p &lt; .05) trend at the 5th, 50th, or 95th percentile over the past 20 years. However, the region is at risk of nonattainment with the NAAQS based on observations from 2018 to 2020. From June through September 2018, the Colorado Department of Public Health and Environment measured hourly ozone at eight sites to characterize the spatial distribution of ozone in Colorado Springs. Mean ozone (+/- 1 sigma) ranged from 34 +/- 19 to 60 +/- 9 ppb. The 95th percentile of hourly ozone increased approximately 1.1 ppb per 100 m of elevation, while the amplitudes of mean diurnal profiles decreased with elevation and distance from the interstate. MDA8 ozone was also highly correlated across all sites, and there is little evidence of local photochemical production or ozone transport from Denver. Further, results from generalized additive modeling show that summertime MDA8 in this region is strongly influenced by regional background air and wildfire, with smoke contributing an average of 4-5 ppb to the MDA8. Enhanced MDA8 values due to wildfires were especially pronounced in 2018 and 2020. Lastly, we find that the permanent monitoring sites represent the lower end of observed ozone in the region, suggesting that additional long-term monitoring for public health may be warranted in populated, higher elevation areas.","archive_location":"WOS:000667004000001","container-title":"ELEMENTA-SCIENCE OF THE ANTHROPOCENE","DOI":"10.1525/elementa.2020.00104","ISSN":"2325-1026","issue":"1","title":"Spatial patterns in summertime surface ozone in the Southern Front Range of the US Rocky Mountains","volume":"9","author":[{"family":"Flynn","given":"MT"},{"family":"Mattson","given":"EJ"},{"family":"Jaffe","given":"DA"},{"family":"Gratz","given":"LE"}],"issued":{"date-parts":[["2021",5,19]]}}},{"id":12096,"uris":["http://zotero.org/users/15391371/items/KZYNMLIG"],"itemData":{"id":12096,"type":"article-journal","abstract":"Simultaneous ground-based measurements of ozone (O&lt;sub&gt;3&lt;/sub&gt;) and carbon monoxide (CO) were conducted in March 2005 as part of the East Asian Regional Experiment (EAREX) 2005 under the umbrella of the Atmospheric Brown Clouds (ABC) project. Multiple air quality monitoring networks were integrated by performing intercomparison of individual calibration standards and measurement techniques to ensure comparability of ambient measurements, along with providing consistently high time-resolution measurements of O&lt;sub&gt;3&lt;/sub&gt; and CO at the surface sites in East Asia. Ambient data collected from eight surface stations were compared with simulation results obtained by a regional chemical transport model to infer recent changes in CO emissions from East Asia. Our inverse estimates of the CO emissions from China up to 2005 suggested an increase of 16% since 2001, in good agreement with the recent MOPITT satellite observations and the bottom-up estimates up to 2006. The O&lt;sub&gt;3&lt;/sub&gt; enhancement relative to CO in continental pollution plumes traversed in the boundary layer were examined as a function of transport time from the Asian continent to the western Pacific Ocean. Comparison of the observed ΔO&lt;sub&gt;3&lt;/sub&gt;/Δ CO ratios and their modeled spatial distributions suggests an increase in the Δ O&lt;sub&gt;3&lt;/sub&gt;/Δ CO ratio due likely to en-route photochemical O&lt;sub&gt;3&lt;/sub&gt; formation during eastward transport, confirming that East Asia is an important O&lt;sub&gt;3&lt;/sub&gt; source region during spring.","archive":"Environment Complete","archive_location":"31231482","container-title":"Atmospheric Chemistry &amp; Physics Discussions","DOI":"10.5194/acpd-8-3525-2008","ISSN":"1680-7367","issue":"1","journalAbbreviation":"Atmospheric Chemistry &amp; Physics Discussions","language":"eng","note":"publisher: Copernicus Gesellschaft mbH","page":"3525-3561","source":"EBSCOhost","title":"Diagnosing recent CO emissions and springtime O3 evolution in East Asia using coordinated ground-based observations of O3 and CO during the East Asian Regional Experiment (EAREX) 2005 campaign.","volume":"8","author":[{"family":"Tanimoto","given":"H."},{"family":"Sawa","given":"Y."},{"family":"Yonemura","given":"S."},{"family":"Yumimoto","given":"K."},{"family":"Matsueda","given":"H."},{"family":"Uno","given":"I."},{"family":"Hayasaka","given":"T."},{"family":"Mukai","given":"H."},{"family":"Tohjima","given":"Y."},{"family":"Tsuboi","given":"K."},{"family":"Zhang","given":"L."}],"issued":{"date-parts":[["2008",1,1]]}}}],"schema":"https://github.com/citation-style-language/schema/raw/master/csl-citation.json"} </w:instrText>
      </w:r>
      <w:r w:rsidRPr="00E0133D">
        <w:rPr>
          <w:szCs w:val="24"/>
        </w:rPr>
        <w:fldChar w:fldCharType="separate"/>
      </w:r>
      <w:r w:rsidRPr="00E0133D">
        <w:rPr>
          <w:szCs w:val="24"/>
        </w:rPr>
        <w:t>(</w:t>
      </w:r>
      <w:proofErr w:type="spellStart"/>
      <w:r w:rsidRPr="00E0133D">
        <w:rPr>
          <w:szCs w:val="24"/>
        </w:rPr>
        <w:t>Barzeghar</w:t>
      </w:r>
      <w:proofErr w:type="spellEnd"/>
      <w:r w:rsidRPr="00E0133D">
        <w:rPr>
          <w:szCs w:val="24"/>
        </w:rPr>
        <w:t xml:space="preserve"> et al. 2020; </w:t>
      </w:r>
      <w:proofErr w:type="spellStart"/>
      <w:r w:rsidRPr="00E0133D">
        <w:rPr>
          <w:szCs w:val="24"/>
        </w:rPr>
        <w:t>Chapleski</w:t>
      </w:r>
      <w:proofErr w:type="spellEnd"/>
      <w:r w:rsidRPr="00E0133D">
        <w:rPr>
          <w:szCs w:val="24"/>
        </w:rPr>
        <w:t xml:space="preserve"> et al. 2016; Flynn et al. 2021; Tanimoto et al. 2008)</w:t>
      </w:r>
      <w:r w:rsidRPr="00E0133D">
        <w:rPr>
          <w:szCs w:val="24"/>
        </w:rPr>
        <w:fldChar w:fldCharType="end"/>
      </w:r>
      <w:r w:rsidRPr="00E0133D">
        <w:rPr>
          <w:szCs w:val="24"/>
        </w:rPr>
        <w:t>. Abiogenetic processes on Earth nearly 4 billion years ago were attributed to the emergence of oxygen during the Great Oxidation Event (GOE); enabling the formation of the ozone (O</w:t>
      </w:r>
      <w:r w:rsidRPr="00E0133D">
        <w:rPr>
          <w:szCs w:val="24"/>
          <w:vertAlign w:val="subscript"/>
        </w:rPr>
        <w:t>3</w:t>
      </w:r>
      <w:r w:rsidRPr="00E0133D">
        <w:rPr>
          <w:szCs w:val="24"/>
        </w:rPr>
        <w:t xml:space="preserve">) layer and </w:t>
      </w:r>
      <w:bookmarkStart w:id="4" w:name="_Hlk203146687"/>
      <w:r w:rsidRPr="00E0133D">
        <w:rPr>
          <w:szCs w:val="24"/>
        </w:rPr>
        <w:t xml:space="preserve">promoting </w:t>
      </w:r>
      <w:bookmarkEnd w:id="4"/>
      <w:r w:rsidRPr="00E0133D">
        <w:rPr>
          <w:szCs w:val="24"/>
        </w:rPr>
        <w:t xml:space="preserve">photosynthetic processes </w:t>
      </w:r>
      <w:r w:rsidRPr="00E0133D">
        <w:rPr>
          <w:szCs w:val="24"/>
        </w:rPr>
        <w:fldChar w:fldCharType="begin"/>
      </w:r>
      <w:r w:rsidRPr="00E0133D">
        <w:rPr>
          <w:szCs w:val="24"/>
        </w:rPr>
        <w:instrText xml:space="preserve"> ADDIN ZOTERO_ITEM CSL_CITATION {"citationID":"xwudMD7r","properties":{"formattedCitation":"(Schell, Ackemann, and Hass 2002; Lyons, Reinhard, and Planavsky 2014)","plainCitation":"(Schell, Ackemann, and Hass 2002; Lyons, Reinhard, and Planavsky 2014)","noteIndex":0},"citationItems":[{"id":9482,"uris":["http://zotero.org/users/15391371/items/PXULIQZR"],"itemData":{"id":9482,"type":"article-journal","abstract":"The comprehensive European Air Pollution and Dispersion model system was used to estimate the impacts of the usage of reformulated and alternative fuels on regional air quality with special emphasis on surface ozone concentrations. A severe western European summer smog episode in July 1994 has been used as a reference, and the model predictions have been evaluated for this episode. A forecast simulation for the year 2005 (TREND) has been performed, including the future emission development based on the current legislation and technologies available. The results of the scenario TREND are used as a baseline for the other 2005 fuel scenarios, including fuel reformulation, fuel sulfur content, and compressed natural gas (CNG) as an alternative fuel. Compared to the year 1994, significant reductions in episode peak ozone concentrations and ozone grid hours are predicted for the TREND scenario. These reductions are even more pronounced within the investigated alternative and reformulated fuel scenarios. Especially, low sulfur fuels are appropriate for an immediate improvement in air quality, because they effect the emissions of the whole fleet. Furthermore, the simulation results indicate that the introduction of CNG vehicles would also enhance air quality with respect to ozone.","archive_location":"WOS:000176855600018","container-title":"ENVIRONMENTAL SCIENCE &amp; TECHNOLOGY","DOI":"10.1021/es015817m","ISSN":"0013-936X","issue":"14","page":"3147-3156","title":"Reformulated and alternative fuels: modeled impacts on regional air quality with special emphasis on surface ozone concentration","volume":"36","author":[{"family":"Schell","given":"B"},{"family":"Ackemann","given":"IJ"},{"family":"Hass","given":"H"}],"issued":{"date-parts":[["2002",7,15]]}}},{"id":12329,"uris":["http://zotero.org/users/15391371/items/PJKUMCQP"],"itemData":{"id":12329,"type":"article-journal","container-title":"Nature","DOI":"10.1038/nature13068","ISSN":"0028-0836, 1476-4687","issue":"7488","journalAbbreviation":"Nature","language":"en","license":"http://www.springer.com/tdm","page":"307-315","source":"DOI.org (Crossref)","title":"The rise of oxygen in Earth’s early ocean and atmosphere","volume":"506","author":[{"family":"Lyons","given":"Timothy W."},{"family":"Reinhard","given":"Christopher T."},{"family":"Planavsky","given":"Noah J."}],"issued":{"date-parts":[["2014",2]]}}}],"schema":"https://github.com/citation-style-language/schema/raw/master/csl-citation.json"} </w:instrText>
      </w:r>
      <w:r w:rsidRPr="00E0133D">
        <w:rPr>
          <w:szCs w:val="24"/>
        </w:rPr>
        <w:fldChar w:fldCharType="separate"/>
      </w:r>
      <w:r w:rsidRPr="00E0133D">
        <w:rPr>
          <w:szCs w:val="24"/>
        </w:rPr>
        <w:t xml:space="preserve">(Schell, </w:t>
      </w:r>
      <w:proofErr w:type="spellStart"/>
      <w:r w:rsidRPr="00E0133D">
        <w:rPr>
          <w:szCs w:val="24"/>
        </w:rPr>
        <w:t>Ackemann</w:t>
      </w:r>
      <w:proofErr w:type="spellEnd"/>
      <w:r w:rsidRPr="00E0133D">
        <w:rPr>
          <w:szCs w:val="24"/>
        </w:rPr>
        <w:t xml:space="preserve">, and Hass 2002; Lyons, Reinhard, and </w:t>
      </w:r>
      <w:proofErr w:type="spellStart"/>
      <w:r w:rsidRPr="00E0133D">
        <w:rPr>
          <w:szCs w:val="24"/>
        </w:rPr>
        <w:t>Planavsky</w:t>
      </w:r>
      <w:proofErr w:type="spellEnd"/>
      <w:r w:rsidRPr="00E0133D">
        <w:rPr>
          <w:szCs w:val="24"/>
        </w:rPr>
        <w:t xml:space="preserve"> 2014)</w:t>
      </w:r>
      <w:r w:rsidRPr="00E0133D">
        <w:rPr>
          <w:szCs w:val="24"/>
        </w:rPr>
        <w:fldChar w:fldCharType="end"/>
      </w:r>
      <w:r w:rsidRPr="00E0133D">
        <w:rPr>
          <w:szCs w:val="24"/>
        </w:rPr>
        <w:t>. As O</w:t>
      </w:r>
      <w:r w:rsidRPr="00E0133D">
        <w:rPr>
          <w:szCs w:val="24"/>
          <w:vertAlign w:val="subscript"/>
        </w:rPr>
        <w:t>3</w:t>
      </w:r>
      <w:r w:rsidRPr="00E0133D">
        <w:rPr>
          <w:szCs w:val="24"/>
        </w:rPr>
        <w:t xml:space="preserve"> and organisms respectively grew in abundance and complexity, atmospheric composition began to stabilize, eventually resulting in the Earth as we know it today. For eons, the niche composition of chemicals on Earth has allowed life to further evolve by maintaining hypoxia tolerances through the variance in energy levels reaching the surface </w:t>
      </w:r>
      <w:r w:rsidRPr="00E0133D">
        <w:rPr>
          <w:szCs w:val="24"/>
        </w:rPr>
        <w:fldChar w:fldCharType="begin"/>
      </w:r>
      <w:r w:rsidRPr="00E0133D">
        <w:rPr>
          <w:szCs w:val="24"/>
        </w:rPr>
        <w:instrText xml:space="preserve"> ADDIN ZOTERO_ITEM CSL_CITATION {"citationID":"VDfuthVX","properties":{"formattedCitation":"(Sperling et al. 2022)","plainCitation":"(Sperling et al. 2022)","noteIndex":0},"citationItems":[{"id":12334,"uris":["http://zotero.org/users/15391371/items/TIV7VB2U"],"itemData":{"id":12334,"type":"article-journal","container-title":"The Biological Bulletin","DOI":"10.1086/721754","ISSN":"0006-3185, 1939-8697","issue":"2","journalAbbreviation":"The Biological Bulletin","language":"en","page":"184-206","source":"DOI.org (Crossref)","title":"Breathless through Time: Oxygen and Animals across Earth’s History","title-short":"Breathless through Time","volume":"243","author":[{"family":"Sperling","given":"Erik A."},{"family":"Boag","given":"Thomas H."},{"family":"Duncan","given":"Murray I."},{"family":"Endriga","given":"Cecilia R."},{"family":"Marquez","given":"J. Andres"},{"family":"Mills","given":"Daniel B."},{"family":"Monarrez","given":"Pedro M."},{"family":"Sclafani","given":"Judith A."},{"family":"Stockey","given":"Richard G."},{"family":"Payne","given":"Jonathan L."}],"issued":{"date-parts":[["2022",10,1]]}}}],"schema":"https://github.com/citation-style-language/schema/raw/master/csl-citation.json"} </w:instrText>
      </w:r>
      <w:r w:rsidRPr="00E0133D">
        <w:rPr>
          <w:szCs w:val="24"/>
        </w:rPr>
        <w:fldChar w:fldCharType="separate"/>
      </w:r>
      <w:r w:rsidRPr="00E0133D">
        <w:rPr>
          <w:szCs w:val="24"/>
        </w:rPr>
        <w:t>(Sperling et al. 2022)</w:t>
      </w:r>
      <w:r w:rsidRPr="00E0133D">
        <w:rPr>
          <w:szCs w:val="24"/>
        </w:rPr>
        <w:fldChar w:fldCharType="end"/>
      </w:r>
      <w:r w:rsidRPr="00E0133D">
        <w:rPr>
          <w:szCs w:val="24"/>
        </w:rPr>
        <w:t xml:space="preserve">. In this sense, atmospheric chemistry is both guardian and shepherd to biological evolution. </w:t>
      </w:r>
      <w:commentRangeEnd w:id="2"/>
      <w:r w:rsidRPr="00E0133D">
        <w:rPr>
          <w:rStyle w:val="CommentReference"/>
          <w:rFonts w:eastAsiaTheme="majorEastAsia"/>
          <w:sz w:val="24"/>
          <w:szCs w:val="24"/>
        </w:rPr>
        <w:commentReference w:id="2"/>
      </w:r>
      <w:commentRangeEnd w:id="3"/>
      <w:r w:rsidRPr="00E0133D">
        <w:rPr>
          <w:rStyle w:val="CommentReference"/>
          <w:rFonts w:eastAsiaTheme="majorEastAsia"/>
          <w:sz w:val="24"/>
          <w:szCs w:val="24"/>
        </w:rPr>
        <w:commentReference w:id="3"/>
      </w:r>
    </w:p>
    <w:p w14:paraId="02B434C8" w14:textId="6E6F97AB" w:rsidR="005E35EB" w:rsidRPr="00E0133D" w:rsidRDefault="00E0133D" w:rsidP="005E35EB">
      <w:pPr>
        <w:ind w:firstLine="720"/>
        <w:rPr>
          <w:rFonts w:cs="Calibri Light"/>
          <w:szCs w:val="24"/>
        </w:rPr>
      </w:pPr>
      <w:r w:rsidRPr="00E0133D">
        <w:rPr>
          <w:rFonts w:eastAsiaTheme="minorHAnsi"/>
          <w:kern w:val="2"/>
          <w:szCs w:val="24"/>
          <w14:ligatures w14:val="standardContextual"/>
        </w:rPr>
        <w:t xml:space="preserve">The safety and well-being of past, present, and future generations is essential work of many in geography. Applications of spatial analytics are being utilized in numerous fields to refine and theorize the complexities of the human health and cognition to better understand environmental impacts on daily life </w:t>
      </w:r>
      <w:r w:rsidRPr="00E0133D">
        <w:rPr>
          <w:rFonts w:eastAsiaTheme="minorHAnsi"/>
          <w:kern w:val="2"/>
          <w:szCs w:val="24"/>
          <w14:ligatures w14:val="standardContextual"/>
        </w:rPr>
        <w:fldChar w:fldCharType="begin"/>
      </w:r>
      <w:r w:rsidR="00AC21CF">
        <w:rPr>
          <w:rFonts w:eastAsiaTheme="minorHAnsi"/>
          <w:kern w:val="2"/>
          <w:szCs w:val="24"/>
          <w14:ligatures w14:val="standardContextual"/>
        </w:rPr>
        <w:instrText xml:space="preserve"> ADDIN ZOTERO_ITEM CSL_CITATION {"citationID":"qjdVHA4B","properties":{"unsorted":true,"formattedCitation":"(Jerrett, Gale, and Kontgis 2010; Greenough and Nelson 2019; Nawaz 2023; Fuller et al. 2022; Schlink et al. 2006; Cakaj et al. 2023; Borchert et al. 2023)","plainCitation":"(Jerrett, Gale, and Kontgis 2010; Greenough and Nelson 2019; Nawaz 2023; Fuller et al. 2022; Schlink et al. 2006; Cakaj et al. 2023; Borchert et al. 2023)","noteIndex":0},"citationItems":[{"id":"kDOdxzcL/gqEITCFH","uris":["http://zotero.org/users/15391371/items/LXPEA5XI"],"itemData":{"id":483,"type":"article-journal","abstract":"This paper has two aims: (1) to summarize various geographic information science methods; and (2) to provide a review of studies that have employed such methods. Though not meant to be a comprehensive review, this paper explains when certain methods are useful in epidemiological studies and also serves as an overview of the growing field of spatial epidemiology.","container-title":"International Journal of Environmental Research and Public Health","DOI":"10.3390/ijerph7041302","ISSN":"1660-4601","issue":"4","journalAbbreviation":"IJERPH","language":"en","license":"https://creativecommons.org/licenses/by/3.0/","page":"1302-1329","source":"DOI.org (Crossref)","title":"Spatial Modeling in Environmental and Public Health Research","volume":"7","author":[{"family":"Jerrett","given":"Michael"},{"family":"Gale","given":"Sara"},{"family":"Kontgis","given":"Caitlin"}],"issued":{"date-parts":[["2010",3,26]]}}},{"id":"kDOdxzcL/4ZxKrrTy","uris":["http://zotero.org/users/15391371/items/JEKZG94P"],"itemData":{"id":459,"type":"article-journal","abstract":"Abstract\n            The humanitarian sector is increasingly adopting geospatial data to support operations. However, the utilization of these data in the humanitarian health arena is predominantly in thematic map format, thereby limiting the full insight and utility of geospatial information.\n            Geospatial analytics, in contrast, including pattern analysis, interpolation, and predictive modeling, have tremendous potential within the field of humanitarian health. This paper explores a variety of historical and contemporary geospatial applications in the public health and humanitarian fields and argues for greater integration of geospatial analysis into humanitarian health research and programming. From remote sensing to create sampling frames, to spatial interpolation for environmental exposure analysis, and multi-objective optimization algorithms for humanitarian logistics, spatial analysis has transformed epistemological paradigms, research methods and programming landscapes across diverse disciplines.\n            The field of humanitarian health, which is inextricably bounded by geography and resource limitations, should leverage the unique capacities of spatial methods and strategically integrate geospatial analytics into research and programming not only to fortify the academic legitimacy and professionalization of the field but also to improve operational efficiency and mitigation strategies.","container-title":"Conflict and Health","DOI":"10.1186/s13031-019-0234-9","ISSN":"1752-1505","issue":"1","journalAbbreviation":"Confl Health","language":"en","page":"50","source":"DOI.org (Crossref)","title":"Beyond mapping: a case for geospatial analytics in humanitarian health","title-short":"Beyond mapping","volume":"13","author":[{"family":"Greenough","given":"P. Gregg"},{"family":"Nelson","given":"Erica L."}],"issued":{"date-parts":[["2019",12]]}}},{"id":"kDOdxzcL/qwqhlyJd","uris":["http://zotero.org/users/15391371/items/FCUIBZGQ"],"itemData":{"id":230,"type":"thesis","abstract":"Air pollution exposure is responsible for millions of premature deaths each year. This large health burden is a concern of policymakers who design local- and national-level mitigation actions to improve air quality and health. Policies informed by an understanding of the sources that contribute to air pollution are better equipped to address this health burden. By characterizing the relationships between emissions, air pollution, and health impacts, emission reductions, including changes associated with decarbonization, can be linked to health benefits. Estimating the sources of air pollution and assessing the impacts of emission changes presents a challenging research objective; air pollution formation is complex, and precursor emissions undergo many physical and chemical processes in the atmosphere. These research and policy challenges are profound; however, the potential societal benefits from addressing them are undeniable. Several approaches are developed that leverage remote-sensing observations, air quality simulations, adjoint calculations, and state-of-the science health impact assessment methods to characterize the sources of air pollution-related health impacts and to assess how changes in anthropogenic emission patterns could impact public health in the future. A second-order contribution calculation is developed to better characterize the non-linear response of ozone to nitrogen oxides. These approaches are applied to a number of different research questions. The air pollution-related health impacts in Brazil associated with fires in the Amazon from 2016-2019 are estimated. The sources associated with urban-scale air pollution-related health impacts in 14 US cities are identified and the benefits associated with radially applied mitigation measures are assessed. Country-scale domestic and imported air quality health impacts are identified and benefits from reductions in transportation and energy generation emissions are estimated. A new domain for the chemical transport model GEOS-Chem and its adjoint is set-up for South America and the decarbonization air quality co-benefits in the city of Santiago, associated with Chile’s nationally determined contributions as part of the Paris Climate Agreement, are estimated.","genre":"Dissertation","language":"English","publisher":"University of Colorado, Boulder","title":"An Adjoint Sensitivity Framework for Public Health: The Sources of Air Pollution and Their Current and Future Impacts at Both the Urban and National Scale","URL":"https://scholar.colorado.edu/concern/graduate_thesis_or_dissertations/q237ht48v","author":[{"family":"Nawaz","given":"M. Omar"}],"contributor":[{"literal":"Henze, Daven K."},{"literal":"Hannigan, Michael P."},{"literal":"Wiedinmyer, Christine"},{"literal":"Reid, Colleen E."},{"literal":"Anenberg, Susan C."}],"issued":{"date-parts":[["2023",1,18]]}}},{"id":"kDOdxzcL/ORpmze2E","uris":["http://zotero.org/users/15391371/items/VUVFPQYQ"],"itemData":{"id":504,"type":"article-journal","container-title":"The Lancet Planetary Health","DOI":"10.1016/S2542-5196(22)00090-0","ISSN":"25425196","issue":"6","journalAbbreviation":"The Lancet Planetary Health","language":"en","page":"e535-e547","source":"DOI.org (Crossref)","title":"Pollution and health: a progress update","title-short":"Pollution and health","volume":"6","author":[{"family":"Fuller","given":"Richard"},{"family":"Landrigan","given":"Philip J"},{"family":"Balakrishnan","given":"Kalpana"},{"family":"Bathan","given":"Glynda"},{"family":"Bose-O'Reilly","given":"Stephan"},{"family":"Brauer","given":"Michael"},{"family":"Caravanos","given":"Jack"},{"family":"Chiles","given":"Tom"},{"family":"Cohen","given":"Aaron"},{"family":"Corra","given":"Lilian"},{"family":"Cropper","given":"Maureen"},{"family":"Ferraro","given":"Greg"},{"family":"Hanna","given":"Jill"},{"family":"Hanrahan","given":"David"},{"family":"Hu","given":"Howard"},{"family":"Hunter","given":"David"},{"family":"Janata","given":"Gloria"},{"family":"Kupka","given":"Rachael"},{"family":"Lanphear","given":"Bruce"},{"family":"Lichtveld","given":"Maureen"},{"family":"Martin","given":"Keith"},{"family":"Mustapha","given":"Adetoun"},{"family":"Sanchez-Triana","given":"Ernesto"},{"family":"Sandilya","given":"Karti"},{"family":"Schaefli","given":"Laura"},{"family":"Shaw","given":"Joseph"},{"family":"Seddon","given":"Jessica"},{"family":"Suk","given":"William"},{"family":"Téllez-Rojo","given":"Martha María"},{"family":"Yan","given":"Chonghuai"}],"issued":{"date-parts":[["2022",6]]}}},{"id":"kDOdxzcL/kUe3dMaB","uris":["http://zotero.org/users/15391371/items/CDS8XNQN"],"itemData":{"id":213,"type":"article-journal","container-title":"Environmental Modelling &amp; Software","DOI":"10.1016/j.envsoft.2004.12.002","ISSN":"13648152","issue":"4","journalAbbreviation":"Environmental Modelling &amp; Software","language":"en","license":"https://www.elsevier.com/tdm/userlicense/1.0/","page":"547-558","source":"DOI.org (Crossref)","title":"Statistical models to assess the health effects and to forecast ground-level ozone","volume":"21","author":[{"family":"Schlink","given":"Uwe"},{"family":"Herbarth","given":"Olf"},{"family":"Richter","given":"Matthias"},{"family":"Dorling","given":"Stephen"},{"family":"Nunnari","given":"Giuseppe"},{"family":"Cawley","given":"Gavin"},{"family":"Pelikan","given":"Emil"}],"issued":{"date-parts":[["2006",4]]}}},{"id":"kDOdxzcL/d3KRWt4o","uris":["http://zotero.org/users/15391371/items/8Y4UN7PG"],"itemData":{"id":3137,"type":"article-journal","abstract":"Hourly ground-level ozone (O-3) data from 52 monitoring stations in Poland were analyzed over a ten-year pre-COVID19 period (2010-2019) to map and define areas at risk for human health and vegetation, and to calculate trends over the study period. Annual O3 metrics (24-h average concentrations, 50th percentiles, and hourly maxima), human health metrics (Sum Of daily maximum 8-h Means Over 35 ppb, SOMO35, summertime average of the daily 8-h maximum O-3 concentrations, O-3 MDA8, and number of daily maximum 8-h values above 60 ppb, EU60) and vegetation exposure metrics (AOT40, i.e., accumulation of hourly O3 concentrations exceeding 40 ppb during the growing season for agricultural crops AOT40c and forests AOT40f) were investigated. Higher O3 levels occurred in rural areas than in cities. Between 2010 and 2019, the O3 levels were rising in both urban and rural areas. Despite the reduction of nitrogen oxides (NOx: -2.33% year-1) and volatile organic compounds emissions (VOCs: -0.95% year(-1)), annual O-3 mean levels (+0.81 and +0.12% year(-1)), 50th percentiles (+1.06 and similar to 0% year(-1)), hourly maxima (-0.10 and +0.23% year-1), SOMO35 (+2.86 and +1.50% year(-1)), summertime O3 MDA8 (+0.49 and +0.48% year(-1)), EU60 (+0.09 and +0.15 days year(-1)), AOT40c (+3.79 and +3.29% year(-1)) and AOT40f (+4.47 and +4.34% year(-1)) commonly increased in urban and rural stations. The O3 levels increased at 75.0% of urban stations and 62.5% of rural stations. A slight decline of the number of O3 peaks occurred in cities, likely driven by the recent reductions in NOx emissions by on-road transport. For all metrics, the increase can be attributed to higher regional photochemical O3 formation and rising background O-3 levels likely driven by imported O-3 and its precursors by long-range transport, climate change, and lower O-3 titration by NOx emissions decline. The failure to attain the target value for O3 for protecting vegetation and human health and vegetation persists. Southeastern Poland, where coal stoves are still used for residential heating, faces the highest O-3 risk. This study reports new information on surface O-3 levels, exceedances, and trends in Poland to develop effective policies to mitigate O-3 effects.","archive_location":"WOS:001039162000001","container-title":"ATMOSPHERIC ENVIRONMENT","DOI":"10.1016/j.atmosenv.2023.119926","ISSN":"1352-2310","title":"Assessing surface ozone risk to human health and forests over time in Poland","volume":"309","author":[{"family":"Cakaj","given":"Arlinda"},{"family":"Qorri","given":"Erjon"},{"family":"Coulibaly","given":"Fatimatou"},{"family":"De Marco","given":"Alessandra"},{"family":"Agathokleous","given":"Evgenios"},{"family":"Leca","given":"Stefan"},{"family":"Sicard","given":"Pierre"}],"accessed":{"date-parts":[["2023",8,17]]},"issued":{"date-parts":[["2023",9,15]]}}},{"id":"kDOdxzcL/sAK0B8iV","uris":["http://zotero.org/users/15391371/items/EHZQCX4M"],"itemData":{"id":1929,"type":"article-journal","archive_location":"WOS:001082872000001","container-title":"CURRENT ENVIRONMENTAL HEALTH REPORTS","DOI":"10.1007/s40572-023-00414-7","ISSN":"2196-5412","issue":"4","page":"490-500","title":"Air Pollution and Temperature: a Systematic Review of Ubiquitous Environmental Exposures and Sudden Cardiac Death","volume":"10","author":[{"family":"Borchert","given":"William"},{"family":"Grady","given":"Stephanie T."},{"family":"Chen","given":"Jie"},{"family":"Deville","given":"Nicole V."},{"family":"Roscoe","given":"Charlotte"},{"family":"Chen","given":"Futu"},{"family":"Mita","given":"Carol"},{"family":"Holland","given":"Isabel"},{"family":"Wilt","given":"Grete E."},{"family":"Hu","given":"Cindy R."},{"family":"Mehta","given":"Unnati"},{"family":"Nethery","given":"Rachel C."},{"family":"Albert","given":"Christine M."},{"family":"Laden","given":"Francine"},{"family":"Hart","given":"Jaime E."}],"issued":{"date-parts":[["2023",12]]}}}],"schema":"https://github.com/citation-style-language/schema/raw/master/csl-citation.json"} </w:instrText>
      </w:r>
      <w:r w:rsidRPr="00E0133D">
        <w:rPr>
          <w:rFonts w:eastAsiaTheme="minorHAnsi"/>
          <w:kern w:val="2"/>
          <w:szCs w:val="24"/>
          <w14:ligatures w14:val="standardContextual"/>
        </w:rPr>
        <w:fldChar w:fldCharType="separate"/>
      </w:r>
      <w:r w:rsidRPr="00E0133D">
        <w:rPr>
          <w:szCs w:val="24"/>
        </w:rPr>
        <w:t xml:space="preserve">(Jerrett, Gale, and </w:t>
      </w:r>
      <w:proofErr w:type="spellStart"/>
      <w:r w:rsidRPr="00E0133D">
        <w:rPr>
          <w:szCs w:val="24"/>
        </w:rPr>
        <w:t>Kontgis</w:t>
      </w:r>
      <w:proofErr w:type="spellEnd"/>
      <w:r w:rsidRPr="00E0133D">
        <w:rPr>
          <w:szCs w:val="24"/>
        </w:rPr>
        <w:t xml:space="preserve"> 2010; Greenough and Nelson 2019; Nawaz 2023; Fuller et al. 2022; Schlink et al. 2006; Cakaj et al. 2023; Borchert et al. 2023)</w:t>
      </w:r>
      <w:r w:rsidRPr="00E0133D">
        <w:rPr>
          <w:rFonts w:eastAsiaTheme="minorHAnsi"/>
          <w:kern w:val="2"/>
          <w:szCs w:val="24"/>
          <w14:ligatures w14:val="standardContextual"/>
        </w:rPr>
        <w:fldChar w:fldCharType="end"/>
      </w:r>
      <w:r w:rsidRPr="00E0133D">
        <w:rPr>
          <w:rFonts w:eastAsiaTheme="minorHAnsi"/>
          <w:kern w:val="2"/>
          <w:szCs w:val="24"/>
          <w14:ligatures w14:val="standardContextual"/>
        </w:rPr>
        <w:t xml:space="preserve">. Decades of geospatial computer science implementations with statistical modeling have paved the way for unique, multi-disciplinary specializations to investigate these topics. As computer </w:t>
      </w:r>
      <w:r w:rsidRPr="00E0133D">
        <w:rPr>
          <w:rFonts w:eastAsiaTheme="minorHAnsi"/>
          <w:kern w:val="2"/>
          <w:szCs w:val="24"/>
          <w14:ligatures w14:val="standardContextual"/>
        </w:rPr>
        <w:lastRenderedPageBreak/>
        <w:t xml:space="preserve">science grows in availability, quality, and most importantly, ease of access, geographers continue to weave complex spatial thought into “sibling-sciences”, creating innovative solutions to known and unknown problems </w:t>
      </w:r>
      <w:r w:rsidRPr="00E0133D">
        <w:rPr>
          <w:rFonts w:eastAsiaTheme="minorHAnsi"/>
          <w:kern w:val="2"/>
          <w:szCs w:val="24"/>
          <w14:ligatures w14:val="standardContextual"/>
        </w:rPr>
        <w:fldChar w:fldCharType="begin"/>
      </w:r>
      <w:r w:rsidR="00AC21CF">
        <w:rPr>
          <w:rFonts w:eastAsiaTheme="minorHAnsi"/>
          <w:kern w:val="2"/>
          <w:szCs w:val="24"/>
          <w14:ligatures w14:val="standardContextual"/>
        </w:rPr>
        <w:instrText xml:space="preserve"> ADDIN ZOTERO_ITEM CSL_CITATION {"citationID":"nFm7H1Q7","properties":{"unsorted":true,"formattedCitation":"(Goodchild 2009; Blaschke and Merschdorf 2014)","plainCitation":"(Goodchild 2009; Blaschke and Merschdorf 2014)","noteIndex":0},"citationItems":[{"id":"kDOdxzcL/CYHPkeP2","uris":["http://zotero.org/users/15391371/items/36SYL8DW"],"itemData":{"id":457,"type":"article-journal","container-title":"Annals of GIS","DOI":"10.1080/19475680903250715","ISSN":"1947-5683, 1947-5691","issue":"1","journalAbbreviation":"Annals of GIS","language":"en","page":"3-9","source":"DOI.org (Crossref)","title":"Geographic information systems and science: today and tomorrow","title-short":"Geographic information systems and science","volume":"15","author":[{"family":"Goodchild","given":"Michael F."}],"issued":{"date-parts":[["2009",11,20]]}}},{"id":"kDOdxzcL/4ja5VmUD","uris":["http://zotero.org/users/15391371/items/LYF85D94"],"itemData":{"id":458,"type":"article-journal","container-title":"Cartography and Geographic Information Science","DOI":"10.1080/15230406.2014.905755","ISSN":"1523-0406, 1545-0465","issue":"3","journalAbbreviation":"Cartography and Geographic Information Science","language":"en","page":"196-213","source":"DOI.org (Crossref)","title":"Geographic information science as a multidisciplinary and multiparadigmatic field","volume":"41","author":[{"family":"Blaschke","given":"Thomas"},{"family":"Merschdorf","given":"Helena"}],"issued":{"date-parts":[["2014",5,27]]}}}],"schema":"https://github.com/citation-style-language/schema/raw/master/csl-citation.json"} </w:instrText>
      </w:r>
      <w:r w:rsidRPr="00E0133D">
        <w:rPr>
          <w:rFonts w:eastAsiaTheme="minorHAnsi"/>
          <w:kern w:val="2"/>
          <w:szCs w:val="24"/>
          <w14:ligatures w14:val="standardContextual"/>
        </w:rPr>
        <w:fldChar w:fldCharType="separate"/>
      </w:r>
      <w:r w:rsidRPr="00E0133D">
        <w:rPr>
          <w:szCs w:val="24"/>
        </w:rPr>
        <w:t>(Goodchild 2009; Blaschke and Merschdorf 2014)</w:t>
      </w:r>
      <w:r w:rsidRPr="00E0133D">
        <w:rPr>
          <w:rFonts w:eastAsiaTheme="minorHAnsi"/>
          <w:kern w:val="2"/>
          <w:szCs w:val="24"/>
          <w14:ligatures w14:val="standardContextual"/>
        </w:rPr>
        <w:fldChar w:fldCharType="end"/>
      </w:r>
      <w:r w:rsidRPr="00E0133D">
        <w:rPr>
          <w:rFonts w:eastAsiaTheme="minorHAnsi"/>
          <w:kern w:val="2"/>
          <w:szCs w:val="24"/>
          <w14:ligatures w14:val="standardContextual"/>
        </w:rPr>
        <w:t xml:space="preserve">. </w:t>
      </w:r>
    </w:p>
    <w:p w14:paraId="43DCC1B3" w14:textId="4F559E13" w:rsidR="00E0133D" w:rsidRPr="00E0133D" w:rsidRDefault="005E35EB" w:rsidP="005E35EB">
      <w:pPr>
        <w:contextualSpacing/>
        <w:jc w:val="center"/>
        <w:rPr>
          <w:rFonts w:cs="Calibri Light"/>
          <w:szCs w:val="24"/>
        </w:rPr>
      </w:pPr>
      <w:r>
        <w:rPr>
          <w:szCs w:val="24"/>
        </w:rPr>
        <w:t xml:space="preserve">VII.10.1 </w:t>
      </w:r>
      <w:r w:rsidRPr="00E0133D">
        <w:rPr>
          <w:rFonts w:cs="Calibri Light"/>
          <w:szCs w:val="24"/>
        </w:rPr>
        <w:t>A Note from the Researcher</w:t>
      </w:r>
    </w:p>
    <w:p w14:paraId="06FFCD8B" w14:textId="77777777" w:rsidR="00E0133D" w:rsidRPr="00E0133D" w:rsidRDefault="00E0133D" w:rsidP="00E0133D">
      <w:pPr>
        <w:ind w:firstLine="720"/>
        <w:contextualSpacing/>
        <w:rPr>
          <w:szCs w:val="24"/>
        </w:rPr>
      </w:pPr>
      <w:r w:rsidRPr="00E0133D">
        <w:rPr>
          <w:rFonts w:cs="Calibri Light"/>
          <w:szCs w:val="24"/>
        </w:rPr>
        <w:t>This thesis seeks to genesis a new initiative with available satellite imagery; stemming from its final product, the high-resolution imagery proposed has potential to further reduce emissions beyond their current trajectory, bolster American economy, and induce harmony between environmental activists and private cooperate entities. T</w:t>
      </w:r>
      <w:r w:rsidRPr="00E0133D">
        <w:rPr>
          <w:szCs w:val="24"/>
        </w:rPr>
        <w:t xml:space="preserve">he </w:t>
      </w:r>
      <w:proofErr w:type="spellStart"/>
      <w:r w:rsidRPr="00E0133D">
        <w:rPr>
          <w:szCs w:val="24"/>
        </w:rPr>
        <w:t>SMaRK</w:t>
      </w:r>
      <w:proofErr w:type="spellEnd"/>
      <w:r w:rsidRPr="00E0133D">
        <w:rPr>
          <w:szCs w:val="24"/>
        </w:rPr>
        <w:t xml:space="preserve"> method can be further improved with additional coding enhancements and appropriate tuning. Between the ease of access of current/future satellite technologies, incorporation of geospatial thought ML/AI methods, and resulting enhancements to depictions of molecular systems; this thesis can be further used to develop highly accurate, historical, and future predictions of molecular imagery to aid in the establishment of a new molecular credit, rewarding businesses for maintaining a certain standard. </w:t>
      </w:r>
    </w:p>
    <w:p w14:paraId="49956CE4" w14:textId="1A50BB31" w:rsidR="0098180C" w:rsidRDefault="00E0133D" w:rsidP="005E35EB">
      <w:pPr>
        <w:ind w:firstLine="720"/>
        <w:contextualSpacing/>
        <w:rPr>
          <w:szCs w:val="24"/>
        </w:rPr>
      </w:pPr>
      <w:proofErr w:type="spellStart"/>
      <w:r w:rsidRPr="00E0133D">
        <w:rPr>
          <w:szCs w:val="24"/>
        </w:rPr>
        <w:t>SMaRK</w:t>
      </w:r>
      <w:proofErr w:type="spellEnd"/>
      <w:r w:rsidRPr="00E0133D">
        <w:rPr>
          <w:szCs w:val="24"/>
        </w:rPr>
        <w:t xml:space="preserve"> operates with correlations to in-situ measurements; when monitors are properly placed as they currently are for some urban areas, the resulting change in environmental patterns due to Anthropogenic sources can be properly translated into monetary units of maintenance the proposed pollutant per area. Like a Carbon Credit </w:t>
      </w:r>
      <w:r w:rsidRPr="00E0133D">
        <w:rPr>
          <w:szCs w:val="24"/>
        </w:rPr>
        <w:fldChar w:fldCharType="begin"/>
      </w:r>
      <w:r w:rsidR="00AC21CF">
        <w:rPr>
          <w:szCs w:val="24"/>
        </w:rPr>
        <w:instrText xml:space="preserve"> ADDIN ZOTERO_ITEM CSL_CITATION {"citationID":"0j1qgGyP","properties":{"formattedCitation":"(Shah et al. 2024; Trouwloon et al. 2023)","plainCitation":"(Shah et al. 2024; Trouwloon et al. 2023)","noteIndex":0},"citationItems":[{"id":12494,"uris":["http://zotero.org/users/15391371/items/EDDFH56K"],"itemData":{"id":12494,"type":"paper-conference","container-title":"2024 OITS International Conference on Information Technology (OCIT)","DOI":"10.1109/ocit65031.2024.00097","event-place":"Vijayawada, India","event-title":"2024 OITS International Conference on Information Technology (OCIT)","license":"https://doi.org/10.15223/policy-029","page":"525-529","publisher":"IEEE","publisher-place":"Vijayawada, India","source":"Crossref","title":"A Comprehensive Approach to Unify Carbon Registries Data Access","URL":"https://ieeexplore.ieee.org/document/10973666/","author":[{"family":"Shah","given":"Sachi"},{"family":"Modi","given":"Tvisha"},{"family":"Kanakia","given":"Janki"},{"family":"Shah","given":"Esha"},{"family":"Shah","given":"Kayvan"},{"family":"Nanade","given":"Archana"}],"accessed":{"date-parts":[["2025",7,17]]},"issued":{"date-parts":[["2024",12,12]]}}},{"id":12489,"uris":["http://zotero.org/users/15391371/items/3CMLG8IE"],"itemData":{"id":12489,"type":"article-journal","abstract":"Worldwide, companies are increasingly making claims about their current climate efforts and their future mitigation commitments. These claims tend to be underpinned by carbon credits issued in voluntary carbon markets to offset emissions. Corporate climate claims are largely unregulated which means that they are often (perceived to be) misleading and deceptive. As such, corporate climate claims risk undermining, rather than contributing to, global climate mitigation. This paper takes as its point of departure the proposition that a better understanding of corporate climate claims is needed to govern such claims in a manner that adequately addresses potential greenwashing risks. To that end, the paper reviews the nascent literature on corporate climate claims relying on the use of voluntary carbon credits. Drawing on the reviewed literature, three key dimensions of corporate climate claims as related to carbon credits are discussed: 1) the intended use of carbon credits: offsetting versus non-offsetting claims; 2) the framing and meaning of headline terms: net-zero versus carbon neutral claims; and 3) the status of the claim: future aspirational commitments versus stated achievements. The paper thereby offers a preliminary categorization of corporate climate claims and discusses risks associated with and governance implications for each of these categories.","container-title":"Global challenges (Hoboken, NJ)","DOI":"10.1002/gch2.202200158","ISSN":"2056-6646","issue":"4","journalAbbreviation":"Glob Chall","language":"eng","note":"PMID: 37020630\nPMCID: PMC10069309","page":"2200158","source":"PubMed","title":"Understanding the Use of Carbon Credits by Companies: A Review of the Defining Elements of Corporate Climate Claims","title-short":"Understanding the Use of Carbon Credits by Companies","volume":"7","author":[{"family":"Trouwloon","given":"Danick"},{"family":"Streck","given":"Charlotte"},{"family":"Chagas","given":"Thiago"},{"family":"Martinus","given":"Glenpherd"}],"issued":{"date-parts":[["2023",4]]}}}],"schema":"https://github.com/citation-style-language/schema/raw/master/csl-citation.json"} </w:instrText>
      </w:r>
      <w:r w:rsidRPr="00E0133D">
        <w:rPr>
          <w:szCs w:val="24"/>
        </w:rPr>
        <w:fldChar w:fldCharType="separate"/>
      </w:r>
      <w:r w:rsidR="00AC21CF" w:rsidRPr="00AC21CF">
        <w:t xml:space="preserve">(Shah et al. 2024; </w:t>
      </w:r>
      <w:proofErr w:type="spellStart"/>
      <w:r w:rsidR="00AC21CF" w:rsidRPr="00AC21CF">
        <w:t>Trouwloon</w:t>
      </w:r>
      <w:proofErr w:type="spellEnd"/>
      <w:r w:rsidR="00AC21CF" w:rsidRPr="00AC21CF">
        <w:t xml:space="preserve"> et al. 2023)</w:t>
      </w:r>
      <w:r w:rsidRPr="00E0133D">
        <w:rPr>
          <w:szCs w:val="24"/>
        </w:rPr>
        <w:fldChar w:fldCharType="end"/>
      </w:r>
      <w:r w:rsidRPr="00E0133D">
        <w:rPr>
          <w:szCs w:val="24"/>
        </w:rPr>
        <w:t xml:space="preserve">, the resulting system would be significantly more reliable due to in-arguable comparisons to monitoring systems. Unlike some forms of carbon credit (e.g. mentioned in </w:t>
      </w:r>
      <w:r w:rsidRPr="00E0133D">
        <w:rPr>
          <w:szCs w:val="24"/>
        </w:rPr>
        <w:fldChar w:fldCharType="begin"/>
      </w:r>
      <w:r w:rsidRPr="00E0133D">
        <w:rPr>
          <w:szCs w:val="24"/>
        </w:rPr>
        <w:instrText xml:space="preserve"> ADDIN ZOTERO_ITEM CSL_CITATION {"citationID":"a14g1sgvei7","properties":{"formattedCitation":"(Probst et al. 2024; Lokuge and Anders 2022)","plainCitation":"(Probst et al. 2024; Lokuge and Anders 2022)","noteIndex":0},"citationItems":[{"id":12492,"uris":["http://zotero.org/users/15391371/items/ALAS9VS5"],"itemData":{"id":12492,"type":"article-journal","abstract":"AbstractCarbon markets play an important role in firms’ and governments’ climate strategies. Carbon crediting mechanisms allow project developers to earn carbon credits through mitigation projects. Several studies have raised concerns about environmental integrity, though a systematic evaluation is missing. We synthesized studies relying on experimental or rigorous observational methods, covering 14 studies on 2346 carbon mitigation projects and 51 studies investigating similar field interventions implemented without issuing carbon credits. The analysis covers one-fifth of the credit volume issued to date, almost 1 billion tons of CO2e. We estimate that less than 16% of the carbon credits issued to the investigated projects constitute real emission reductions, with 11% for cookstoves, 16% for SF6 destruction, 25% for avoided deforestation, 68% for HFC-23 abatement, and no statistically significant emission reductions from wind power and improved forest management projects. Carbon crediting mechanisms need to be reformed fundamentally to meaningfully contribute to climate change mitigation.","container-title":"Nature Communications","DOI":"10.1038/s41467-024-53645-z","ISSN":"2041-1723","issue":"1","journalAbbreviation":"Nat Commun","language":"en","license":"https://creativecommons.org/licenses/by/4.0","note":"publisher: Springer Science and Business Media LLC","source":"Crossref","title":"Systematic assessment of the achieved emission reductions of carbon crediting projects","URL":"https://www.nature.com/articles/s41467-024-53645-z","volume":"15","author":[{"family":"Probst","given":"Benedict S."},{"family":"Toetzke","given":"Malte"},{"family":"Kontoleon","given":"Andreas"},{"family":"Díaz Anadón","given":"Laura"},{"family":"Minx","given":"Jan C."},{"family":"Haya","given":"Barbara K."},{"family":"Schneider","given":"Lambert"},{"family":"Trotter","given":"Philipp A."},{"family":"West","given":"Thales A. P."},{"family":"Gill-Wiehl","given":"Annelise"},{"family":"Hoffmann","given":"Volker H."}],"accessed":{"date-parts":[["2025",7,17]]},"issued":{"date-parts":[["2024",11,14]]}}},{"id":12495,"uris":["http://zotero.org/users/15391371/items/C8E28AXE"],"itemData":{"id":12495,"type":"article-journal","abstract":"Carbon-credit systems allow agricultural producers to earn an extra revenue through selling their surplus of carbon credits to producers who emit higher amounts of greenhouse gases (GHGs). However, agricultural carbon-credit systems are still at early stage; hence, these benefits cannot be guaranteed due to their uncertain nature and the paucity of scientific evidence about agricultural carbon credits. The objective of this study is to provide a comprehensive literature review to highlight the gaps in existing knowledge related to agricultural carbon credits/offsets. Our particular interest is on Alberta because the province indicates the highest agricultural GHG emissions from 1990 to 2019 and, therefore, developing strategies to reduce the sector’s carbon intensity without compromising its economic contribution to the provincial economy poses a challenge. Literature is evident for promising GHG-mitigation strategies such as adoption of 4R practices (the right source at the right rate, right time and right place) as a package and improved efficiency in cattle farm management. Reduced tillage has been found to be less efficient. Researchers favour the concept of regenerative agriculture, which is more likely to return better outcomes compared to tillage practices. Moreover, ranchers are willing to upgrade their farms with efficient cattle breeds to take advantage of decreased feed costs. Conversely, farmers are reluctant to participate in the Alberta Emission Offset System unless rewarded with incentives. However, carbon-credit markets are still growing; consequently, farmers may have more opportunities in the future. If the Alberta credit price continues to grow with no expected increase in transaction costs, agricultural producers would be more attracted to participate in the Alberta Emission Offset System. Moreover, endorsing farmers for carbon-crediting mechanisms by emphasizing the co-benefits and associated economic incentives is recommended, instead of prioritizing its potential financial gains. Nevertheless, due to the scarcity of published studies, it is too early to project the economic and climate-mitigative potential of carbon-offset–credit markets for Canadian farmers. Literature suggests farmers wait until the carbon market becomes more stable before making a decision. Future research and scientific evidence will be crucial to filling these gaps and to guaranteeing future protocols.","container-title":"The School of Public Policy Publications","DOI":"10.11575/SPPP.V15I1.74591","language":"en","note":"publisher: The School of Public Policy Publications","page":"Vol. 15 No. 1 (2022)","source":"DOI.org (Datacite)","title":"Carbon Credit Systems in Agriculture: A Review of Literature","title-short":"Carbon Credit Systems in Agriculture","author":[{"family":"Lokuge","given":"Nimanthika"},{"family":"Anders","given":"Sven"}],"issued":{"date-parts":[["2022",4,14]]}}}],"schema":"https://github.com/citation-style-language/schema/raw/master/csl-citation.json"} </w:instrText>
      </w:r>
      <w:r w:rsidRPr="00E0133D">
        <w:rPr>
          <w:szCs w:val="24"/>
        </w:rPr>
        <w:fldChar w:fldCharType="separate"/>
      </w:r>
      <w:r w:rsidRPr="00E0133D">
        <w:rPr>
          <w:szCs w:val="24"/>
        </w:rPr>
        <w:t xml:space="preserve">(Probst et al. 2024; </w:t>
      </w:r>
      <w:proofErr w:type="spellStart"/>
      <w:r w:rsidRPr="00E0133D">
        <w:rPr>
          <w:szCs w:val="24"/>
        </w:rPr>
        <w:t>Lokuge</w:t>
      </w:r>
      <w:proofErr w:type="spellEnd"/>
      <w:r w:rsidRPr="00E0133D">
        <w:rPr>
          <w:szCs w:val="24"/>
        </w:rPr>
        <w:t xml:space="preserve"> and Anders 2022)</w:t>
      </w:r>
      <w:r w:rsidRPr="00E0133D">
        <w:rPr>
          <w:szCs w:val="24"/>
        </w:rPr>
        <w:fldChar w:fldCharType="end"/>
      </w:r>
      <w:r w:rsidRPr="00E0133D">
        <w:rPr>
          <w:szCs w:val="24"/>
        </w:rPr>
        <w:t xml:space="preserve">; the newly established credit from a final  can be offered with more confidence and reliability in the modeled outcomes. </w:t>
      </w:r>
    </w:p>
    <w:p w14:paraId="71D01656" w14:textId="56F5E7F6" w:rsidR="00AC21CF" w:rsidRDefault="00AC21CF">
      <w:pPr>
        <w:overflowPunct/>
        <w:autoSpaceDE/>
        <w:autoSpaceDN/>
        <w:adjustRightInd/>
        <w:spacing w:after="160" w:line="278" w:lineRule="auto"/>
        <w:rPr>
          <w:szCs w:val="24"/>
        </w:rPr>
      </w:pPr>
      <w:r>
        <w:rPr>
          <w:szCs w:val="24"/>
        </w:rPr>
        <w:br w:type="page"/>
      </w:r>
    </w:p>
    <w:p w14:paraId="32D0B8FC" w14:textId="66F7A872" w:rsidR="00AC21CF" w:rsidRDefault="00AC21CF" w:rsidP="00AC21CF">
      <w:pPr>
        <w:contextualSpacing/>
        <w:jc w:val="center"/>
        <w:rPr>
          <w:szCs w:val="24"/>
        </w:rPr>
      </w:pPr>
      <w:r>
        <w:rPr>
          <w:szCs w:val="24"/>
        </w:rPr>
        <w:lastRenderedPageBreak/>
        <w:t>Citations</w:t>
      </w:r>
    </w:p>
    <w:p w14:paraId="74301D54" w14:textId="77777777" w:rsidR="00AC21CF" w:rsidRPr="00AC21CF" w:rsidRDefault="00AC21CF" w:rsidP="00AC21CF">
      <w:pPr>
        <w:pStyle w:val="Bibliography"/>
      </w:pPr>
      <w:r>
        <w:rPr>
          <w:szCs w:val="24"/>
        </w:rPr>
        <w:fldChar w:fldCharType="begin"/>
      </w:r>
      <w:r>
        <w:rPr>
          <w:szCs w:val="24"/>
        </w:rPr>
        <w:instrText xml:space="preserve"> ADDIN ZOTERO_BIBL {"uncited":[],"omitted":[],"custom":[]} CSL_BIBLIOGRAPHY </w:instrText>
      </w:r>
      <w:r>
        <w:rPr>
          <w:szCs w:val="24"/>
        </w:rPr>
        <w:fldChar w:fldCharType="separate"/>
      </w:r>
      <w:r w:rsidRPr="00AC21CF">
        <w:t xml:space="preserve">Ahmadov, R., S. McKeen, M. Trainer, R. Banta, A. Brewer, S. Brown, P. M. Edwards, et al. 2015. “Understanding High Wintertime Ozone Pollution Events in an Oil- and Natural Gas-Producing Region of the Western US.” </w:t>
      </w:r>
      <w:r w:rsidRPr="00AC21CF">
        <w:rPr>
          <w:i/>
          <w:iCs/>
        </w:rPr>
        <w:t>Atmospheric Chemistry and Physics</w:t>
      </w:r>
      <w:r w:rsidRPr="00AC21CF">
        <w:t xml:space="preserve"> 15 (1): 411–29. doi:10.5194/acp-15-411-2015.</w:t>
      </w:r>
    </w:p>
    <w:p w14:paraId="74E20378" w14:textId="77777777" w:rsidR="00AC21CF" w:rsidRPr="00AC21CF" w:rsidRDefault="00AC21CF" w:rsidP="00AC21CF">
      <w:pPr>
        <w:pStyle w:val="Bibliography"/>
      </w:pPr>
      <w:r w:rsidRPr="00AC21CF">
        <w:t xml:space="preserve">Akimoto, Hajime, Tatsuya Nagashima, Jie Li, Joshua S. Fu, Dongsheng Ji, Jiani Tan, and </w:t>
      </w:r>
      <w:proofErr w:type="spellStart"/>
      <w:r w:rsidRPr="00AC21CF">
        <w:t>Zifa</w:t>
      </w:r>
      <w:proofErr w:type="spellEnd"/>
      <w:r w:rsidRPr="00AC21CF">
        <w:t xml:space="preserve"> Wang. 2019. “Comparison of Surface Ozone Simulation among Selected Regional Models in MICS-Asia III - Effects of Chemistry and Vertical Transport for the Causes of Difference.” </w:t>
      </w:r>
      <w:r w:rsidRPr="00AC21CF">
        <w:rPr>
          <w:i/>
          <w:iCs/>
        </w:rPr>
        <w:t>ATMOSPHERIC CHEMISTRY AND PHYSICS</w:t>
      </w:r>
      <w:r w:rsidRPr="00AC21CF">
        <w:t xml:space="preserve"> 19 (1): 603–15. doi:10.5194/acp-19-603-2019.</w:t>
      </w:r>
    </w:p>
    <w:p w14:paraId="1DABF86C" w14:textId="77777777" w:rsidR="00AC21CF" w:rsidRPr="00AC21CF" w:rsidRDefault="00AC21CF" w:rsidP="00AC21CF">
      <w:pPr>
        <w:pStyle w:val="Bibliography"/>
      </w:pPr>
      <w:proofErr w:type="spellStart"/>
      <w:r w:rsidRPr="00AC21CF">
        <w:t>Barzeghar</w:t>
      </w:r>
      <w:proofErr w:type="spellEnd"/>
      <w:r w:rsidRPr="00AC21CF">
        <w:t xml:space="preserve">, V, P </w:t>
      </w:r>
      <w:proofErr w:type="spellStart"/>
      <w:r w:rsidRPr="00AC21CF">
        <w:t>Sarbakhsh</w:t>
      </w:r>
      <w:proofErr w:type="spellEnd"/>
      <w:r w:rsidRPr="00AC21CF">
        <w:t xml:space="preserve">, MS </w:t>
      </w:r>
      <w:proofErr w:type="spellStart"/>
      <w:r w:rsidRPr="00AC21CF">
        <w:t>Hassanvand</w:t>
      </w:r>
      <w:proofErr w:type="spellEnd"/>
      <w:r w:rsidRPr="00AC21CF">
        <w:t xml:space="preserve">, S Faridi, and A Gholampour. 2020. “Long-Term Trend of Ambient Air PM10, PM2.5, and O3 and Their Health Effects in Tabriz City, Iran, during 2006-2017.” </w:t>
      </w:r>
      <w:r w:rsidRPr="00AC21CF">
        <w:rPr>
          <w:i/>
          <w:iCs/>
        </w:rPr>
        <w:t>SUSTAINABLE CITIES AND SOCIETY</w:t>
      </w:r>
      <w:r w:rsidRPr="00AC21CF">
        <w:t xml:space="preserve"> 54 (March). </w:t>
      </w:r>
      <w:proofErr w:type="gramStart"/>
      <w:r w:rsidRPr="00AC21CF">
        <w:t>doi:10.1016/j.scs</w:t>
      </w:r>
      <w:proofErr w:type="gramEnd"/>
      <w:r w:rsidRPr="00AC21CF">
        <w:t>.2019.101988.</w:t>
      </w:r>
    </w:p>
    <w:p w14:paraId="69661B60" w14:textId="77777777" w:rsidR="00AC21CF" w:rsidRPr="00AC21CF" w:rsidRDefault="00AC21CF" w:rsidP="00AC21CF">
      <w:pPr>
        <w:pStyle w:val="Bibliography"/>
      </w:pPr>
      <w:r w:rsidRPr="00AC21CF">
        <w:t xml:space="preserve">Becker, Jacob Sugar. 2021. </w:t>
      </w:r>
      <w:r w:rsidRPr="00AC21CF">
        <w:rPr>
          <w:i/>
          <w:iCs/>
        </w:rPr>
        <w:t>Using Regionalized Air Quality Model Performance and Bayesian Maximum Entropy Data Fusion to Map Global Surface Ozone Concentration and Associated Uncertainty</w:t>
      </w:r>
      <w:r w:rsidRPr="00AC21CF">
        <w:t>.</w:t>
      </w:r>
    </w:p>
    <w:p w14:paraId="0D353168" w14:textId="77777777" w:rsidR="00AC21CF" w:rsidRPr="00AC21CF" w:rsidRDefault="00AC21CF" w:rsidP="00AC21CF">
      <w:pPr>
        <w:pStyle w:val="Bibliography"/>
      </w:pPr>
      <w:r w:rsidRPr="00AC21CF">
        <w:t xml:space="preserve">Blaschke, Thomas, and Helena Merschdorf. 2014. “Geographic Information Science as a Multidisciplinary and </w:t>
      </w:r>
      <w:proofErr w:type="spellStart"/>
      <w:r w:rsidRPr="00AC21CF">
        <w:t>Multiparadigmatic</w:t>
      </w:r>
      <w:proofErr w:type="spellEnd"/>
      <w:r w:rsidRPr="00AC21CF">
        <w:t xml:space="preserve"> Field.” </w:t>
      </w:r>
      <w:r w:rsidRPr="00AC21CF">
        <w:rPr>
          <w:i/>
          <w:iCs/>
        </w:rPr>
        <w:t>Cartography and Geographic Information Science</w:t>
      </w:r>
      <w:r w:rsidRPr="00AC21CF">
        <w:t xml:space="preserve"> 41 (3): 196–213. doi:10.1080/15230406.2014.905755.</w:t>
      </w:r>
    </w:p>
    <w:p w14:paraId="4CB51C1A" w14:textId="77777777" w:rsidR="00AC21CF" w:rsidRPr="00AC21CF" w:rsidRDefault="00AC21CF" w:rsidP="00AC21CF">
      <w:pPr>
        <w:pStyle w:val="Bibliography"/>
      </w:pPr>
      <w:r w:rsidRPr="00AC21CF">
        <w:t xml:space="preserve">Borchert, William, Stephanie T. Grady, Jie Chen, Nicole V. Deville, Charlotte Roscoe, Futu Chen, Carol Mita, et al. 2023. “Air Pollution and Temperature: A Systematic Review of Ubiquitous Environmental Exposures and Sudden Cardiac Death.” </w:t>
      </w:r>
      <w:r w:rsidRPr="00AC21CF">
        <w:rPr>
          <w:i/>
          <w:iCs/>
        </w:rPr>
        <w:t>CURRENT ENVIRONMENTAL HEALTH REPORTS</w:t>
      </w:r>
      <w:r w:rsidRPr="00AC21CF">
        <w:t xml:space="preserve"> 10 (4): 490–500. doi:10.1007/s40572-023-00414-7.</w:t>
      </w:r>
    </w:p>
    <w:p w14:paraId="5B03E98F" w14:textId="77777777" w:rsidR="00AC21CF" w:rsidRPr="00AC21CF" w:rsidRDefault="00AC21CF" w:rsidP="00AC21CF">
      <w:pPr>
        <w:pStyle w:val="Bibliography"/>
      </w:pPr>
      <w:proofErr w:type="spellStart"/>
      <w:r w:rsidRPr="00AC21CF">
        <w:t>Bowdalo</w:t>
      </w:r>
      <w:proofErr w:type="spellEnd"/>
      <w:r w:rsidRPr="00AC21CF">
        <w:t xml:space="preserve">, Dene R., Mathew J. Evans, and Eric D. </w:t>
      </w:r>
      <w:proofErr w:type="spellStart"/>
      <w:r w:rsidRPr="00AC21CF">
        <w:t>Sofen</w:t>
      </w:r>
      <w:proofErr w:type="spellEnd"/>
      <w:r w:rsidRPr="00AC21CF">
        <w:t xml:space="preserve">. 2016. “Spectral Analysis of Atmospheric Composition: Application to Surface Ozone Model-Measurement Comparisons.” </w:t>
      </w:r>
      <w:r w:rsidRPr="00AC21CF">
        <w:rPr>
          <w:i/>
          <w:iCs/>
        </w:rPr>
        <w:t>ATMOSPHERIC CHEMISTRY AND PHYSICS</w:t>
      </w:r>
      <w:r w:rsidRPr="00AC21CF">
        <w:t xml:space="preserve"> 16 (13): 8295–8308. doi:10.5194/acp-16-8295-2016.</w:t>
      </w:r>
    </w:p>
    <w:p w14:paraId="4024042B" w14:textId="77777777" w:rsidR="00AC21CF" w:rsidRPr="00AC21CF" w:rsidRDefault="00AC21CF" w:rsidP="00AC21CF">
      <w:pPr>
        <w:pStyle w:val="Bibliography"/>
      </w:pPr>
      <w:r w:rsidRPr="00AC21CF">
        <w:t xml:space="preserve">Cakaj, Arlinda, Erjon </w:t>
      </w:r>
      <w:proofErr w:type="spellStart"/>
      <w:r w:rsidRPr="00AC21CF">
        <w:t>Qorri</w:t>
      </w:r>
      <w:proofErr w:type="spellEnd"/>
      <w:r w:rsidRPr="00AC21CF">
        <w:t xml:space="preserve">, Fatimatou Coulibaly, Alessandra De Marco, Evgenios </w:t>
      </w:r>
      <w:proofErr w:type="spellStart"/>
      <w:r w:rsidRPr="00AC21CF">
        <w:t>Agathokleous</w:t>
      </w:r>
      <w:proofErr w:type="spellEnd"/>
      <w:r w:rsidRPr="00AC21CF">
        <w:t xml:space="preserve">, Stefan Leca, and Pierre Sicard. 2023. “Assessing Surface Ozone Risk to Human Health and Forests over Time in Poland.” </w:t>
      </w:r>
      <w:r w:rsidRPr="00AC21CF">
        <w:rPr>
          <w:i/>
          <w:iCs/>
        </w:rPr>
        <w:t>ATMOSPHERIC ENVIRONMENT</w:t>
      </w:r>
      <w:r w:rsidRPr="00AC21CF">
        <w:t xml:space="preserve"> 309 (September). </w:t>
      </w:r>
      <w:proofErr w:type="gramStart"/>
      <w:r w:rsidRPr="00AC21CF">
        <w:t>doi:10.1016/j.atmosenv</w:t>
      </w:r>
      <w:proofErr w:type="gramEnd"/>
      <w:r w:rsidRPr="00AC21CF">
        <w:t>.2023.119926.</w:t>
      </w:r>
    </w:p>
    <w:p w14:paraId="40C0AAB5" w14:textId="77777777" w:rsidR="00AC21CF" w:rsidRPr="00AC21CF" w:rsidRDefault="00AC21CF" w:rsidP="00AC21CF">
      <w:pPr>
        <w:pStyle w:val="Bibliography"/>
      </w:pPr>
      <w:r w:rsidRPr="00AC21CF">
        <w:t>Centoni, Federico. 2017. “Global Scale Modelling of Ozone Deposition Processes and Interaction between Surface Ozone and Climate Change.”</w:t>
      </w:r>
    </w:p>
    <w:p w14:paraId="3A61A75D" w14:textId="77777777" w:rsidR="00AC21CF" w:rsidRPr="00AC21CF" w:rsidRDefault="00AC21CF" w:rsidP="00AC21CF">
      <w:pPr>
        <w:pStyle w:val="Bibliography"/>
      </w:pPr>
      <w:proofErr w:type="spellStart"/>
      <w:r w:rsidRPr="00AC21CF">
        <w:t>Chapleski</w:t>
      </w:r>
      <w:proofErr w:type="spellEnd"/>
      <w:r w:rsidRPr="00AC21CF">
        <w:t xml:space="preserve">, Robert C., </w:t>
      </w:r>
      <w:proofErr w:type="spellStart"/>
      <w:r w:rsidRPr="00AC21CF">
        <w:t>Yafen</w:t>
      </w:r>
      <w:proofErr w:type="spellEnd"/>
      <w:r w:rsidRPr="00AC21CF">
        <w:t xml:space="preserve"> Zhang, Diego Troya, and John R. Morris. 2016. “Heterogeneous Chemistry and Reaction Dynamics of the Atmospheric Oxidants, O3, NO3, and OH, on Organic Surfaces.” </w:t>
      </w:r>
      <w:r w:rsidRPr="00AC21CF">
        <w:rPr>
          <w:i/>
          <w:iCs/>
        </w:rPr>
        <w:t>Chemical Society Reviews</w:t>
      </w:r>
      <w:r w:rsidRPr="00AC21CF">
        <w:t xml:space="preserve"> 45 (13). Royal Society of Chemistry: 3731–46. doi:10.1039/c5cs00375j.</w:t>
      </w:r>
    </w:p>
    <w:p w14:paraId="4F5E6ACF" w14:textId="77777777" w:rsidR="00AC21CF" w:rsidRPr="00AC21CF" w:rsidRDefault="00AC21CF" w:rsidP="00AC21CF">
      <w:pPr>
        <w:pStyle w:val="Bibliography"/>
      </w:pPr>
      <w:r w:rsidRPr="00AC21CF">
        <w:t xml:space="preserve">Chen, </w:t>
      </w:r>
      <w:proofErr w:type="spellStart"/>
      <w:r w:rsidRPr="00AC21CF">
        <w:t>Gongbo</w:t>
      </w:r>
      <w:proofErr w:type="spellEnd"/>
      <w:r w:rsidRPr="00AC21CF">
        <w:t>, Jiang Chen, Guang-hui Dong, Bo-</w:t>
      </w:r>
      <w:proofErr w:type="spellStart"/>
      <w:r w:rsidRPr="00AC21CF">
        <w:t>yi</w:t>
      </w:r>
      <w:proofErr w:type="spellEnd"/>
      <w:r w:rsidRPr="00AC21CF">
        <w:t xml:space="preserve"> Yang, </w:t>
      </w:r>
      <w:proofErr w:type="spellStart"/>
      <w:r w:rsidRPr="00AC21CF">
        <w:t>Yisi</w:t>
      </w:r>
      <w:proofErr w:type="spellEnd"/>
      <w:r w:rsidRPr="00AC21CF">
        <w:t xml:space="preserve"> Liu, </w:t>
      </w:r>
      <w:proofErr w:type="spellStart"/>
      <w:r w:rsidRPr="00AC21CF">
        <w:t>Tianjun</w:t>
      </w:r>
      <w:proofErr w:type="spellEnd"/>
      <w:r w:rsidRPr="00AC21CF">
        <w:t xml:space="preserve"> Lu, Pei Yu, Yuming Guo, and Shanshan Li. 2021. “Improving Satellite-Based </w:t>
      </w:r>
      <w:r w:rsidRPr="00AC21CF">
        <w:lastRenderedPageBreak/>
        <w:t xml:space="preserve">Estimation of Surface Ozone across China during 2008-2019 Using Iterative Random Forest Model and High-Resolution Grid Meteorological Data.” </w:t>
      </w:r>
      <w:r w:rsidRPr="00AC21CF">
        <w:rPr>
          <w:i/>
          <w:iCs/>
        </w:rPr>
        <w:t>SUSTAINABLE CITIES AND SOCIETY</w:t>
      </w:r>
      <w:r w:rsidRPr="00AC21CF">
        <w:t xml:space="preserve"> 69 (June). </w:t>
      </w:r>
      <w:proofErr w:type="gramStart"/>
      <w:r w:rsidRPr="00AC21CF">
        <w:t>doi:10.1016/j.scs</w:t>
      </w:r>
      <w:proofErr w:type="gramEnd"/>
      <w:r w:rsidRPr="00AC21CF">
        <w:t>.2021.102807.</w:t>
      </w:r>
    </w:p>
    <w:p w14:paraId="743460BC" w14:textId="77777777" w:rsidR="00AC21CF" w:rsidRPr="00AC21CF" w:rsidRDefault="00AC21CF" w:rsidP="00AC21CF">
      <w:pPr>
        <w:pStyle w:val="Bibliography"/>
      </w:pPr>
      <w:r w:rsidRPr="00AC21CF">
        <w:t xml:space="preserve">Chen, </w:t>
      </w:r>
      <w:proofErr w:type="spellStart"/>
      <w:r w:rsidRPr="00AC21CF">
        <w:t>Xueyao</w:t>
      </w:r>
      <w:proofErr w:type="spellEnd"/>
      <w:r w:rsidRPr="00AC21CF">
        <w:t xml:space="preserve">, </w:t>
      </w:r>
      <w:proofErr w:type="spellStart"/>
      <w:r w:rsidRPr="00AC21CF">
        <w:t>Zhige</w:t>
      </w:r>
      <w:proofErr w:type="spellEnd"/>
      <w:r w:rsidRPr="00AC21CF">
        <w:t xml:space="preserve"> Wang, Yulin Shangguan, Jie Yu, </w:t>
      </w:r>
      <w:proofErr w:type="spellStart"/>
      <w:r w:rsidRPr="00AC21CF">
        <w:t>Bifeng</w:t>
      </w:r>
      <w:proofErr w:type="spellEnd"/>
      <w:r w:rsidRPr="00AC21CF">
        <w:t xml:space="preserve"> Hu, Qiaohui Shen, Jie Xue, </w:t>
      </w:r>
      <w:proofErr w:type="spellStart"/>
      <w:r w:rsidRPr="00AC21CF">
        <w:t>Xianglin</w:t>
      </w:r>
      <w:proofErr w:type="spellEnd"/>
      <w:r w:rsidRPr="00AC21CF">
        <w:t xml:space="preserve"> Zhang, and Zhou Shi. 2023. “Estimating Monthly Surface Ozone Using Multi-Source Satellite Products in China Based on Deep Forest Model.” </w:t>
      </w:r>
      <w:r w:rsidRPr="00AC21CF">
        <w:rPr>
          <w:i/>
          <w:iCs/>
        </w:rPr>
        <w:t>ATMOSPHERIC ENVIRONMENT</w:t>
      </w:r>
      <w:r w:rsidRPr="00AC21CF">
        <w:t xml:space="preserve"> 307 (August). </w:t>
      </w:r>
      <w:proofErr w:type="gramStart"/>
      <w:r w:rsidRPr="00AC21CF">
        <w:t>doi:10.1016/j.atmosenv</w:t>
      </w:r>
      <w:proofErr w:type="gramEnd"/>
      <w:r w:rsidRPr="00AC21CF">
        <w:t>.2023.119819.</w:t>
      </w:r>
    </w:p>
    <w:p w14:paraId="18700ED3" w14:textId="77777777" w:rsidR="00AC21CF" w:rsidRPr="00AC21CF" w:rsidRDefault="00AC21CF" w:rsidP="00AC21CF">
      <w:pPr>
        <w:pStyle w:val="Bibliography"/>
      </w:pPr>
      <w:r w:rsidRPr="00AC21CF">
        <w:t xml:space="preserve">Engardt, Magnuz. 2008. “Modelling of Near-Surface Ozone over South Asia.” </w:t>
      </w:r>
      <w:r w:rsidRPr="00AC21CF">
        <w:rPr>
          <w:i/>
          <w:iCs/>
        </w:rPr>
        <w:t>JOURNAL OF ATMOSPHERIC CHEMISTRY</w:t>
      </w:r>
      <w:r w:rsidRPr="00AC21CF">
        <w:t xml:space="preserve"> 59 (1): 61–80. doi:10.1007/s10874-008-9096-z.</w:t>
      </w:r>
    </w:p>
    <w:p w14:paraId="1DF57851" w14:textId="77777777" w:rsidR="00AC21CF" w:rsidRPr="00AC21CF" w:rsidRDefault="00AC21CF" w:rsidP="00AC21CF">
      <w:pPr>
        <w:pStyle w:val="Bibliography"/>
      </w:pPr>
      <w:r w:rsidRPr="00AC21CF">
        <w:t xml:space="preserve">Flynn, MT, EJ Mattson, DA Jaffe, and LE Gratz. 2021. “Spatial Patterns in Summertime Surface Ozone in the Southern Front Range of the US Rocky Mountains.” </w:t>
      </w:r>
      <w:r w:rsidRPr="00AC21CF">
        <w:rPr>
          <w:i/>
          <w:iCs/>
        </w:rPr>
        <w:t>ELEMENTA-SCIENCE OF THE ANTHROPOCENE</w:t>
      </w:r>
      <w:r w:rsidRPr="00AC21CF">
        <w:t xml:space="preserve"> 9 (1). doi:10.1525/elementa.2020.00104.</w:t>
      </w:r>
    </w:p>
    <w:p w14:paraId="6D156FB9" w14:textId="77777777" w:rsidR="00AC21CF" w:rsidRPr="00AC21CF" w:rsidRDefault="00AC21CF" w:rsidP="00AC21CF">
      <w:pPr>
        <w:pStyle w:val="Bibliography"/>
      </w:pPr>
      <w:r w:rsidRPr="00AC21CF">
        <w:t xml:space="preserve">Fuller, Richard, Philip J Landrigan, Kalpana Balakrishnan, Glynda Bathan, Stephan Bose-O’Reilly, Michael Brauer, Jack </w:t>
      </w:r>
      <w:proofErr w:type="spellStart"/>
      <w:r w:rsidRPr="00AC21CF">
        <w:t>Caravanos</w:t>
      </w:r>
      <w:proofErr w:type="spellEnd"/>
      <w:r w:rsidRPr="00AC21CF">
        <w:t xml:space="preserve">, et al. 2022. “Pollution and Health: A Progress Update.” </w:t>
      </w:r>
      <w:r w:rsidRPr="00AC21CF">
        <w:rPr>
          <w:i/>
          <w:iCs/>
        </w:rPr>
        <w:t>The Lancet Planetary Health</w:t>
      </w:r>
      <w:r w:rsidRPr="00AC21CF">
        <w:t xml:space="preserve"> 6 (6): e535–47. doi:10.1016/S2542-5196(22)00090-0.</w:t>
      </w:r>
    </w:p>
    <w:p w14:paraId="6A6C042A" w14:textId="77777777" w:rsidR="00AC21CF" w:rsidRPr="00AC21CF" w:rsidRDefault="00AC21CF" w:rsidP="00AC21CF">
      <w:pPr>
        <w:pStyle w:val="Bibliography"/>
      </w:pPr>
      <w:r w:rsidRPr="00AC21CF">
        <w:t xml:space="preserve">Goodchild, Michael F. 2009. “Geographic Information Systems and Science: Today and Tomorrow.” </w:t>
      </w:r>
      <w:r w:rsidRPr="00AC21CF">
        <w:rPr>
          <w:i/>
          <w:iCs/>
        </w:rPr>
        <w:t>Annals of GIS</w:t>
      </w:r>
      <w:r w:rsidRPr="00AC21CF">
        <w:t xml:space="preserve"> 15 (1): 3–9. doi:10.1080/19475680903250715.</w:t>
      </w:r>
    </w:p>
    <w:p w14:paraId="4CE8B81E" w14:textId="77777777" w:rsidR="00AC21CF" w:rsidRPr="00AC21CF" w:rsidRDefault="00AC21CF" w:rsidP="00AC21CF">
      <w:pPr>
        <w:pStyle w:val="Bibliography"/>
      </w:pPr>
      <w:r w:rsidRPr="00AC21CF">
        <w:t xml:space="preserve">———. 2018. “Mapping Across Academia.” </w:t>
      </w:r>
      <w:r w:rsidRPr="00AC21CF">
        <w:rPr>
          <w:i/>
          <w:iCs/>
        </w:rPr>
        <w:t>The AAG Review of Books</w:t>
      </w:r>
      <w:r w:rsidRPr="00AC21CF">
        <w:t xml:space="preserve"> 6 (2). Informa UK Limited: 115–17. doi:10.1080/2325548x.2018.1402278.</w:t>
      </w:r>
    </w:p>
    <w:p w14:paraId="16EC3037" w14:textId="77777777" w:rsidR="00AC21CF" w:rsidRPr="00AC21CF" w:rsidRDefault="00AC21CF" w:rsidP="00AC21CF">
      <w:pPr>
        <w:pStyle w:val="Bibliography"/>
      </w:pPr>
      <w:r w:rsidRPr="00AC21CF">
        <w:t xml:space="preserve">Greenough, P. Gregg, and Erica L. Nelson. 2019. “Beyond Mapping: A Case for Geospatial Analytics in Humanitarian Health.” </w:t>
      </w:r>
      <w:r w:rsidRPr="00AC21CF">
        <w:rPr>
          <w:i/>
          <w:iCs/>
        </w:rPr>
        <w:t>Conflict and Health</w:t>
      </w:r>
      <w:r w:rsidRPr="00AC21CF">
        <w:t xml:space="preserve"> 13 (1): 50. doi:10.1186/s13031-019-0234-9.</w:t>
      </w:r>
    </w:p>
    <w:p w14:paraId="7E02753C" w14:textId="77777777" w:rsidR="00AC21CF" w:rsidRPr="00AC21CF" w:rsidRDefault="00AC21CF" w:rsidP="00AC21CF">
      <w:pPr>
        <w:pStyle w:val="Bibliography"/>
      </w:pPr>
      <w:r w:rsidRPr="00AC21CF">
        <w:t xml:space="preserve">Hakim, Zainab Q., Scott Archer-Nicholls, Gufran Beig, Gerd A. Folberth, Kengo Sudo, Nathan Luke Abraham, Sachin </w:t>
      </w:r>
      <w:proofErr w:type="spellStart"/>
      <w:r w:rsidRPr="00AC21CF">
        <w:t>Ghude</w:t>
      </w:r>
      <w:proofErr w:type="spellEnd"/>
      <w:r w:rsidRPr="00AC21CF">
        <w:t xml:space="preserve">, Daven K. Henze, and Alexander T. Archibald. 2019. “Evaluation of Tropospheric Ozone and Ozone Precursors in Simulations from the HTAPII and CCMI Model Intercomparisons – a Focus on the Indian Subcontinent.” </w:t>
      </w:r>
      <w:r w:rsidRPr="00AC21CF">
        <w:rPr>
          <w:i/>
          <w:iCs/>
        </w:rPr>
        <w:t>Atmospheric Chemistry and Physics</w:t>
      </w:r>
      <w:r w:rsidRPr="00AC21CF">
        <w:t xml:space="preserve"> 19 (9). Copernicus GmbH: 6437–58. doi:10.5194/acp-19-6437-2019.</w:t>
      </w:r>
    </w:p>
    <w:p w14:paraId="3F587509" w14:textId="77777777" w:rsidR="00AC21CF" w:rsidRPr="00AC21CF" w:rsidRDefault="00AC21CF" w:rsidP="00AC21CF">
      <w:pPr>
        <w:pStyle w:val="Bibliography"/>
      </w:pPr>
      <w:r w:rsidRPr="00AC21CF">
        <w:t xml:space="preserve">Hou, XS, XQ Wang, SY Cheng, HY Qi, CD Wang, and ZJ Huang. 2024. “Elucidating Transport Dynamics and Regional Division of PM2.5 and O3 in China Using an Advanced Network Model.” </w:t>
      </w:r>
      <w:r w:rsidRPr="00AC21CF">
        <w:rPr>
          <w:i/>
          <w:iCs/>
        </w:rPr>
        <w:t>ENVIRONMENT INTERNATIONAL</w:t>
      </w:r>
      <w:r w:rsidRPr="00AC21CF">
        <w:t xml:space="preserve"> 188 (June). </w:t>
      </w:r>
      <w:proofErr w:type="gramStart"/>
      <w:r w:rsidRPr="00AC21CF">
        <w:t>doi:10.1016/j.envint</w:t>
      </w:r>
      <w:proofErr w:type="gramEnd"/>
      <w:r w:rsidRPr="00AC21CF">
        <w:t>.2024.108731.</w:t>
      </w:r>
    </w:p>
    <w:p w14:paraId="3F8EA606" w14:textId="77777777" w:rsidR="00AC21CF" w:rsidRPr="00AC21CF" w:rsidRDefault="00AC21CF" w:rsidP="00AC21CF">
      <w:pPr>
        <w:pStyle w:val="Bibliography"/>
      </w:pPr>
      <w:r w:rsidRPr="00AC21CF">
        <w:t xml:space="preserve">Hu, Xiaomin, Jing Zhang, Wenhao Xue, Lihua Zhou, </w:t>
      </w:r>
      <w:proofErr w:type="spellStart"/>
      <w:r w:rsidRPr="00AC21CF">
        <w:t>Yunfei</w:t>
      </w:r>
      <w:proofErr w:type="spellEnd"/>
      <w:r w:rsidRPr="00AC21CF">
        <w:t xml:space="preserve"> Che, and Tian Han. 2022. “Estimation of the Near-Surface Ozone Concentration with Full Spatiotemporal Coverage across the Beijing-Tianjin-Hebei Region Based on Extreme Gradient Boosting Combined with a WRF-Chem Model.” </w:t>
      </w:r>
      <w:r w:rsidRPr="00AC21CF">
        <w:rPr>
          <w:i/>
          <w:iCs/>
        </w:rPr>
        <w:t>ATMOSPHERE</w:t>
      </w:r>
      <w:r w:rsidRPr="00AC21CF">
        <w:t xml:space="preserve"> 13 (4). doi:10.3390/atmos13040632.</w:t>
      </w:r>
    </w:p>
    <w:p w14:paraId="5E840028" w14:textId="77777777" w:rsidR="00AC21CF" w:rsidRPr="00AC21CF" w:rsidRDefault="00AC21CF" w:rsidP="00AC21CF">
      <w:pPr>
        <w:pStyle w:val="Bibliography"/>
      </w:pPr>
      <w:r w:rsidRPr="00AC21CF">
        <w:lastRenderedPageBreak/>
        <w:t xml:space="preserve">Jacob, D. 2000. “Heterogeneous Chemistry and Tropospheric Ozone.” </w:t>
      </w:r>
      <w:r w:rsidRPr="00AC21CF">
        <w:rPr>
          <w:i/>
          <w:iCs/>
        </w:rPr>
        <w:t>Atmospheric Environment</w:t>
      </w:r>
      <w:r w:rsidRPr="00AC21CF">
        <w:t xml:space="preserve"> 34 (12–14): 2131–59. doi:10.1016/S1352-2310(99)00462-8.</w:t>
      </w:r>
    </w:p>
    <w:p w14:paraId="0906DF6B" w14:textId="77777777" w:rsidR="00AC21CF" w:rsidRPr="00AC21CF" w:rsidRDefault="00AC21CF" w:rsidP="00AC21CF">
      <w:pPr>
        <w:pStyle w:val="Bibliography"/>
      </w:pPr>
      <w:r w:rsidRPr="00AC21CF">
        <w:t xml:space="preserve">Jerrett, Michael, Sara Gale, and Caitlin </w:t>
      </w:r>
      <w:proofErr w:type="spellStart"/>
      <w:r w:rsidRPr="00AC21CF">
        <w:t>Kontgis</w:t>
      </w:r>
      <w:proofErr w:type="spellEnd"/>
      <w:r w:rsidRPr="00AC21CF">
        <w:t xml:space="preserve">. 2010. “Spatial Modeling in Environmental and Public Health Research.” </w:t>
      </w:r>
      <w:r w:rsidRPr="00AC21CF">
        <w:rPr>
          <w:i/>
          <w:iCs/>
        </w:rPr>
        <w:t>International Journal of Environmental Research and Public Health</w:t>
      </w:r>
      <w:r w:rsidRPr="00AC21CF">
        <w:t xml:space="preserve"> 7 (4): 1302–29. doi:10.3390/ijerph7041302.</w:t>
      </w:r>
    </w:p>
    <w:p w14:paraId="67B5BA06" w14:textId="77777777" w:rsidR="00AC21CF" w:rsidRPr="00AC21CF" w:rsidRDefault="00AC21CF" w:rsidP="00AC21CF">
      <w:pPr>
        <w:pStyle w:val="Bibliography"/>
      </w:pPr>
      <w:r w:rsidRPr="00AC21CF">
        <w:t xml:space="preserve">Kong, SJ, T Wang, F Li, JJ Yan, and ZG Qu. 2023. “Unraveling Spatiotemporal Patterns and Multiple Driving Factors of Surface Ozone across China and Its Urban Agglomerations Management Strategies.” </w:t>
      </w:r>
      <w:r w:rsidRPr="00AC21CF">
        <w:rPr>
          <w:i/>
          <w:iCs/>
        </w:rPr>
        <w:t>FRONTIERS IN ECOLOGY AND EVOLUTION</w:t>
      </w:r>
      <w:r w:rsidRPr="00AC21CF">
        <w:t xml:space="preserve"> 11 (June). doi:10.3389/fevo.2023.1103503.</w:t>
      </w:r>
    </w:p>
    <w:p w14:paraId="41AE7430" w14:textId="77777777" w:rsidR="00AC21CF" w:rsidRPr="00AC21CF" w:rsidRDefault="00AC21CF" w:rsidP="00AC21CF">
      <w:pPr>
        <w:pStyle w:val="Bibliography"/>
      </w:pPr>
      <w:r w:rsidRPr="00AC21CF">
        <w:t xml:space="preserve">Liang, Ciao-Kai, J. Jason West, Raquel A. Silva, </w:t>
      </w:r>
      <w:proofErr w:type="spellStart"/>
      <w:r w:rsidRPr="00AC21CF">
        <w:t>Huisheng</w:t>
      </w:r>
      <w:proofErr w:type="spellEnd"/>
      <w:r w:rsidRPr="00AC21CF">
        <w:t xml:space="preserve"> Bian, Mian Chin, Yanko Davila, Frank J. </w:t>
      </w:r>
      <w:proofErr w:type="spellStart"/>
      <w:r w:rsidRPr="00AC21CF">
        <w:t>Dentener</w:t>
      </w:r>
      <w:proofErr w:type="spellEnd"/>
      <w:r w:rsidRPr="00AC21CF">
        <w:t xml:space="preserve">, et al. 2018. “HTAP2 Multi-Model Estimates of Premature Human Mortality Due to Intercontinental Transport of Air Pollution and Emission Sectors.” </w:t>
      </w:r>
      <w:r w:rsidRPr="00AC21CF">
        <w:rPr>
          <w:i/>
          <w:iCs/>
        </w:rPr>
        <w:t>Atmospheric Chemistry and Physics</w:t>
      </w:r>
      <w:r w:rsidRPr="00AC21CF">
        <w:t xml:space="preserve"> 18 (14). Copernicus GmbH: 10497–520. doi:10.5194/acp-18-10497-2018.</w:t>
      </w:r>
    </w:p>
    <w:p w14:paraId="5CAC2084" w14:textId="77777777" w:rsidR="00AC21CF" w:rsidRPr="00AC21CF" w:rsidRDefault="00AC21CF" w:rsidP="00AC21CF">
      <w:pPr>
        <w:pStyle w:val="Bibliography"/>
      </w:pPr>
      <w:r w:rsidRPr="00AC21CF">
        <w:t xml:space="preserve">Liu, S, WH Zhao, LJ Li, JN Jin, TZ Li, HT Xu, and WJ Zhao. 2023. “Meteorological Mechanisms of Regional PM2.5 and O3 Transport in the North China Plain Driven by the East Asian Monsoon.” </w:t>
      </w:r>
      <w:r w:rsidRPr="00AC21CF">
        <w:rPr>
          <w:i/>
          <w:iCs/>
        </w:rPr>
        <w:t>ATMOSPHERIC POLLUTION RESEARCH</w:t>
      </w:r>
      <w:r w:rsidRPr="00AC21CF">
        <w:t xml:space="preserve"> 14 (1). </w:t>
      </w:r>
      <w:proofErr w:type="gramStart"/>
      <w:r w:rsidRPr="00AC21CF">
        <w:t>doi:10.1016/j.apr</w:t>
      </w:r>
      <w:proofErr w:type="gramEnd"/>
      <w:r w:rsidRPr="00AC21CF">
        <w:t>.2022.101638.</w:t>
      </w:r>
    </w:p>
    <w:p w14:paraId="526841F1" w14:textId="77777777" w:rsidR="00AC21CF" w:rsidRPr="00AC21CF" w:rsidRDefault="00AC21CF" w:rsidP="00AC21CF">
      <w:pPr>
        <w:pStyle w:val="Bibliography"/>
      </w:pPr>
      <w:r w:rsidRPr="00AC21CF">
        <w:t xml:space="preserve">Lo, KC, WH Cheng, C Lin, CH Hung, CS Yuan, and YL Tseng. 2024. “Elevated Surface Ozone Concentration Caused by Subtropical Cyclones and Topographical Effect: Model Simulation and Field Measurement.” </w:t>
      </w:r>
      <w:r w:rsidRPr="00AC21CF">
        <w:rPr>
          <w:i/>
          <w:iCs/>
        </w:rPr>
        <w:t>URBAN CLIMATE</w:t>
      </w:r>
      <w:r w:rsidRPr="00AC21CF">
        <w:t xml:space="preserve"> 57 (September). </w:t>
      </w:r>
      <w:proofErr w:type="gramStart"/>
      <w:r w:rsidRPr="00AC21CF">
        <w:t>doi:10.1016/j.uclim</w:t>
      </w:r>
      <w:proofErr w:type="gramEnd"/>
      <w:r w:rsidRPr="00AC21CF">
        <w:t>.2024.102093.</w:t>
      </w:r>
    </w:p>
    <w:p w14:paraId="04B69A2A" w14:textId="77777777" w:rsidR="00AC21CF" w:rsidRPr="00AC21CF" w:rsidRDefault="00AC21CF" w:rsidP="00AC21CF">
      <w:pPr>
        <w:pStyle w:val="Bibliography"/>
      </w:pPr>
      <w:proofErr w:type="spellStart"/>
      <w:r w:rsidRPr="00AC21CF">
        <w:t>Lokuge</w:t>
      </w:r>
      <w:proofErr w:type="spellEnd"/>
      <w:r w:rsidRPr="00AC21CF">
        <w:t xml:space="preserve">, </w:t>
      </w:r>
      <w:proofErr w:type="spellStart"/>
      <w:r w:rsidRPr="00AC21CF">
        <w:t>Nimanthika</w:t>
      </w:r>
      <w:proofErr w:type="spellEnd"/>
      <w:r w:rsidRPr="00AC21CF">
        <w:t xml:space="preserve">, and Sven Anders. 2022. “Carbon Credit Systems in Agriculture: A Review of Literature.” </w:t>
      </w:r>
      <w:r w:rsidRPr="00AC21CF">
        <w:rPr>
          <w:i/>
          <w:iCs/>
        </w:rPr>
        <w:t>The School of Public Policy Publications</w:t>
      </w:r>
      <w:r w:rsidRPr="00AC21CF">
        <w:t>, April. The School of Public Policy Publications, Vol. 15 No. 1 (2022). doi:10.11575/SPPP.V15I1.74591.</w:t>
      </w:r>
    </w:p>
    <w:p w14:paraId="6C44E80A" w14:textId="77777777" w:rsidR="00AC21CF" w:rsidRPr="00AC21CF" w:rsidRDefault="00AC21CF" w:rsidP="00AC21CF">
      <w:pPr>
        <w:pStyle w:val="Bibliography"/>
      </w:pPr>
      <w:r w:rsidRPr="00AC21CF">
        <w:t xml:space="preserve">Lyons, Timothy W., Christopher T. Reinhard, and Noah J. </w:t>
      </w:r>
      <w:proofErr w:type="spellStart"/>
      <w:r w:rsidRPr="00AC21CF">
        <w:t>Planavsky</w:t>
      </w:r>
      <w:proofErr w:type="spellEnd"/>
      <w:r w:rsidRPr="00AC21CF">
        <w:t xml:space="preserve">. 2014. “The Rise of Oxygen in Earth’s Early Ocean and Atmosphere.” </w:t>
      </w:r>
      <w:r w:rsidRPr="00AC21CF">
        <w:rPr>
          <w:i/>
          <w:iCs/>
        </w:rPr>
        <w:t>Nature</w:t>
      </w:r>
      <w:r w:rsidRPr="00AC21CF">
        <w:t xml:space="preserve"> 506 (7488): 307–15. doi:10.1038/nature13068.</w:t>
      </w:r>
    </w:p>
    <w:p w14:paraId="2A86BCF9" w14:textId="77777777" w:rsidR="00AC21CF" w:rsidRPr="00AC21CF" w:rsidRDefault="00AC21CF" w:rsidP="00AC21CF">
      <w:pPr>
        <w:pStyle w:val="Bibliography"/>
      </w:pPr>
      <w:r w:rsidRPr="00AC21CF">
        <w:t xml:space="preserve">Meng, Kai, </w:t>
      </w:r>
      <w:proofErr w:type="spellStart"/>
      <w:r w:rsidRPr="00AC21CF">
        <w:t>Tianliang</w:t>
      </w:r>
      <w:proofErr w:type="spellEnd"/>
      <w:r w:rsidRPr="00AC21CF">
        <w:t xml:space="preserve"> Zhao, </w:t>
      </w:r>
      <w:proofErr w:type="spellStart"/>
      <w:r w:rsidRPr="00AC21CF">
        <w:t>Xiangde</w:t>
      </w:r>
      <w:proofErr w:type="spellEnd"/>
      <w:r w:rsidRPr="00AC21CF">
        <w:t xml:space="preserve"> Xu, </w:t>
      </w:r>
      <w:proofErr w:type="spellStart"/>
      <w:r w:rsidRPr="00AC21CF">
        <w:t>Zhongjie</w:t>
      </w:r>
      <w:proofErr w:type="spellEnd"/>
      <w:r w:rsidRPr="00AC21CF">
        <w:t xml:space="preserve"> Zhang, </w:t>
      </w:r>
      <w:proofErr w:type="spellStart"/>
      <w:r w:rsidRPr="00AC21CF">
        <w:t>Yongqing</w:t>
      </w:r>
      <w:proofErr w:type="spellEnd"/>
      <w:r w:rsidRPr="00AC21CF">
        <w:t xml:space="preserve"> Bai, </w:t>
      </w:r>
      <w:proofErr w:type="spellStart"/>
      <w:r w:rsidRPr="00AC21CF">
        <w:t>Yannan</w:t>
      </w:r>
      <w:proofErr w:type="spellEnd"/>
      <w:r w:rsidRPr="00AC21CF">
        <w:t xml:space="preserve"> Hu, Yang Zhao, Xiao Zhang, and Yushan Xin. 2022. “Influence of Stratosphere-to-Troposphere Transport on Summertime Surface O3 Changes in North China Plain in 2019.” </w:t>
      </w:r>
      <w:r w:rsidRPr="00AC21CF">
        <w:rPr>
          <w:i/>
          <w:iCs/>
        </w:rPr>
        <w:t>Atmospheric Research</w:t>
      </w:r>
      <w:r w:rsidRPr="00AC21CF">
        <w:t xml:space="preserve"> 276 (October). Elsevier B.V.: N.PAG-N.PAG. </w:t>
      </w:r>
      <w:proofErr w:type="gramStart"/>
      <w:r w:rsidRPr="00AC21CF">
        <w:t>doi:10.1016/j.atmosres</w:t>
      </w:r>
      <w:proofErr w:type="gramEnd"/>
      <w:r w:rsidRPr="00AC21CF">
        <w:t>.2022.106271.</w:t>
      </w:r>
    </w:p>
    <w:p w14:paraId="0E0C6152" w14:textId="77777777" w:rsidR="00AC21CF" w:rsidRPr="00AC21CF" w:rsidRDefault="00AC21CF" w:rsidP="00AC21CF">
      <w:pPr>
        <w:pStyle w:val="Bibliography"/>
      </w:pPr>
      <w:r w:rsidRPr="00AC21CF">
        <w:t>Nawaz, M. Omar. 2023. “An Adjoint Sensitivity Framework for Public Health: The Sources of Air Pollution and Their Current and Future Impacts at Both the Urban and National Scale.” Dissertation, University of Colorado, Boulder. https://scholar.colorado.edu/concern/graduate_thesis_or_dissertations/q237ht48v.</w:t>
      </w:r>
    </w:p>
    <w:p w14:paraId="0BFE377F" w14:textId="77777777" w:rsidR="00AC21CF" w:rsidRPr="00AC21CF" w:rsidRDefault="00AC21CF" w:rsidP="00AC21CF">
      <w:pPr>
        <w:pStyle w:val="Bibliography"/>
      </w:pPr>
      <w:r w:rsidRPr="00AC21CF">
        <w:t xml:space="preserve">Northeim, K, C Tiwari, and J Oppong. 2021. “Surface Ozone Monitoring and Policy: A Geospatial Decision Support Tool for Suitable Location of Monitoring Stations in Urban Areas.” </w:t>
      </w:r>
      <w:r w:rsidRPr="00AC21CF">
        <w:rPr>
          <w:i/>
          <w:iCs/>
        </w:rPr>
        <w:t>ENVIRONMENTAL SCIENCE &amp; POLICY</w:t>
      </w:r>
      <w:r w:rsidRPr="00AC21CF">
        <w:t xml:space="preserve"> 126 (December): 48–59. </w:t>
      </w:r>
      <w:proofErr w:type="gramStart"/>
      <w:r w:rsidRPr="00AC21CF">
        <w:t>doi:10.1016/j.envsci</w:t>
      </w:r>
      <w:proofErr w:type="gramEnd"/>
      <w:r w:rsidRPr="00AC21CF">
        <w:t>.2021.09.011.</w:t>
      </w:r>
    </w:p>
    <w:p w14:paraId="32A3B929" w14:textId="77777777" w:rsidR="00AC21CF" w:rsidRPr="00AC21CF" w:rsidRDefault="00AC21CF" w:rsidP="00AC21CF">
      <w:pPr>
        <w:pStyle w:val="Bibliography"/>
      </w:pPr>
      <w:r w:rsidRPr="00AC21CF">
        <w:lastRenderedPageBreak/>
        <w:t xml:space="preserve">Probst, Benedict S., Malte </w:t>
      </w:r>
      <w:proofErr w:type="spellStart"/>
      <w:r w:rsidRPr="00AC21CF">
        <w:t>Toetzke</w:t>
      </w:r>
      <w:proofErr w:type="spellEnd"/>
      <w:r w:rsidRPr="00AC21CF">
        <w:t xml:space="preserve">, Andreas </w:t>
      </w:r>
      <w:proofErr w:type="spellStart"/>
      <w:r w:rsidRPr="00AC21CF">
        <w:t>Kontoleon</w:t>
      </w:r>
      <w:proofErr w:type="spellEnd"/>
      <w:r w:rsidRPr="00AC21CF">
        <w:t xml:space="preserve">, Laura Díaz </w:t>
      </w:r>
      <w:proofErr w:type="spellStart"/>
      <w:r w:rsidRPr="00AC21CF">
        <w:t>Anadón</w:t>
      </w:r>
      <w:proofErr w:type="spellEnd"/>
      <w:r w:rsidRPr="00AC21CF">
        <w:t xml:space="preserve">, Jan C. Minx, Barbara K. Haya, Lambert Schneider, et al. 2024. “Systematic Assessment of the Achieved Emission Reductions of Carbon Crediting Projects.” </w:t>
      </w:r>
      <w:r w:rsidRPr="00AC21CF">
        <w:rPr>
          <w:i/>
          <w:iCs/>
        </w:rPr>
        <w:t>Nature Communications</w:t>
      </w:r>
      <w:r w:rsidRPr="00AC21CF">
        <w:t xml:space="preserve"> 15 (1). Springer Science and Business Media LLC. doi:10.1038/s41467-024-53645-z.</w:t>
      </w:r>
    </w:p>
    <w:p w14:paraId="4E03324F" w14:textId="77777777" w:rsidR="00AC21CF" w:rsidRPr="00AC21CF" w:rsidRDefault="00AC21CF" w:rsidP="00AC21CF">
      <w:pPr>
        <w:pStyle w:val="Bibliography"/>
      </w:pPr>
      <w:r w:rsidRPr="00AC21CF">
        <w:t xml:space="preserve">Schell, B, IJ </w:t>
      </w:r>
      <w:proofErr w:type="spellStart"/>
      <w:r w:rsidRPr="00AC21CF">
        <w:t>Ackemann</w:t>
      </w:r>
      <w:proofErr w:type="spellEnd"/>
      <w:r w:rsidRPr="00AC21CF">
        <w:t xml:space="preserve">, and H Hass. 2002. “Reformulated and Alternative Fuels: Modeled Impacts on Regional Air Quality with Special Emphasis on Surface Ozone Concentration.” </w:t>
      </w:r>
      <w:r w:rsidRPr="00AC21CF">
        <w:rPr>
          <w:i/>
          <w:iCs/>
        </w:rPr>
        <w:t>ENVIRONMENTAL SCIENCE &amp; TECHNOLOGY</w:t>
      </w:r>
      <w:r w:rsidRPr="00AC21CF">
        <w:t xml:space="preserve"> 36 (14): 3147–56. doi:10.1021/es015817m.</w:t>
      </w:r>
    </w:p>
    <w:p w14:paraId="6BADE76C" w14:textId="77777777" w:rsidR="00AC21CF" w:rsidRPr="00AC21CF" w:rsidRDefault="00AC21CF" w:rsidP="00AC21CF">
      <w:pPr>
        <w:pStyle w:val="Bibliography"/>
      </w:pPr>
      <w:r w:rsidRPr="00AC21CF">
        <w:t xml:space="preserve">Schlink, Uwe, </w:t>
      </w:r>
      <w:proofErr w:type="spellStart"/>
      <w:r w:rsidRPr="00AC21CF">
        <w:t>Olf</w:t>
      </w:r>
      <w:proofErr w:type="spellEnd"/>
      <w:r w:rsidRPr="00AC21CF">
        <w:t xml:space="preserve"> Herbarth, Matthias Richter, Stephen Dorling, Giuseppe Nunnari, Gavin Cawley, and Emil Pelikan. 2006. “Statistical Models to Assess the Health Effects and to Forecast Ground-Level Ozone.” </w:t>
      </w:r>
      <w:r w:rsidRPr="00AC21CF">
        <w:rPr>
          <w:i/>
          <w:iCs/>
        </w:rPr>
        <w:t>Environmental Modelling &amp; Software</w:t>
      </w:r>
      <w:r w:rsidRPr="00AC21CF">
        <w:t xml:space="preserve"> 21 (4): 547–58. </w:t>
      </w:r>
      <w:proofErr w:type="gramStart"/>
      <w:r w:rsidRPr="00AC21CF">
        <w:t>doi:10.1016/j.envsoft</w:t>
      </w:r>
      <w:proofErr w:type="gramEnd"/>
      <w:r w:rsidRPr="00AC21CF">
        <w:t>.2004.12.002.</w:t>
      </w:r>
    </w:p>
    <w:p w14:paraId="09941B90" w14:textId="77777777" w:rsidR="00AC21CF" w:rsidRPr="00AC21CF" w:rsidRDefault="00AC21CF" w:rsidP="00AC21CF">
      <w:pPr>
        <w:pStyle w:val="Bibliography"/>
      </w:pPr>
      <w:r w:rsidRPr="00AC21CF">
        <w:t xml:space="preserve">Shah, Sachi, Tvisha Modi, Janki Kanakia, Esha Shah, Kayvan Shah, and Archana Nanade. 2024. “A Comprehensive Approach to Unify Carbon Registries Data Access.” In </w:t>
      </w:r>
      <w:r w:rsidRPr="00AC21CF">
        <w:rPr>
          <w:i/>
          <w:iCs/>
        </w:rPr>
        <w:t>2024 OITS International Conference on Information Technology (OCIT)</w:t>
      </w:r>
      <w:r w:rsidRPr="00AC21CF">
        <w:t>, 525–29. Vijayawada, India: IEEE. doi:10.1109/ocit65031.2024.00097.</w:t>
      </w:r>
    </w:p>
    <w:p w14:paraId="11F22A93" w14:textId="77777777" w:rsidR="00AC21CF" w:rsidRPr="00AC21CF" w:rsidRDefault="00AC21CF" w:rsidP="00AC21CF">
      <w:pPr>
        <w:pStyle w:val="Bibliography"/>
      </w:pPr>
      <w:r w:rsidRPr="00AC21CF">
        <w:t xml:space="preserve">Sperling, Erik A., Thomas H. Boag, Murray I. Duncan, Cecilia R. </w:t>
      </w:r>
      <w:proofErr w:type="spellStart"/>
      <w:r w:rsidRPr="00AC21CF">
        <w:t>Endriga</w:t>
      </w:r>
      <w:proofErr w:type="spellEnd"/>
      <w:r w:rsidRPr="00AC21CF">
        <w:t xml:space="preserve">, J. Andres Marquez, Daniel B. Mills, Pedro M. Monarrez, Judith A. Sclafani, Richard G. Stockey, and Jonathan L. Payne. 2022. “Breathless through Time: Oxygen and Animals across Earth’s History.” </w:t>
      </w:r>
      <w:r w:rsidRPr="00AC21CF">
        <w:rPr>
          <w:i/>
          <w:iCs/>
        </w:rPr>
        <w:t>The Biological Bulletin</w:t>
      </w:r>
      <w:r w:rsidRPr="00AC21CF">
        <w:t xml:space="preserve"> 243 (2): 184–206. doi:10.1086/721754.</w:t>
      </w:r>
    </w:p>
    <w:p w14:paraId="1257F2EA" w14:textId="77777777" w:rsidR="00AC21CF" w:rsidRPr="00AC21CF" w:rsidRDefault="00AC21CF" w:rsidP="00AC21CF">
      <w:pPr>
        <w:pStyle w:val="Bibliography"/>
      </w:pPr>
      <w:r w:rsidRPr="00AC21CF">
        <w:t xml:space="preserve">Staehle, Christoph, Harald E. Rieder, and Arlene M. Fiore. 2023. “Technical Note: An Assessment of the Performance of Statistical Bias Correction Techniques for Global Chemistry-Climate Model Surface Ozone Fields.” </w:t>
      </w:r>
      <w:proofErr w:type="spellStart"/>
      <w:r w:rsidRPr="00AC21CF">
        <w:rPr>
          <w:i/>
          <w:iCs/>
        </w:rPr>
        <w:t>EGUsphere</w:t>
      </w:r>
      <w:proofErr w:type="spellEnd"/>
      <w:r w:rsidRPr="00AC21CF">
        <w:t xml:space="preserve">, </w:t>
      </w:r>
      <w:proofErr w:type="gramStart"/>
      <w:r w:rsidRPr="00AC21CF">
        <w:t>November,</w:t>
      </w:r>
      <w:proofErr w:type="gramEnd"/>
      <w:r w:rsidRPr="00AC21CF">
        <w:t xml:space="preserve"> 1–21. doi:10.5194/egusphere-2023-2743.</w:t>
      </w:r>
    </w:p>
    <w:p w14:paraId="530EC69C" w14:textId="77777777" w:rsidR="00AC21CF" w:rsidRPr="00AC21CF" w:rsidRDefault="00AC21CF" w:rsidP="00AC21CF">
      <w:pPr>
        <w:pStyle w:val="Bibliography"/>
      </w:pPr>
      <w:r w:rsidRPr="00AC21CF">
        <w:t xml:space="preserve">Tanimoto, H., Y. Sawa, S. Yonemura, K. </w:t>
      </w:r>
      <w:proofErr w:type="spellStart"/>
      <w:r w:rsidRPr="00AC21CF">
        <w:t>Yumimoto</w:t>
      </w:r>
      <w:proofErr w:type="spellEnd"/>
      <w:r w:rsidRPr="00AC21CF">
        <w:t xml:space="preserve">, H. Matsueda, I. Uno, T. Hayasaka, et al. 2008. “Diagnosing Recent CO Emissions and Springtime O3 Evolution in East Asia Using Coordinated Ground-Based Observations of O3 and CO during the East Asian Regional Experiment (EAREX) 2005 Campaign.” </w:t>
      </w:r>
      <w:r w:rsidRPr="00AC21CF">
        <w:rPr>
          <w:i/>
          <w:iCs/>
        </w:rPr>
        <w:t>Atmospheric Chemistry &amp; Physics Discussions</w:t>
      </w:r>
      <w:r w:rsidRPr="00AC21CF">
        <w:t xml:space="preserve"> 8 (1). Copernicus Gesellschaft </w:t>
      </w:r>
      <w:proofErr w:type="spellStart"/>
      <w:r w:rsidRPr="00AC21CF">
        <w:t>mbH</w:t>
      </w:r>
      <w:proofErr w:type="spellEnd"/>
      <w:r w:rsidRPr="00AC21CF">
        <w:t>: 3525–61. doi:10.5194/acpd-8-3525-2008.</w:t>
      </w:r>
    </w:p>
    <w:p w14:paraId="78E63313" w14:textId="77777777" w:rsidR="00AC21CF" w:rsidRPr="00AC21CF" w:rsidRDefault="00AC21CF" w:rsidP="00AC21CF">
      <w:pPr>
        <w:pStyle w:val="Bibliography"/>
      </w:pPr>
      <w:proofErr w:type="spellStart"/>
      <w:r w:rsidRPr="00AC21CF">
        <w:t>Trouwloon</w:t>
      </w:r>
      <w:proofErr w:type="spellEnd"/>
      <w:r w:rsidRPr="00AC21CF">
        <w:t xml:space="preserve">, Danick, Charlotte Streck, Thiago Chagas, and </w:t>
      </w:r>
      <w:proofErr w:type="spellStart"/>
      <w:r w:rsidRPr="00AC21CF">
        <w:t>Glenpherd</w:t>
      </w:r>
      <w:proofErr w:type="spellEnd"/>
      <w:r w:rsidRPr="00AC21CF">
        <w:t xml:space="preserve"> Martinus. 2023. “Understanding the Use of Carbon Credits by Companies: A Review of the Defining Elements of Corporate Climate Claims.” </w:t>
      </w:r>
      <w:r w:rsidRPr="00AC21CF">
        <w:rPr>
          <w:i/>
          <w:iCs/>
        </w:rPr>
        <w:t>Global Challenges (Hoboken, NJ)</w:t>
      </w:r>
      <w:r w:rsidRPr="00AC21CF">
        <w:t xml:space="preserve"> 7 (4): 2200158. doi:10.1002/gch2.202200158.</w:t>
      </w:r>
    </w:p>
    <w:p w14:paraId="32424907" w14:textId="77777777" w:rsidR="00AC21CF" w:rsidRPr="00AC21CF" w:rsidRDefault="00AC21CF" w:rsidP="00AC21CF">
      <w:pPr>
        <w:pStyle w:val="Bibliography"/>
      </w:pPr>
      <w:r w:rsidRPr="00AC21CF">
        <w:t xml:space="preserve">Venkanna, R, GN Nikhil, TS Rao, PR Sinha, and YV Swamy. 2015. “Environmental Monitoring of Surface Ozone and Other Trace Gases over Different Time Scales: Chemistry, Transport and Modeling.” </w:t>
      </w:r>
      <w:r w:rsidRPr="00AC21CF">
        <w:rPr>
          <w:i/>
          <w:iCs/>
        </w:rPr>
        <w:t>INTERNATIONAL JOURNAL OF ENVIRONMENTAL SCIENCE AND TECHNOLOGY</w:t>
      </w:r>
      <w:r w:rsidRPr="00AC21CF">
        <w:t xml:space="preserve"> 12 (5): 1749–58. doi:10.1007/s13762-014-0537-8.</w:t>
      </w:r>
    </w:p>
    <w:p w14:paraId="7294349D" w14:textId="65F6D63D" w:rsidR="00AC21CF" w:rsidRPr="00E0133D" w:rsidRDefault="00AC21CF" w:rsidP="00AC21CF">
      <w:pPr>
        <w:pStyle w:val="Bibliography"/>
        <w:rPr>
          <w:szCs w:val="24"/>
        </w:rPr>
      </w:pPr>
      <w:r w:rsidRPr="00AC21CF">
        <w:t xml:space="preserve">Yin, CQ, XJ Deng, Y Zou, F Solmon, F Li, and T Deng. 2019. “Trend Analysis of Surface Ozone at Suburban Guangzhou, China.” </w:t>
      </w:r>
      <w:r w:rsidRPr="00AC21CF">
        <w:rPr>
          <w:i/>
          <w:iCs/>
        </w:rPr>
        <w:t>SCIENCE OF THE TOTAL ENVIRONMENT</w:t>
      </w:r>
      <w:r w:rsidRPr="00AC21CF">
        <w:t xml:space="preserve"> 695 (December). </w:t>
      </w:r>
      <w:proofErr w:type="gramStart"/>
      <w:r w:rsidRPr="00AC21CF">
        <w:t>doi:10.1016/j.scitotenv</w:t>
      </w:r>
      <w:proofErr w:type="gramEnd"/>
      <w:r w:rsidRPr="00AC21CF">
        <w:t>.2019.133880.</w:t>
      </w:r>
      <w:r>
        <w:rPr>
          <w:szCs w:val="24"/>
        </w:rPr>
        <w:fldChar w:fldCharType="end"/>
      </w:r>
    </w:p>
    <w:sectPr w:rsidR="00AC21CF" w:rsidRPr="00E0133D" w:rsidSect="00E0133D">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 " w:date="2025-07-17T15:26:00Z" w:initials="GC">
    <w:p w14:paraId="00E9A806" w14:textId="77777777" w:rsidR="00E0133D" w:rsidRDefault="00E0133D" w:rsidP="00E0133D">
      <w:r>
        <w:rPr>
          <w:rStyle w:val="CommentReference"/>
          <w:rFonts w:eastAsiaTheme="majorEastAsia"/>
        </w:rPr>
        <w:annotationRef/>
      </w:r>
      <w:r>
        <w:rPr>
          <w:iCs/>
          <w:sz w:val="20"/>
        </w:rPr>
        <w:t xml:space="preserve">We can go directly to the ozone by skipping the background in atmo chemistry. Just saying high ozone exposure can increase health burden and therefore mapping surface ozone is important. </w:t>
      </w:r>
    </w:p>
  </w:comment>
  <w:comment w:id="3" w:author="Ryan Erickson" w:date="2025-07-17T12:01:00Z" w:initials="RE">
    <w:p w14:paraId="1EDFADF2" w14:textId="77777777" w:rsidR="00E0133D" w:rsidRDefault="00E0133D" w:rsidP="00E0133D">
      <w:pPr>
        <w:pStyle w:val="CommentText"/>
      </w:pPr>
      <w:r>
        <w:rPr>
          <w:rStyle w:val="CommentReference"/>
          <w:rFonts w:eastAsiaTheme="majorEastAsia"/>
        </w:rPr>
        <w:annotationRef/>
      </w:r>
      <w:r>
        <w:t>How about adding it to the end as potential reasoning for the necessity a better establishment of a nationwide policy for a business credit not unlike carbon credits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E9A806" w15:done="0"/>
  <w15:commentEx w15:paraId="1EDFADF2" w15:paraIdParent="00E9A8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E56559C" w16cex:dateUtc="2025-07-17T07:26:00Z"/>
  <w16cex:commentExtensible w16cex:durableId="32A3127F" w16cex:dateUtc="2025-07-17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E9A806" w16cid:durableId="1E56559C"/>
  <w16cid:commentId w16cid:paraId="1EDFADF2" w16cid:durableId="32A312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AD7D5" w14:textId="77777777" w:rsidR="006D0C91" w:rsidRDefault="006D0C91" w:rsidP="00E0133D">
      <w:r>
        <w:separator/>
      </w:r>
    </w:p>
  </w:endnote>
  <w:endnote w:type="continuationSeparator" w:id="0">
    <w:p w14:paraId="4C9253A1" w14:textId="77777777" w:rsidR="006D0C91" w:rsidRDefault="006D0C91" w:rsidP="00E0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9185544"/>
      <w:docPartObj>
        <w:docPartGallery w:val="Page Numbers (Bottom of Page)"/>
        <w:docPartUnique/>
      </w:docPartObj>
    </w:sdtPr>
    <w:sdtEndPr>
      <w:rPr>
        <w:noProof/>
      </w:rPr>
    </w:sdtEndPr>
    <w:sdtContent>
      <w:p w14:paraId="38EAF1ED" w14:textId="1DC6A16C" w:rsidR="00E0133D" w:rsidRDefault="00E013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11CD34" w14:textId="77777777" w:rsidR="00E0133D" w:rsidRDefault="00E01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3B888" w14:textId="77777777" w:rsidR="006D0C91" w:rsidRDefault="006D0C91" w:rsidP="00E0133D">
      <w:r>
        <w:separator/>
      </w:r>
    </w:p>
  </w:footnote>
  <w:footnote w:type="continuationSeparator" w:id="0">
    <w:p w14:paraId="102E65A0" w14:textId="77777777" w:rsidR="006D0C91" w:rsidRDefault="006D0C91" w:rsidP="00E0133D">
      <w:r>
        <w:continuationSeparator/>
      </w:r>
    </w:p>
  </w:footnote>
  <w:footnote w:id="1">
    <w:p w14:paraId="0620E680" w14:textId="77777777" w:rsidR="00E0133D" w:rsidRPr="00E0133D" w:rsidRDefault="00E0133D" w:rsidP="00E0133D">
      <w:pPr>
        <w:pStyle w:val="FootnoteText"/>
        <w:rPr>
          <w:i w:val="0"/>
          <w:iCs/>
        </w:rPr>
      </w:pPr>
      <w:r w:rsidRPr="00E0133D">
        <w:rPr>
          <w:rStyle w:val="FootnoteReference"/>
          <w:i w:val="0"/>
          <w:iCs/>
        </w:rPr>
        <w:footnoteRef/>
      </w:r>
      <w:r w:rsidRPr="00E0133D">
        <w:rPr>
          <w:i w:val="0"/>
          <w:iCs/>
        </w:rPr>
        <w:t xml:space="preserve"> </w:t>
      </w:r>
      <w:r w:rsidRPr="00E0133D">
        <w:rPr>
          <w:rFonts w:ascii="Century Schoolbook" w:hAnsi="Century Schoolbook"/>
          <w:i w:val="0"/>
          <w:iCs/>
        </w:rPr>
        <w:t>Multiple-scale Atmospheric Transport and Chemistry modelling system, in this case, version 4.4.0</w:t>
      </w:r>
    </w:p>
  </w:footnote>
  <w:footnote w:id="2">
    <w:p w14:paraId="3737635A" w14:textId="77777777" w:rsidR="00E0133D" w:rsidRDefault="00E0133D" w:rsidP="00E0133D">
      <w:pPr>
        <w:pStyle w:val="FootnoteText"/>
      </w:pPr>
      <w:r w:rsidRPr="00E0133D">
        <w:rPr>
          <w:rStyle w:val="FootnoteReference"/>
          <w:i w:val="0"/>
          <w:iCs/>
        </w:rPr>
        <w:footnoteRef/>
      </w:r>
      <w:r w:rsidRPr="00E0133D">
        <w:rPr>
          <w:i w:val="0"/>
          <w:iCs/>
        </w:rPr>
        <w:t xml:space="preserve"> </w:t>
      </w:r>
      <w:proofErr w:type="spellStart"/>
      <w:r w:rsidRPr="00E0133D">
        <w:rPr>
          <w:rFonts w:ascii="Century Schoolbook" w:hAnsi="Century Schoolbook"/>
          <w:i w:val="0"/>
          <w:iCs/>
        </w:rPr>
        <w:t>I.e</w:t>
      </w:r>
      <w:proofErr w:type="spellEnd"/>
      <w:r w:rsidRPr="00E0133D">
        <w:rPr>
          <w:rFonts w:ascii="Century Schoolbook" w:hAnsi="Century Schoolbook"/>
          <w:i w:val="0"/>
          <w:iCs/>
        </w:rPr>
        <w:t xml:space="preserve"> not pre-processed via methods mentioned in Google Earth Engine in chapter</w:t>
      </w:r>
      <w:r w:rsidRPr="00E0133D">
        <w:rPr>
          <w:rFonts w:ascii="Century Schoolbook" w:hAnsi="Century Schoolbook"/>
        </w:rPr>
        <w:t xml:space="preserve"> </w:t>
      </w:r>
      <w:r>
        <w:rPr>
          <w:rFonts w:ascii="Century Schoolbook" w:hAnsi="Century Schoolbook"/>
        </w:rPr>
        <w:t>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F31F73"/>
    <w:multiLevelType w:val="hybridMultilevel"/>
    <w:tmpl w:val="8CE22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63DCE"/>
    <w:multiLevelType w:val="hybridMultilevel"/>
    <w:tmpl w:val="8D4E6692"/>
    <w:lvl w:ilvl="0" w:tplc="24C87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3973818">
    <w:abstractNumId w:val="0"/>
  </w:num>
  <w:num w:numId="2" w16cid:durableId="1187670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 ">
    <w15:presenceInfo w15:providerId="AD" w15:userId="S::guofeng.cao@ttu.edu::f13e4c10-4d14-4378-ae3a-12dde15fbcdf"/>
  </w15:person>
  <w15:person w15:author="Ryan Erickson">
    <w15:presenceInfo w15:providerId="AD" w15:userId="S::ryer7052@colorado.edu::6e3278e8-8ffe-4108-9318-8dc719d34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7B"/>
    <w:rsid w:val="000163C5"/>
    <w:rsid w:val="00055129"/>
    <w:rsid w:val="000C6EC6"/>
    <w:rsid w:val="00271E56"/>
    <w:rsid w:val="005E35EB"/>
    <w:rsid w:val="006B70A6"/>
    <w:rsid w:val="006D0C91"/>
    <w:rsid w:val="007034B0"/>
    <w:rsid w:val="007F207B"/>
    <w:rsid w:val="009806F2"/>
    <w:rsid w:val="0098180C"/>
    <w:rsid w:val="00A868F0"/>
    <w:rsid w:val="00AC21CF"/>
    <w:rsid w:val="00B26B45"/>
    <w:rsid w:val="00B50E79"/>
    <w:rsid w:val="00C040BE"/>
    <w:rsid w:val="00E0133D"/>
    <w:rsid w:val="00E0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F5AA"/>
  <w15:chartTrackingRefBased/>
  <w15:docId w15:val="{AE8D687E-1B46-4533-BFBE-8AC4161F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3D"/>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 w:type="paragraph" w:styleId="Heading1">
    <w:name w:val="heading 1"/>
    <w:basedOn w:val="Normal"/>
    <w:next w:val="Normal"/>
    <w:link w:val="Heading1Char"/>
    <w:uiPriority w:val="9"/>
    <w:qFormat/>
    <w:rsid w:val="007F207B"/>
    <w:pPr>
      <w:keepNext/>
      <w:keepLines/>
      <w:overflowPunct/>
      <w:autoSpaceDE/>
      <w:autoSpaceDN/>
      <w:adjustRightInd/>
      <w:spacing w:before="360" w:after="80" w:line="278" w:lineRule="auto"/>
      <w:outlineLvl w:val="0"/>
    </w:pPr>
    <w:rPr>
      <w:rFonts w:asciiTheme="majorHAnsi" w:eastAsiaTheme="majorEastAsia" w:hAnsiTheme="majorHAnsi" w:cstheme="majorBidi"/>
      <w: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F207B"/>
    <w:pPr>
      <w:keepNext/>
      <w:keepLines/>
      <w:overflowPunct/>
      <w:autoSpaceDE/>
      <w:autoSpaceDN/>
      <w:adjustRightInd/>
      <w:spacing w:before="160" w:after="80" w:line="278" w:lineRule="auto"/>
      <w:outlineLvl w:val="1"/>
    </w:pPr>
    <w:rPr>
      <w:rFonts w:asciiTheme="majorHAnsi" w:eastAsiaTheme="majorEastAsia" w:hAnsiTheme="majorHAnsi" w:cstheme="majorBidi"/>
      <w: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F207B"/>
    <w:pPr>
      <w:keepNext/>
      <w:keepLines/>
      <w:overflowPunct/>
      <w:autoSpaceDE/>
      <w:autoSpaceDN/>
      <w:adjustRightInd/>
      <w:spacing w:before="160" w:after="80" w:line="278" w:lineRule="auto"/>
      <w:outlineLvl w:val="2"/>
    </w:pPr>
    <w:rPr>
      <w:rFonts w:asciiTheme="minorHAnsi" w:eastAsiaTheme="majorEastAsia" w:hAnsiTheme="minorHAnsi" w:cstheme="majorBidi"/>
      <w: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F207B"/>
    <w:pPr>
      <w:keepNext/>
      <w:keepLines/>
      <w:overflowPunct/>
      <w:autoSpaceDE/>
      <w:autoSpaceDN/>
      <w:adjustRightInd/>
      <w:spacing w:before="80" w:after="40" w:line="278" w:lineRule="auto"/>
      <w:outlineLvl w:val="3"/>
    </w:pPr>
    <w:rPr>
      <w:rFonts w:asciiTheme="minorHAnsi" w:eastAsiaTheme="majorEastAsia" w:hAnsiTheme="minorHAnsi" w:cstheme="majorBid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7F207B"/>
    <w:pPr>
      <w:keepNext/>
      <w:keepLines/>
      <w:overflowPunct/>
      <w:autoSpaceDE/>
      <w:autoSpaceDN/>
      <w:adjustRightInd/>
      <w:spacing w:before="80" w:after="40" w:line="278" w:lineRule="auto"/>
      <w:outlineLvl w:val="4"/>
    </w:pPr>
    <w:rPr>
      <w:rFonts w:asciiTheme="minorHAnsi" w:eastAsiaTheme="majorEastAsia" w:hAnsiTheme="minorHAnsi" w:cstheme="majorBidi"/>
      <w: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7F207B"/>
    <w:pPr>
      <w:keepNext/>
      <w:keepLines/>
      <w:overflowPunct/>
      <w:autoSpaceDE/>
      <w:autoSpaceDN/>
      <w:adjustRightInd/>
      <w:spacing w:before="40" w:line="278" w:lineRule="auto"/>
      <w:outlineLvl w:val="5"/>
    </w:pPr>
    <w:rPr>
      <w:rFonts w:asciiTheme="minorHAnsi" w:eastAsiaTheme="majorEastAsia" w:hAnsiTheme="minorHAnsi" w:cstheme="majorBid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7F207B"/>
    <w:pPr>
      <w:keepNext/>
      <w:keepLines/>
      <w:overflowPunct/>
      <w:autoSpaceDE/>
      <w:autoSpaceDN/>
      <w:adjustRightInd/>
      <w:spacing w:before="40" w:line="278" w:lineRule="auto"/>
      <w:outlineLvl w:val="6"/>
    </w:pPr>
    <w:rPr>
      <w:rFonts w:asciiTheme="minorHAnsi" w:eastAsiaTheme="majorEastAsia" w:hAnsiTheme="minorHAnsi" w:cstheme="majorBidi"/>
      <w: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7F207B"/>
    <w:pPr>
      <w:keepNext/>
      <w:keepLines/>
      <w:overflowPunct/>
      <w:autoSpaceDE/>
      <w:autoSpaceDN/>
      <w:adjustRightInd/>
      <w:spacing w:line="278" w:lineRule="auto"/>
      <w:outlineLvl w:val="7"/>
    </w:pPr>
    <w:rPr>
      <w:rFonts w:asciiTheme="minorHAnsi" w:eastAsiaTheme="majorEastAsia" w:hAnsiTheme="minorHAnsi" w:cstheme="majorBid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7F207B"/>
    <w:pPr>
      <w:keepNext/>
      <w:keepLines/>
      <w:overflowPunct/>
      <w:autoSpaceDE/>
      <w:autoSpaceDN/>
      <w:adjustRightInd/>
      <w:spacing w:line="278" w:lineRule="auto"/>
      <w:outlineLvl w:val="8"/>
    </w:pPr>
    <w:rPr>
      <w:rFonts w:asciiTheme="minorHAnsi" w:eastAsiaTheme="majorEastAsia" w:hAnsiTheme="minorHAnsi" w:cstheme="majorBidi"/>
      <w:i/>
      <w:color w:val="272727" w:themeColor="text1" w:themeTint="D8"/>
      <w:kern w:val="2"/>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07B"/>
    <w:rPr>
      <w:rFonts w:eastAsiaTheme="majorEastAsia" w:cstheme="majorBidi"/>
      <w:color w:val="272727" w:themeColor="text1" w:themeTint="D8"/>
    </w:rPr>
  </w:style>
  <w:style w:type="paragraph" w:styleId="Title">
    <w:name w:val="Title"/>
    <w:basedOn w:val="Normal"/>
    <w:next w:val="Normal"/>
    <w:link w:val="TitleChar"/>
    <w:uiPriority w:val="10"/>
    <w:qFormat/>
    <w:rsid w:val="007F207B"/>
    <w:pPr>
      <w:overflowPunct/>
      <w:autoSpaceDE/>
      <w:autoSpaceDN/>
      <w:adjustRightInd/>
      <w:spacing w:after="80"/>
      <w:contextualSpacing/>
    </w:pPr>
    <w:rPr>
      <w:rFonts w:asciiTheme="majorHAnsi" w:eastAsiaTheme="majorEastAsia" w:hAnsiTheme="majorHAnsi" w:cstheme="majorBidi"/>
      <w:i/>
      <w:spacing w:val="-10"/>
      <w:kern w:val="28"/>
      <w:sz w:val="56"/>
      <w:szCs w:val="56"/>
      <w14:ligatures w14:val="standardContextual"/>
    </w:rPr>
  </w:style>
  <w:style w:type="character" w:customStyle="1" w:styleId="TitleChar">
    <w:name w:val="Title Char"/>
    <w:basedOn w:val="DefaultParagraphFont"/>
    <w:link w:val="Title"/>
    <w:uiPriority w:val="10"/>
    <w:rsid w:val="007F2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07B"/>
    <w:pPr>
      <w:numPr>
        <w:ilvl w:val="1"/>
      </w:numPr>
      <w:overflowPunct/>
      <w:autoSpaceDE/>
      <w:autoSpaceDN/>
      <w:adjustRightInd/>
      <w:spacing w:after="160" w:line="278" w:lineRule="auto"/>
    </w:pPr>
    <w:rPr>
      <w:rFonts w:asciiTheme="minorHAnsi" w:eastAsiaTheme="majorEastAsia" w:hAnsiTheme="minorHAnsi" w:cstheme="majorBidi"/>
      <w: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F2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07B"/>
    <w:pPr>
      <w:overflowPunct/>
      <w:autoSpaceDE/>
      <w:autoSpaceDN/>
      <w:adjustRightInd/>
      <w:spacing w:before="160" w:after="160" w:line="278" w:lineRule="auto"/>
      <w:jc w:val="center"/>
    </w:pPr>
    <w:rPr>
      <w:rFonts w:asciiTheme="minorHAnsi" w:eastAsiaTheme="minorHAnsi" w:hAnsiTheme="minorHAnsi" w:cstheme="minorBid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7F207B"/>
    <w:rPr>
      <w:i/>
      <w:iCs/>
      <w:color w:val="404040" w:themeColor="text1" w:themeTint="BF"/>
    </w:rPr>
  </w:style>
  <w:style w:type="paragraph" w:styleId="ListParagraph">
    <w:name w:val="List Paragraph"/>
    <w:basedOn w:val="Normal"/>
    <w:uiPriority w:val="34"/>
    <w:qFormat/>
    <w:rsid w:val="007F207B"/>
    <w:pPr>
      <w:overflowPunct/>
      <w:autoSpaceDE/>
      <w:autoSpaceDN/>
      <w:adjustRightInd/>
      <w:spacing w:after="160" w:line="278" w:lineRule="auto"/>
      <w:ind w:left="720"/>
      <w:contextualSpacing/>
    </w:pPr>
    <w:rPr>
      <w:rFonts w:asciiTheme="minorHAnsi" w:eastAsiaTheme="minorHAnsi" w:hAnsiTheme="minorHAnsi" w:cstheme="minorBidi"/>
      <w:i/>
      <w:kern w:val="2"/>
      <w:szCs w:val="24"/>
      <w14:ligatures w14:val="standardContextual"/>
    </w:rPr>
  </w:style>
  <w:style w:type="character" w:styleId="IntenseEmphasis">
    <w:name w:val="Intense Emphasis"/>
    <w:basedOn w:val="DefaultParagraphFont"/>
    <w:uiPriority w:val="21"/>
    <w:qFormat/>
    <w:rsid w:val="007F207B"/>
    <w:rPr>
      <w:i/>
      <w:iCs/>
      <w:color w:val="0F4761" w:themeColor="accent1" w:themeShade="BF"/>
    </w:rPr>
  </w:style>
  <w:style w:type="paragraph" w:styleId="IntenseQuote">
    <w:name w:val="Intense Quote"/>
    <w:basedOn w:val="Normal"/>
    <w:next w:val="Normal"/>
    <w:link w:val="IntenseQuoteChar"/>
    <w:uiPriority w:val="30"/>
    <w:qFormat/>
    <w:rsid w:val="007F207B"/>
    <w:pPr>
      <w:pBdr>
        <w:top w:val="single" w:sz="4" w:space="10" w:color="0F4761" w:themeColor="accent1" w:themeShade="BF"/>
        <w:bottom w:val="single" w:sz="4" w:space="10" w:color="0F4761" w:themeColor="accent1" w:themeShade="BF"/>
      </w:pBdr>
      <w:overflowPunct/>
      <w:autoSpaceDE/>
      <w:autoSpaceDN/>
      <w:adjustRightInd/>
      <w:spacing w:before="360" w:after="360" w:line="278" w:lineRule="auto"/>
      <w:ind w:left="864" w:right="864"/>
      <w:jc w:val="center"/>
    </w:pPr>
    <w:rPr>
      <w:rFonts w:asciiTheme="minorHAnsi" w:eastAsiaTheme="minorHAnsi" w:hAnsiTheme="minorHAnsi" w:cstheme="minorBid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7F207B"/>
    <w:rPr>
      <w:i/>
      <w:iCs/>
      <w:color w:val="0F4761" w:themeColor="accent1" w:themeShade="BF"/>
    </w:rPr>
  </w:style>
  <w:style w:type="character" w:styleId="IntenseReference">
    <w:name w:val="Intense Reference"/>
    <w:basedOn w:val="DefaultParagraphFont"/>
    <w:uiPriority w:val="32"/>
    <w:qFormat/>
    <w:rsid w:val="007F207B"/>
    <w:rPr>
      <w:b/>
      <w:bCs/>
      <w:smallCaps/>
      <w:color w:val="0F4761" w:themeColor="accent1" w:themeShade="BF"/>
      <w:spacing w:val="5"/>
    </w:rPr>
  </w:style>
  <w:style w:type="character" w:styleId="CommentReference">
    <w:name w:val="annotation reference"/>
    <w:basedOn w:val="DefaultParagraphFont"/>
    <w:uiPriority w:val="99"/>
    <w:semiHidden/>
    <w:unhideWhenUsed/>
    <w:rsid w:val="007034B0"/>
    <w:rPr>
      <w:sz w:val="16"/>
      <w:szCs w:val="16"/>
    </w:rPr>
  </w:style>
  <w:style w:type="paragraph" w:styleId="CommentText">
    <w:name w:val="annotation text"/>
    <w:basedOn w:val="Normal"/>
    <w:link w:val="CommentTextChar"/>
    <w:uiPriority w:val="99"/>
    <w:unhideWhenUsed/>
    <w:rPr>
      <w:sz w:val="20"/>
    </w:rPr>
  </w:style>
  <w:style w:type="character" w:customStyle="1" w:styleId="CommentTextChar">
    <w:name w:val="Comment Text Char"/>
    <w:basedOn w:val="DefaultParagraphFont"/>
    <w:link w:val="CommentText"/>
    <w:uiPriority w:val="99"/>
    <w:rPr>
      <w:rFonts w:ascii="Century Schoolbook" w:eastAsia="Times New Roman" w:hAnsi="Century Schoolbook" w:cs="Times New Roman"/>
      <w:i/>
      <w:kern w:val="0"/>
      <w:sz w:val="20"/>
      <w:szCs w:val="20"/>
      <w14:ligatures w14:val="none"/>
    </w:rPr>
  </w:style>
  <w:style w:type="paragraph" w:styleId="FootnoteText">
    <w:name w:val="footnote text"/>
    <w:basedOn w:val="Normal"/>
    <w:link w:val="FootnoteTextChar"/>
    <w:uiPriority w:val="99"/>
    <w:semiHidden/>
    <w:unhideWhenUsed/>
    <w:rsid w:val="00E0133D"/>
    <w:pPr>
      <w:overflowPunct/>
      <w:autoSpaceDE/>
      <w:autoSpaceDN/>
      <w:adjustRightInd/>
    </w:pPr>
    <w:rPr>
      <w:rFonts w:ascii="Times New Roman" w:hAnsi="Times New Roman"/>
      <w:i/>
      <w:sz w:val="20"/>
    </w:rPr>
  </w:style>
  <w:style w:type="character" w:customStyle="1" w:styleId="FootnoteTextChar">
    <w:name w:val="Footnote Text Char"/>
    <w:basedOn w:val="DefaultParagraphFont"/>
    <w:link w:val="FootnoteText"/>
    <w:uiPriority w:val="99"/>
    <w:semiHidden/>
    <w:rsid w:val="00E0133D"/>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E0133D"/>
    <w:rPr>
      <w:vertAlign w:val="superscript"/>
    </w:rPr>
  </w:style>
  <w:style w:type="paragraph" w:styleId="Header">
    <w:name w:val="header"/>
    <w:basedOn w:val="Normal"/>
    <w:link w:val="HeaderChar"/>
    <w:uiPriority w:val="99"/>
    <w:unhideWhenUsed/>
    <w:rsid w:val="00E0133D"/>
    <w:pPr>
      <w:tabs>
        <w:tab w:val="center" w:pos="4680"/>
        <w:tab w:val="right" w:pos="9360"/>
      </w:tabs>
    </w:pPr>
  </w:style>
  <w:style w:type="character" w:customStyle="1" w:styleId="HeaderChar">
    <w:name w:val="Header Char"/>
    <w:basedOn w:val="DefaultParagraphFont"/>
    <w:link w:val="Header"/>
    <w:uiPriority w:val="99"/>
    <w:rsid w:val="00E0133D"/>
    <w:rPr>
      <w:rFonts w:ascii="Century Schoolbook" w:eastAsia="Times New Roman" w:hAnsi="Century Schoolbook" w:cs="Times New Roman"/>
      <w:i/>
      <w:kern w:val="0"/>
      <w:sz w:val="36"/>
      <w:szCs w:val="20"/>
      <w14:ligatures w14:val="none"/>
    </w:rPr>
  </w:style>
  <w:style w:type="paragraph" w:styleId="Footer">
    <w:name w:val="footer"/>
    <w:basedOn w:val="Normal"/>
    <w:link w:val="FooterChar"/>
    <w:uiPriority w:val="99"/>
    <w:unhideWhenUsed/>
    <w:rsid w:val="00E0133D"/>
    <w:pPr>
      <w:tabs>
        <w:tab w:val="center" w:pos="4680"/>
        <w:tab w:val="right" w:pos="9360"/>
      </w:tabs>
    </w:pPr>
  </w:style>
  <w:style w:type="character" w:customStyle="1" w:styleId="FooterChar">
    <w:name w:val="Footer Char"/>
    <w:basedOn w:val="DefaultParagraphFont"/>
    <w:link w:val="Footer"/>
    <w:uiPriority w:val="99"/>
    <w:rsid w:val="00E0133D"/>
    <w:rPr>
      <w:rFonts w:ascii="Century Schoolbook" w:eastAsia="Times New Roman" w:hAnsi="Century Schoolbook" w:cs="Times New Roman"/>
      <w:i/>
      <w:kern w:val="0"/>
      <w:sz w:val="36"/>
      <w:szCs w:val="20"/>
      <w14:ligatures w14:val="none"/>
    </w:rPr>
  </w:style>
  <w:style w:type="paragraph" w:styleId="Bibliography">
    <w:name w:val="Bibliography"/>
    <w:basedOn w:val="Normal"/>
    <w:next w:val="Normal"/>
    <w:uiPriority w:val="37"/>
    <w:unhideWhenUsed/>
    <w:rsid w:val="00AC21CF"/>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21648</Words>
  <Characters>123399</Characters>
  <Application>Microsoft Office Word</Application>
  <DocSecurity>0</DocSecurity>
  <Lines>1028</Lines>
  <Paragraphs>289</Paragraphs>
  <ScaleCrop>false</ScaleCrop>
  <Company/>
  <LinksUpToDate>false</LinksUpToDate>
  <CharactersWithSpaces>144758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5</cp:revision>
  <dcterms:created xsi:type="dcterms:W3CDTF">2025-07-22T22:14:00Z</dcterms:created>
  <dcterms:modified xsi:type="dcterms:W3CDTF">2025-07-25T00:13:00Z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id="kDOdxzcL"/&gt;&lt;style id="http://www.zotero.org/styles/chicago-author-date-16th-edition"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