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23211B"/>
          <w:sz w:val="44"/>
          <w:szCs w:val="44"/>
        </w:rPr>
        <w:t xml:space="preserve">Rahindren Naicker</w:t>
      </w:r>
      <w:r>
        <w:rPr>
          <w:rFonts w:ascii="Georgia" w:cs="Georgia" w:eastAsia="Georgia" w:hAnsi="Georgia"/>
          <w:b/>
          <w:bCs/>
          <w:color w:val="B07D3F"/>
          <w:sz w:val="24"/>
          <w:szCs w:val="24"/>
        </w:rPr>
        <w:t xml:space="preserve">  MBA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6F5C"/>
          <w:sz w:val="16"/>
          <w:szCs w:val="16"/>
        </w:rPr>
        <w:t xml:space="preserve">EXECUTIVE  ·  ENTREPRENEUR  ·  PHARMACEUTICAL DISTRIBUTION &amp; COMMERCIAL STRATEGY</w:t>
      </w:r>
    </w:p>
    <w:p>
      <w:pPr>
        <w:pBdr>
          <w:bottom w:val="single" w:color="B07D3F" w:sz="10" w:space="6"/>
        </w:pBdr>
        <w:spacing w:after="280"/>
      </w:pPr>
      <w:r>
        <w:rPr>
          <w:rFonts w:ascii="Calibri" w:cs="Calibri" w:eastAsia="Calibri" w:hAnsi="Calibri"/>
          <w:color w:val="56524A"/>
          <w:sz w:val="16"/>
          <w:szCs w:val="16"/>
        </w:rPr>
        <w:t xml:space="preserve">rahindren@gmail.com   ·   +27 78 417 0196   ·   rahindren.naicker.cc   ·   linkedin.com/in/rahindren-naicker-mba   ·   Bryanston, Johannesburg</w:t>
      </w:r>
    </w:p>
    <w:p>
      <w:pPr>
        <w:spacing w:after="150"/>
      </w:pPr>
      <w:r>
        <w:rPr>
          <w:rFonts w:ascii="Georgia" w:cs="Georgia" w:eastAsia="Georgia" w:hAnsi="Georgia"/>
          <w:b/>
          <w:bCs/>
          <w:color w:val="23211B"/>
          <w:sz w:val="26"/>
          <w:szCs w:val="26"/>
        </w:rPr>
        <w:t xml:space="preserve">Professional Bio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Rahindren Naicker is a results-driven executive and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entrepreneur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with more than eighteen years of leadership across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pharmaceutical distribution, retail, and footwear &amp; fashion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. His career has been defined by a single thread — taking complex, large-scale operations and turning them into clear, executable strategy that delivers measurable results.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Today, as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Business Development Executive: Africa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, he develops and manages public-sector supply and distribution of pharmaceuticals and medical supplies across multiple African territories. The mandate brings together the full breadth of his commercial skill set: market intelligence and strategy development, relationship management, sales and revenue growth, tender management, and high-stakes client contract negotiation in markets that reward those who understand both the commercial and the regulatory terrain.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His grounding in distribution and supply chain was sharpened as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New Business Manager at UPD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, where he led a team of fifteen — spanning key account management, co-ordination, despatch and fleet — and drove client and manufacturer on-boarding, contract negotiations, and the implementation of SAP and business-process initiatives. There he built efficiencies across the value chain while holding teams accountable to demanding KPIs.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Earlier, across senior roles at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Clicks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Edcon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, he carried full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profit-and-loss accountability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for some of South Africa’s best-known retail operations. As a Regional Manager he ran a R1.8 billion region of 54 stores across three provinces; as a Divisional Operations Manager he led a national cellular division of more than 300 stores and turnover of up to R3 billion, and headed cellular operations and implementation across a 148-store chain. In each, the work was the same: read the whole picture, align the organisation behind it, and build the processes and relationships that turn intent into delivery.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A confident partner at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“C” and Exco level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, Rahindren is known for complex problem solving, sound judgment, and the ability to re-engineer and streamline operations around the goals of the business. He pairs that institutional discipline with an entrepreneur’s bias for action — spotting opportunity early, taking genuine ownership of outcomes, and bringing a founder’s mindset to every commercial decision.</w:t>
      </w:r>
    </w:p>
    <w:p>
      <w:pPr>
        <w:spacing w:after="200" w:line="312"/>
      </w:pPr>
      <w:r>
        <w:rPr>
          <w:rFonts w:ascii="Calibri" w:cs="Calibri" w:eastAsia="Calibri" w:hAnsi="Calibri"/>
          <w:color w:val="23211B"/>
          <w:sz w:val="22"/>
          <w:szCs w:val="22"/>
        </w:rPr>
        <w:t xml:space="preserve">He holds an </w:t>
      </w:r>
      <w:r>
        <w:rPr>
          <w:rFonts w:ascii="Calibri" w:cs="Calibri" w:eastAsia="Calibri" w:hAnsi="Calibri"/>
          <w:b/>
          <w:bCs/>
          <w:color w:val="23211B"/>
          <w:sz w:val="22"/>
          <w:szCs w:val="22"/>
        </w:rPr>
        <w:t xml:space="preserve">MBA</w:t>
      </w:r>
      <w:r>
        <w:rPr>
          <w:rFonts w:ascii="Calibri" w:cs="Calibri" w:eastAsia="Calibri" w:hAnsi="Calibri"/>
          <w:color w:val="23211B"/>
          <w:sz w:val="22"/>
          <w:szCs w:val="22"/>
        </w:rPr>
        <w:t xml:space="preserve"> (AQF Level 9) from the Australian Institute of Business, together with a Graduate Diploma and Graduate Certificate in Management, and completed the Retail Management Development Programme at the University of Pretoria. He is based in Johannesburg, South Africa.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1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2026-06-03T19:01:15.563Z</dcterms:created>
  <dcterms:modified xsi:type="dcterms:W3CDTF">2026-06-03T19:01:15.573Z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