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jectKicker"/>
        <w:keepNext/>
      </w:pPr>
      <w:r>
        <w:t>DATASCI 209  |  FINAL PROJECT</w:t>
      </w:r>
    </w:p>
    <w:p>
      <w:pPr>
        <w:pStyle w:val="ProjectTitle"/>
        <w:keepNext/>
      </w:pPr>
      <w:r>
        <w:t>Final Presentation Speaker Plan</w:t>
      </w:r>
    </w:p>
    <w:p>
      <w:pPr>
        <w:pStyle w:val="ProjectSubtitle"/>
        <w:keepNext/>
      </w:pPr>
      <w:r>
        <w:t>A 15-minute, two-presenter run of show for Beyond Points Per Game</w:t>
      </w:r>
    </w:p>
    <w:tbl>
      <w:tblPr>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tcMar>
              <w:top w:w="80" w:type="dxa"/>
              <w:start w:w="120" w:type="dxa"/>
              <w:bottom w:w="80" w:type="dxa"/>
              <w:end w:w="120" w:type="dxa"/>
            </w:tcMar>
            <w:shd w:fill="E8EEF5"/>
            <w:vAlign w:val="center"/>
          </w:tcPr>
          <w:p>
            <w:pPr>
              <w:spacing w:before="60" w:after="60"/>
              <w:jc w:val="center"/>
            </w:pPr>
            <w:r>
              <w:rPr>
                <w:rFonts w:ascii="Calibri" w:hAnsi="Calibri"/>
                <w:b/>
                <w:color w:val="0B2545"/>
                <w:sz w:val="26"/>
              </w:rPr>
              <w:t>15:00</w:t>
              <w:br/>
            </w:r>
            <w:r>
              <w:rPr>
                <w:rFonts w:ascii="Calibri" w:hAnsi="Calibri"/>
                <w:b/>
                <w:color w:val="5E6B78"/>
                <w:sz w:val="16"/>
              </w:rPr>
              <w:t>TOTAL</w:t>
            </w:r>
          </w:p>
        </w:tc>
        <w:tc>
          <w:tcPr>
            <w:tcW w:type="dxa" w:w="2340"/>
            <w:tcMar>
              <w:top w:w="80" w:type="dxa"/>
              <w:start w:w="120" w:type="dxa"/>
              <w:bottom w:w="80" w:type="dxa"/>
              <w:end w:w="120" w:type="dxa"/>
            </w:tcMar>
            <w:shd w:fill="E8EEF5"/>
            <w:vAlign w:val="center"/>
          </w:tcPr>
          <w:p>
            <w:pPr>
              <w:spacing w:before="60" w:after="60"/>
              <w:jc w:val="center"/>
            </w:pPr>
            <w:r>
              <w:rPr>
                <w:rFonts w:ascii="Calibri" w:hAnsi="Calibri"/>
                <w:b/>
                <w:color w:val="0B2545"/>
                <w:sz w:val="26"/>
              </w:rPr>
              <w:t>10</w:t>
              <w:br/>
            </w:r>
            <w:r>
              <w:rPr>
                <w:rFonts w:ascii="Calibri" w:hAnsi="Calibri"/>
                <w:b/>
                <w:color w:val="5E6B78"/>
                <w:sz w:val="16"/>
              </w:rPr>
              <w:t>SLIDES</w:t>
            </w:r>
          </w:p>
        </w:tc>
        <w:tc>
          <w:tcPr>
            <w:tcW w:type="dxa" w:w="2340"/>
            <w:tcMar>
              <w:top w:w="80" w:type="dxa"/>
              <w:start w:w="120" w:type="dxa"/>
              <w:bottom w:w="80" w:type="dxa"/>
              <w:end w:w="120" w:type="dxa"/>
            </w:tcMar>
            <w:shd w:fill="E8EEF5"/>
            <w:vAlign w:val="center"/>
          </w:tcPr>
          <w:p>
            <w:pPr>
              <w:spacing w:before="60" w:after="60"/>
              <w:jc w:val="center"/>
            </w:pPr>
            <w:r>
              <w:rPr>
                <w:rFonts w:ascii="Calibri" w:hAnsi="Calibri"/>
                <w:b/>
                <w:color w:val="0B2545"/>
                <w:sz w:val="26"/>
              </w:rPr>
              <w:t>2</w:t>
              <w:br/>
            </w:r>
            <w:r>
              <w:rPr>
                <w:rFonts w:ascii="Calibri" w:hAnsi="Calibri"/>
                <w:b/>
                <w:color w:val="5E6B78"/>
                <w:sz w:val="16"/>
              </w:rPr>
              <w:t>LIVE DEMOS</w:t>
            </w:r>
          </w:p>
        </w:tc>
        <w:tc>
          <w:tcPr>
            <w:tcW w:type="dxa" w:w="2340"/>
            <w:tcMar>
              <w:top w:w="80" w:type="dxa"/>
              <w:start w:w="120" w:type="dxa"/>
              <w:bottom w:w="80" w:type="dxa"/>
              <w:end w:w="120" w:type="dxa"/>
            </w:tcMar>
            <w:shd w:fill="E8EEF5"/>
            <w:vAlign w:val="center"/>
          </w:tcPr>
          <w:p>
            <w:pPr>
              <w:spacing w:before="60" w:after="60"/>
              <w:jc w:val="center"/>
            </w:pPr>
            <w:r>
              <w:rPr>
                <w:rFonts w:ascii="Calibri" w:hAnsi="Calibri"/>
                <w:b/>
                <w:color w:val="0B2545"/>
                <w:sz w:val="26"/>
              </w:rPr>
              <w:t>6</w:t>
              <w:br/>
            </w:r>
            <w:r>
              <w:rPr>
                <w:rFonts w:ascii="Calibri" w:hAnsi="Calibri"/>
                <w:b/>
                <w:color w:val="5E6B78"/>
                <w:sz w:val="16"/>
              </w:rPr>
              <w:t>TESTERS</w:t>
            </w:r>
          </w:p>
        </w:tc>
      </w:tr>
    </w:tbl>
    <w:p>
      <w:pPr>
        <w:spacing w:after="40"/>
      </w:pPr>
    </w:p>
    <w:p>
      <w:pPr>
        <w:spacing w:before="80" w:after="200" w:line="288" w:lineRule="auto"/>
        <w:ind w:left="173" w:right="173"/>
        <w:shd w:fill="F4F6F9"/>
        <w:pBdr>
          <w:left w:val="single" w:sz="16" w:space="8" w:color="0A7F98"/>
        </w:pBdr>
      </w:pPr>
      <w:r>
        <w:rPr>
          <w:rFonts w:ascii="Calibri" w:hAnsi="Calibri"/>
          <w:b/>
          <w:color w:val="0A7F98"/>
          <w:sz w:val="19"/>
        </w:rPr>
        <w:t xml:space="preserve">PRESENTATION OBJECTIVE  </w:t>
      </w:r>
      <w:r>
        <w:rPr>
          <w:rFonts w:ascii="Calibri" w:hAnsi="Calibri"/>
          <w:color w:val="0B2545"/>
          <w:sz w:val="21"/>
        </w:rPr>
        <w:t>Show how the design changed after usability testing, demonstrate the final visualization in action, explain the evidence behind those changes, and justify the final tool choices. The midterm appears only as a brief before-and-after reference.</w:t>
      </w:r>
    </w:p>
    <w:p>
      <w:pPr>
        <w:pStyle w:val="Heading1"/>
      </w:pPr>
      <w:r>
        <w:t>Run of show</w:t>
      </w:r>
    </w:p>
    <w:tbl>
      <w:tblPr>
        <w:tblW w:type="dxa" w:w="9360"/>
        <w:tblLayout w:type="fixed"/>
        <w:tblLook w:firstColumn="1" w:firstRow="1" w:lastColumn="0" w:lastRow="0" w:noHBand="0" w:noVBand="1" w:val="04A0"/>
        <w:tblInd w:w="120" w:type="dxa"/>
      </w:tblPr>
      <w:tblGrid>
        <w:gridCol w:w="620"/>
        <w:gridCol w:w="1240"/>
        <w:gridCol w:w="740"/>
        <w:gridCol w:w="5130"/>
        <w:gridCol w:w="1630"/>
      </w:tblGrid>
      <w:tr>
        <w:trPr>
          <w:cantSplit/>
          <w:tblHeader w:val="true"/>
          <w:cantSplit/>
        </w:trPr>
        <w:tc>
          <w:tcPr>
            <w:tcW w:type="dxa" w:w="620"/>
            <w:tcMar>
              <w:top w:w="80" w:type="dxa"/>
              <w:start w:w="120" w:type="dxa"/>
              <w:bottom w:w="80" w:type="dxa"/>
              <w:end w:w="120" w:type="dxa"/>
            </w:tcMar>
            <w:shd w:fill="E8EEF5"/>
          </w:tcPr>
          <w:p>
            <w:pPr>
              <w:spacing w:before="20" w:after="20" w:line="269" w:lineRule="auto"/>
              <w:jc w:val="left"/>
            </w:pPr>
            <w:r>
              <w:rPr>
                <w:rFonts w:ascii="Calibri" w:hAnsi="Calibri"/>
                <w:b/>
                <w:color w:val="0B2545"/>
                <w:sz w:val="18"/>
              </w:rPr>
              <w:t>Slide</w:t>
            </w:r>
          </w:p>
        </w:tc>
        <w:tc>
          <w:tcPr>
            <w:tcW w:type="dxa" w:w="1240"/>
            <w:tcMar>
              <w:top w:w="80" w:type="dxa"/>
              <w:start w:w="120" w:type="dxa"/>
              <w:bottom w:w="80" w:type="dxa"/>
              <w:end w:w="120" w:type="dxa"/>
            </w:tcMar>
            <w:shd w:fill="E8EEF5"/>
          </w:tcPr>
          <w:p>
            <w:pPr>
              <w:spacing w:before="20" w:after="20" w:line="269" w:lineRule="auto"/>
              <w:jc w:val="left"/>
            </w:pPr>
            <w:r>
              <w:rPr>
                <w:rFonts w:ascii="Calibri" w:hAnsi="Calibri"/>
                <w:b/>
                <w:color w:val="0B2545"/>
                <w:sz w:val="18"/>
              </w:rPr>
              <w:t>Lead</w:t>
            </w:r>
          </w:p>
        </w:tc>
        <w:tc>
          <w:tcPr>
            <w:tcW w:type="dxa" w:w="740"/>
            <w:tcMar>
              <w:top w:w="80" w:type="dxa"/>
              <w:start w:w="120" w:type="dxa"/>
              <w:bottom w:w="80" w:type="dxa"/>
              <w:end w:w="120" w:type="dxa"/>
            </w:tcMar>
            <w:shd w:fill="E8EEF5"/>
          </w:tcPr>
          <w:p>
            <w:pPr>
              <w:spacing w:before="20" w:after="20" w:line="269" w:lineRule="auto"/>
              <w:jc w:val="left"/>
            </w:pPr>
            <w:r>
              <w:rPr>
                <w:rFonts w:ascii="Calibri" w:hAnsi="Calibri"/>
                <w:b/>
                <w:color w:val="0B2545"/>
                <w:sz w:val="18"/>
              </w:rPr>
              <w:t>Time</w:t>
            </w:r>
          </w:p>
        </w:tc>
        <w:tc>
          <w:tcPr>
            <w:tcW w:type="dxa" w:w="5130"/>
            <w:tcMar>
              <w:top w:w="80" w:type="dxa"/>
              <w:start w:w="120" w:type="dxa"/>
              <w:bottom w:w="80" w:type="dxa"/>
              <w:end w:w="120" w:type="dxa"/>
            </w:tcMar>
            <w:shd w:fill="E8EEF5"/>
          </w:tcPr>
          <w:p>
            <w:pPr>
              <w:spacing w:before="20" w:after="20" w:line="269" w:lineRule="auto"/>
              <w:jc w:val="left"/>
            </w:pPr>
            <w:r>
              <w:rPr>
                <w:rFonts w:ascii="Calibri" w:hAnsi="Calibri"/>
                <w:b/>
                <w:color w:val="0B2545"/>
                <w:sz w:val="18"/>
              </w:rPr>
              <w:t>Purpose and on-screen action</w:t>
            </w:r>
          </w:p>
        </w:tc>
        <w:tc>
          <w:tcPr>
            <w:tcW w:type="dxa" w:w="1630"/>
            <w:tcMar>
              <w:top w:w="80" w:type="dxa"/>
              <w:start w:w="120" w:type="dxa"/>
              <w:bottom w:w="80" w:type="dxa"/>
              <w:end w:w="120" w:type="dxa"/>
            </w:tcMar>
            <w:shd w:fill="E8EEF5"/>
          </w:tcPr>
          <w:p>
            <w:pPr>
              <w:spacing w:before="20" w:after="20" w:line="269" w:lineRule="auto"/>
              <w:jc w:val="left"/>
            </w:pPr>
            <w:r>
              <w:rPr>
                <w:rFonts w:ascii="Calibri" w:hAnsi="Calibri"/>
                <w:b/>
                <w:color w:val="0B2545"/>
                <w:sz w:val="18"/>
              </w:rPr>
              <w:t>Handoff</w:t>
            </w:r>
          </w:p>
        </w:tc>
      </w:tr>
      <w:tr>
        <w:trPr>
          <w:cantSplit/>
        </w:trPr>
        <w:tc>
          <w:tcPr>
            <w:tcW w:type="dxa" w:w="620"/>
            <w:tcMar>
              <w:top w:w="80" w:type="dxa"/>
              <w:start w:w="120" w:type="dxa"/>
              <w:bottom w:w="80" w:type="dxa"/>
              <w:end w:w="120" w:type="dxa"/>
            </w:tcMar>
          </w:tcPr>
          <w:p>
            <w:pPr>
              <w:spacing w:before="20" w:after="20" w:line="269" w:lineRule="auto"/>
              <w:jc w:val="center"/>
            </w:pPr>
            <w:r>
              <w:rPr>
                <w:rFonts w:ascii="Calibri" w:hAnsi="Calibri"/>
                <w:b/>
                <w:color w:val="0B2545"/>
                <w:sz w:val="18"/>
              </w:rPr>
              <w:t>1</w:t>
            </w:r>
          </w:p>
        </w:tc>
        <w:tc>
          <w:tcPr>
            <w:tcW w:type="dxa" w:w="1240"/>
            <w:tcMar>
              <w:top w:w="80" w:type="dxa"/>
              <w:start w:w="120" w:type="dxa"/>
              <w:bottom w:w="80" w:type="dxa"/>
              <w:end w:w="120" w:type="dxa"/>
            </w:tcMar>
          </w:tcPr>
          <w:p>
            <w:pPr>
              <w:spacing w:before="20" w:after="20" w:line="269" w:lineRule="auto"/>
              <w:jc w:val="left"/>
            </w:pPr>
            <w:r>
              <w:rPr>
                <w:rFonts w:ascii="Calibri" w:hAnsi="Calibri"/>
                <w:b/>
                <w:color w:val="2E74B5"/>
                <w:sz w:val="18"/>
              </w:rPr>
              <w:t>Kenny</w:t>
            </w:r>
          </w:p>
        </w:tc>
        <w:tc>
          <w:tcPr>
            <w:tcW w:type="dxa" w:w="740"/>
            <w:tcMar>
              <w:top w:w="80" w:type="dxa"/>
              <w:start w:w="120" w:type="dxa"/>
              <w:bottom w:w="80" w:type="dxa"/>
              <w:end w:w="120" w:type="dxa"/>
            </w:tcMar>
          </w:tcPr>
          <w:p>
            <w:pPr>
              <w:spacing w:before="20" w:after="20" w:line="269" w:lineRule="auto"/>
              <w:jc w:val="center"/>
            </w:pPr>
            <w:r>
              <w:rPr>
                <w:rFonts w:ascii="Calibri" w:hAnsi="Calibri"/>
                <w:b/>
                <w:color w:val="0B2545"/>
                <w:sz w:val="18"/>
              </w:rPr>
              <w:t>0:30</w:t>
            </w:r>
          </w:p>
        </w:tc>
        <w:tc>
          <w:tcPr>
            <w:tcW w:type="dxa" w:w="5130"/>
            <w:tcMar>
              <w:top w:w="80" w:type="dxa"/>
              <w:start w:w="120" w:type="dxa"/>
              <w:bottom w:w="80" w:type="dxa"/>
              <w:end w:w="120" w:type="dxa"/>
            </w:tcMar>
          </w:tcPr>
          <w:p>
            <w:pPr>
              <w:spacing w:before="20" w:after="20" w:line="269" w:lineRule="auto"/>
              <w:jc w:val="left"/>
            </w:pPr>
            <w:r>
              <w:rPr>
                <w:rFonts w:ascii="Calibri" w:hAnsi="Calibri"/>
                <w:b w:val="0"/>
                <w:color w:val="0B2545"/>
                <w:sz w:val="17"/>
              </w:rPr>
              <w:t>Open with the final thesis and frame the talk around change, testing, and the final interactive.</w:t>
            </w:r>
          </w:p>
        </w:tc>
        <w:tc>
          <w:tcPr>
            <w:tcW w:type="dxa" w:w="1630"/>
            <w:tcMar>
              <w:top w:w="80" w:type="dxa"/>
              <w:start w:w="120" w:type="dxa"/>
              <w:bottom w:w="80" w:type="dxa"/>
              <w:end w:w="120" w:type="dxa"/>
            </w:tcMar>
          </w:tcPr>
          <w:p>
            <w:pPr>
              <w:spacing w:before="20" w:after="20" w:line="269" w:lineRule="auto"/>
              <w:jc w:val="left"/>
            </w:pPr>
            <w:r>
              <w:rPr>
                <w:rFonts w:ascii="Calibri" w:hAnsi="Calibri"/>
                <w:b w:val="0"/>
                <w:color w:val="0B2545"/>
                <w:sz w:val="17"/>
              </w:rPr>
              <w:t>Continue into the delta.</w:t>
            </w:r>
          </w:p>
        </w:tc>
      </w:tr>
      <w:tr>
        <w:trPr>
          <w:cantSplit/>
        </w:trPr>
        <w:tc>
          <w:tcPr>
            <w:tcW w:type="dxa" w:w="620"/>
            <w:shd w:fill="F8FAFC"/>
            <w:tcMar>
              <w:top w:w="80" w:type="dxa"/>
              <w:start w:w="120" w:type="dxa"/>
              <w:bottom w:w="80" w:type="dxa"/>
              <w:end w:w="120" w:type="dxa"/>
            </w:tcMar>
          </w:tcPr>
          <w:p>
            <w:pPr>
              <w:spacing w:before="20" w:after="20" w:line="269" w:lineRule="auto"/>
              <w:jc w:val="center"/>
            </w:pPr>
            <w:r>
              <w:rPr>
                <w:rFonts w:ascii="Calibri" w:hAnsi="Calibri"/>
                <w:b/>
                <w:color w:val="0B2545"/>
                <w:sz w:val="18"/>
              </w:rPr>
              <w:t>2</w:t>
            </w:r>
          </w:p>
        </w:tc>
        <w:tc>
          <w:tcPr>
            <w:tcW w:type="dxa" w:w="1240"/>
            <w:shd w:fill="F8FAFC"/>
            <w:tcMar>
              <w:top w:w="80" w:type="dxa"/>
              <w:start w:w="120" w:type="dxa"/>
              <w:bottom w:w="80" w:type="dxa"/>
              <w:end w:w="120" w:type="dxa"/>
            </w:tcMar>
          </w:tcPr>
          <w:p>
            <w:pPr>
              <w:spacing w:before="20" w:after="20" w:line="269" w:lineRule="auto"/>
              <w:jc w:val="left"/>
            </w:pPr>
            <w:r>
              <w:rPr>
                <w:rFonts w:ascii="Calibri" w:hAnsi="Calibri"/>
                <w:b/>
                <w:color w:val="2E74B5"/>
                <w:sz w:val="18"/>
              </w:rPr>
              <w:t>Kenny</w:t>
            </w:r>
          </w:p>
        </w:tc>
        <w:tc>
          <w:tcPr>
            <w:tcW w:type="dxa" w:w="740"/>
            <w:shd w:fill="F8FAFC"/>
            <w:tcMar>
              <w:top w:w="80" w:type="dxa"/>
              <w:start w:w="120" w:type="dxa"/>
              <w:bottom w:w="80" w:type="dxa"/>
              <w:end w:w="120" w:type="dxa"/>
            </w:tcMar>
          </w:tcPr>
          <w:p>
            <w:pPr>
              <w:spacing w:before="20" w:after="20" w:line="269" w:lineRule="auto"/>
              <w:jc w:val="center"/>
            </w:pPr>
            <w:r>
              <w:rPr>
                <w:rFonts w:ascii="Calibri" w:hAnsi="Calibri"/>
                <w:b/>
                <w:color w:val="0B2545"/>
                <w:sz w:val="18"/>
              </w:rPr>
              <w:t>1:00</w:t>
            </w:r>
          </w:p>
        </w:tc>
        <w:tc>
          <w:tcPr>
            <w:tcW w:type="dxa" w:w="5130"/>
            <w:shd w:fill="F8FAFC"/>
            <w:tcMar>
              <w:top w:w="80" w:type="dxa"/>
              <w:start w:w="120" w:type="dxa"/>
              <w:bottom w:w="80" w:type="dxa"/>
              <w:end w:w="120" w:type="dxa"/>
            </w:tcMar>
          </w:tcPr>
          <w:p>
            <w:pPr>
              <w:spacing w:before="20" w:after="20" w:line="269" w:lineRule="auto"/>
              <w:jc w:val="left"/>
            </w:pPr>
            <w:r>
              <w:rPr>
                <w:rFonts w:ascii="Calibri" w:hAnsi="Calibri"/>
                <w:b w:val="0"/>
                <w:color w:val="0B2545"/>
                <w:sz w:val="17"/>
              </w:rPr>
              <w:t>Establish the midterm-to-final delta: neutral framing, persistent state, exact values, and a roster-level workflow.</w:t>
            </w:r>
          </w:p>
        </w:tc>
        <w:tc>
          <w:tcPr>
            <w:tcW w:type="dxa" w:w="1630"/>
            <w:shd w:fill="F8FAFC"/>
            <w:tcMar>
              <w:top w:w="80" w:type="dxa"/>
              <w:start w:w="120" w:type="dxa"/>
              <w:bottom w:w="80" w:type="dxa"/>
              <w:end w:w="120" w:type="dxa"/>
            </w:tcMar>
          </w:tcPr>
          <w:p>
            <w:pPr>
              <w:spacing w:before="20" w:after="20" w:line="269" w:lineRule="auto"/>
              <w:jc w:val="left"/>
            </w:pPr>
            <w:r>
              <w:rPr>
                <w:rFonts w:ascii="Calibri" w:hAnsi="Calibri"/>
                <w:b w:val="0"/>
                <w:color w:val="0B2545"/>
                <w:sz w:val="17"/>
              </w:rPr>
              <w:t>Move directly to the live Role Explorer.</w:t>
            </w:r>
          </w:p>
        </w:tc>
      </w:tr>
      <w:tr>
        <w:trPr>
          <w:cantSplit/>
        </w:trPr>
        <w:tc>
          <w:tcPr>
            <w:tcW w:type="dxa" w:w="620"/>
            <w:tcMar>
              <w:top w:w="80" w:type="dxa"/>
              <w:start w:w="120" w:type="dxa"/>
              <w:bottom w:w="80" w:type="dxa"/>
              <w:end w:w="120" w:type="dxa"/>
            </w:tcMar>
          </w:tcPr>
          <w:p>
            <w:pPr>
              <w:spacing w:before="20" w:after="20" w:line="269" w:lineRule="auto"/>
              <w:jc w:val="center"/>
            </w:pPr>
            <w:r>
              <w:rPr>
                <w:rFonts w:ascii="Calibri" w:hAnsi="Calibri"/>
                <w:b/>
                <w:color w:val="0B2545"/>
                <w:sz w:val="18"/>
              </w:rPr>
              <w:t>3</w:t>
            </w:r>
          </w:p>
        </w:tc>
        <w:tc>
          <w:tcPr>
            <w:tcW w:type="dxa" w:w="1240"/>
            <w:tcMar>
              <w:top w:w="80" w:type="dxa"/>
              <w:start w:w="120" w:type="dxa"/>
              <w:bottom w:w="80" w:type="dxa"/>
              <w:end w:w="120" w:type="dxa"/>
            </w:tcMar>
          </w:tcPr>
          <w:p>
            <w:pPr>
              <w:spacing w:before="20" w:after="20" w:line="269" w:lineRule="auto"/>
              <w:jc w:val="left"/>
            </w:pPr>
            <w:r>
              <w:rPr>
                <w:rFonts w:ascii="Calibri" w:hAnsi="Calibri"/>
                <w:b/>
                <w:color w:val="2E74B5"/>
                <w:sz w:val="18"/>
              </w:rPr>
              <w:t>Kenny</w:t>
            </w:r>
          </w:p>
        </w:tc>
        <w:tc>
          <w:tcPr>
            <w:tcW w:type="dxa" w:w="740"/>
            <w:tcMar>
              <w:top w:w="80" w:type="dxa"/>
              <w:start w:w="120" w:type="dxa"/>
              <w:bottom w:w="80" w:type="dxa"/>
              <w:end w:w="120" w:type="dxa"/>
            </w:tcMar>
          </w:tcPr>
          <w:p>
            <w:pPr>
              <w:spacing w:before="20" w:after="20" w:line="269" w:lineRule="auto"/>
              <w:jc w:val="center"/>
            </w:pPr>
            <w:r>
              <w:rPr>
                <w:rFonts w:ascii="Calibri" w:hAnsi="Calibri"/>
                <w:b/>
                <w:color w:val="0B2545"/>
                <w:sz w:val="18"/>
              </w:rPr>
              <w:t>3:00</w:t>
            </w:r>
          </w:p>
        </w:tc>
        <w:tc>
          <w:tcPr>
            <w:tcW w:type="dxa" w:w="5130"/>
            <w:tcMar>
              <w:top w:w="80" w:type="dxa"/>
              <w:start w:w="120" w:type="dxa"/>
              <w:bottom w:w="80" w:type="dxa"/>
              <w:end w:w="120" w:type="dxa"/>
            </w:tcMar>
          </w:tcPr>
          <w:p>
            <w:pPr>
              <w:spacing w:before="20" w:after="20" w:line="269" w:lineRule="auto"/>
              <w:jc w:val="left"/>
            </w:pPr>
            <w:r>
              <w:rPr>
                <w:rFonts w:ascii="Calibri" w:hAnsi="Calibri"/>
                <w:b w:val="0"/>
                <w:color w:val="0B2545"/>
                <w:sz w:val="17"/>
              </w:rPr>
              <w:t>Live Role Explorer: select LeBron 2020 LAL and Harden 2025 LAC; show the insight, role map, fingerprint, and similar seasons.</w:t>
            </w:r>
          </w:p>
        </w:tc>
        <w:tc>
          <w:tcPr>
            <w:tcW w:type="dxa" w:w="1630"/>
            <w:tcMar>
              <w:top w:w="80" w:type="dxa"/>
              <w:start w:w="120" w:type="dxa"/>
              <w:bottom w:w="80" w:type="dxa"/>
              <w:end w:w="120" w:type="dxa"/>
            </w:tcMar>
          </w:tcPr>
          <w:p>
            <w:pPr>
              <w:spacing w:before="20" w:after="20" w:line="269" w:lineRule="auto"/>
              <w:jc w:val="left"/>
            </w:pPr>
            <w:r>
              <w:rPr>
                <w:rFonts w:ascii="Calibri" w:hAnsi="Calibri"/>
                <w:b w:val="0"/>
                <w:color w:val="0B2545"/>
                <w:sz w:val="17"/>
              </w:rPr>
              <w:t>Ryan opens Team Roster Lab.</w:t>
            </w:r>
          </w:p>
        </w:tc>
      </w:tr>
      <w:tr>
        <w:trPr>
          <w:cantSplit/>
        </w:trPr>
        <w:tc>
          <w:tcPr>
            <w:tcW w:type="dxa" w:w="620"/>
            <w:shd w:fill="F8FAFC"/>
            <w:tcMar>
              <w:top w:w="80" w:type="dxa"/>
              <w:start w:w="120" w:type="dxa"/>
              <w:bottom w:w="80" w:type="dxa"/>
              <w:end w:w="120" w:type="dxa"/>
            </w:tcMar>
          </w:tcPr>
          <w:p>
            <w:pPr>
              <w:spacing w:before="20" w:after="20" w:line="269" w:lineRule="auto"/>
              <w:jc w:val="center"/>
            </w:pPr>
            <w:r>
              <w:rPr>
                <w:rFonts w:ascii="Calibri" w:hAnsi="Calibri"/>
                <w:b/>
                <w:color w:val="0B2545"/>
                <w:sz w:val="18"/>
              </w:rPr>
              <w:t>4</w:t>
            </w:r>
          </w:p>
        </w:tc>
        <w:tc>
          <w:tcPr>
            <w:tcW w:type="dxa" w:w="1240"/>
            <w:shd w:fill="F8FAFC"/>
            <w:tcMar>
              <w:top w:w="80" w:type="dxa"/>
              <w:start w:w="120" w:type="dxa"/>
              <w:bottom w:w="80" w:type="dxa"/>
              <w:end w:w="120" w:type="dxa"/>
            </w:tcMar>
          </w:tcPr>
          <w:p>
            <w:pPr>
              <w:spacing w:before="20" w:after="20" w:line="269" w:lineRule="auto"/>
              <w:jc w:val="left"/>
            </w:pPr>
            <w:r>
              <w:rPr>
                <w:rFonts w:ascii="Calibri" w:hAnsi="Calibri"/>
                <w:b/>
                <w:color w:val="2E74B5"/>
                <w:sz w:val="18"/>
              </w:rPr>
              <w:t>Ryan</w:t>
            </w:r>
          </w:p>
        </w:tc>
        <w:tc>
          <w:tcPr>
            <w:tcW w:type="dxa" w:w="740"/>
            <w:shd w:fill="F8FAFC"/>
            <w:tcMar>
              <w:top w:w="80" w:type="dxa"/>
              <w:start w:w="120" w:type="dxa"/>
              <w:bottom w:w="80" w:type="dxa"/>
              <w:end w:w="120" w:type="dxa"/>
            </w:tcMar>
          </w:tcPr>
          <w:p>
            <w:pPr>
              <w:spacing w:before="20" w:after="20" w:line="269" w:lineRule="auto"/>
              <w:jc w:val="center"/>
            </w:pPr>
            <w:r>
              <w:rPr>
                <w:rFonts w:ascii="Calibri" w:hAnsi="Calibri"/>
                <w:b/>
                <w:color w:val="0B2545"/>
                <w:sz w:val="18"/>
              </w:rPr>
              <w:t>3:00</w:t>
            </w:r>
          </w:p>
        </w:tc>
        <w:tc>
          <w:tcPr>
            <w:tcW w:type="dxa" w:w="5130"/>
            <w:shd w:fill="F8FAFC"/>
            <w:tcMar>
              <w:top w:w="80" w:type="dxa"/>
              <w:start w:w="120" w:type="dxa"/>
              <w:bottom w:w="80" w:type="dxa"/>
              <w:end w:w="120" w:type="dxa"/>
            </w:tcMar>
          </w:tcPr>
          <w:p>
            <w:pPr>
              <w:spacing w:before="20" w:after="20" w:line="269" w:lineRule="auto"/>
              <w:jc w:val="left"/>
            </w:pPr>
            <w:r>
              <w:rPr>
                <w:rFonts w:ascii="Calibri" w:hAnsi="Calibri"/>
                <w:b w:val="0"/>
                <w:color w:val="0B2545"/>
                <w:sz w:val="17"/>
              </w:rPr>
              <w:t>Live Team Roster Lab: choose Oklahoma City, inspect one player, Coverage, Benchmark, add Boston, then use Swap teams.</w:t>
            </w:r>
          </w:p>
        </w:tc>
        <w:tc>
          <w:tcPr>
            <w:tcW w:type="dxa" w:w="1630"/>
            <w:shd w:fill="F8FAFC"/>
            <w:tcMar>
              <w:top w:w="80" w:type="dxa"/>
              <w:start w:w="120" w:type="dxa"/>
              <w:bottom w:w="80" w:type="dxa"/>
              <w:end w:w="120" w:type="dxa"/>
            </w:tcMar>
          </w:tcPr>
          <w:p>
            <w:pPr>
              <w:spacing w:before="20" w:after="20" w:line="269" w:lineRule="auto"/>
              <w:jc w:val="left"/>
            </w:pPr>
            <w:r>
              <w:rPr>
                <w:rFonts w:ascii="Calibri" w:hAnsi="Calibri"/>
                <w:b w:val="0"/>
                <w:color w:val="0B2545"/>
                <w:sz w:val="17"/>
              </w:rPr>
              <w:t>Stay on the deck for the study.</w:t>
            </w:r>
          </w:p>
        </w:tc>
      </w:tr>
      <w:tr>
        <w:trPr>
          <w:cantSplit/>
        </w:trPr>
        <w:tc>
          <w:tcPr>
            <w:tcW w:type="dxa" w:w="620"/>
            <w:tcMar>
              <w:top w:w="80" w:type="dxa"/>
              <w:start w:w="120" w:type="dxa"/>
              <w:bottom w:w="80" w:type="dxa"/>
              <w:end w:w="120" w:type="dxa"/>
            </w:tcMar>
          </w:tcPr>
          <w:p>
            <w:pPr>
              <w:spacing w:before="20" w:after="20" w:line="269" w:lineRule="auto"/>
              <w:jc w:val="center"/>
            </w:pPr>
            <w:r>
              <w:rPr>
                <w:rFonts w:ascii="Calibri" w:hAnsi="Calibri"/>
                <w:b/>
                <w:color w:val="0B2545"/>
                <w:sz w:val="18"/>
              </w:rPr>
              <w:t>5</w:t>
            </w:r>
          </w:p>
        </w:tc>
        <w:tc>
          <w:tcPr>
            <w:tcW w:type="dxa" w:w="1240"/>
            <w:tcMar>
              <w:top w:w="80" w:type="dxa"/>
              <w:start w:w="120" w:type="dxa"/>
              <w:bottom w:w="80" w:type="dxa"/>
              <w:end w:w="120" w:type="dxa"/>
            </w:tcMar>
          </w:tcPr>
          <w:p>
            <w:pPr>
              <w:spacing w:before="20" w:after="20" w:line="269" w:lineRule="auto"/>
              <w:jc w:val="left"/>
            </w:pPr>
            <w:r>
              <w:rPr>
                <w:rFonts w:ascii="Calibri" w:hAnsi="Calibri"/>
                <w:b/>
                <w:color w:val="2E74B5"/>
                <w:sz w:val="18"/>
              </w:rPr>
              <w:t>Ryan</w:t>
            </w:r>
          </w:p>
        </w:tc>
        <w:tc>
          <w:tcPr>
            <w:tcW w:type="dxa" w:w="740"/>
            <w:tcMar>
              <w:top w:w="80" w:type="dxa"/>
              <w:start w:w="120" w:type="dxa"/>
              <w:bottom w:w="80" w:type="dxa"/>
              <w:end w:w="120" w:type="dxa"/>
            </w:tcMar>
          </w:tcPr>
          <w:p>
            <w:pPr>
              <w:spacing w:before="20" w:after="20" w:line="269" w:lineRule="auto"/>
              <w:jc w:val="center"/>
            </w:pPr>
            <w:r>
              <w:rPr>
                <w:rFonts w:ascii="Calibri" w:hAnsi="Calibri"/>
                <w:b/>
                <w:color w:val="0B2545"/>
                <w:sz w:val="18"/>
              </w:rPr>
              <w:t>1:30</w:t>
            </w:r>
          </w:p>
        </w:tc>
        <w:tc>
          <w:tcPr>
            <w:tcW w:type="dxa" w:w="5130"/>
            <w:tcMar>
              <w:top w:w="80" w:type="dxa"/>
              <w:start w:w="120" w:type="dxa"/>
              <w:bottom w:w="80" w:type="dxa"/>
              <w:end w:w="120" w:type="dxa"/>
            </w:tcMar>
          </w:tcPr>
          <w:p>
            <w:pPr>
              <w:spacing w:before="20" w:after="20" w:line="269" w:lineRule="auto"/>
              <w:jc w:val="left"/>
            </w:pPr>
            <w:r>
              <w:rPr>
                <w:rFonts w:ascii="Calibri" w:hAnsi="Calibri"/>
                <w:b w:val="0"/>
                <w:color w:val="0B2545"/>
                <w:sz w:val="17"/>
              </w:rPr>
              <w:t>Explain one moderated round with six participants and what behavior and interpretation evidence was recorded.</w:t>
            </w:r>
          </w:p>
        </w:tc>
        <w:tc>
          <w:tcPr>
            <w:tcW w:type="dxa" w:w="1630"/>
            <w:tcMar>
              <w:top w:w="80" w:type="dxa"/>
              <w:start w:w="120" w:type="dxa"/>
              <w:bottom w:w="80" w:type="dxa"/>
              <w:end w:w="120" w:type="dxa"/>
            </w:tcMar>
          </w:tcPr>
          <w:p>
            <w:pPr>
              <w:spacing w:before="20" w:after="20" w:line="269" w:lineRule="auto"/>
              <w:jc w:val="left"/>
            </w:pPr>
            <w:r>
              <w:rPr>
                <w:rFonts w:ascii="Calibri" w:hAnsi="Calibri"/>
                <w:b w:val="0"/>
                <w:color w:val="0B2545"/>
                <w:sz w:val="17"/>
              </w:rPr>
              <w:t>Continue directly to findings.</w:t>
            </w:r>
          </w:p>
        </w:tc>
      </w:tr>
      <w:tr>
        <w:trPr>
          <w:cantSplit/>
        </w:trPr>
        <w:tc>
          <w:tcPr>
            <w:tcW w:type="dxa" w:w="620"/>
            <w:shd w:fill="F8FAFC"/>
            <w:tcMar>
              <w:top w:w="80" w:type="dxa"/>
              <w:start w:w="120" w:type="dxa"/>
              <w:bottom w:w="80" w:type="dxa"/>
              <w:end w:w="120" w:type="dxa"/>
            </w:tcMar>
          </w:tcPr>
          <w:p>
            <w:pPr>
              <w:spacing w:before="20" w:after="20" w:line="269" w:lineRule="auto"/>
              <w:jc w:val="center"/>
            </w:pPr>
            <w:r>
              <w:rPr>
                <w:rFonts w:ascii="Calibri" w:hAnsi="Calibri"/>
                <w:b/>
                <w:color w:val="0B2545"/>
                <w:sz w:val="18"/>
              </w:rPr>
              <w:t>6</w:t>
            </w:r>
          </w:p>
        </w:tc>
        <w:tc>
          <w:tcPr>
            <w:tcW w:type="dxa" w:w="1240"/>
            <w:shd w:fill="F8FAFC"/>
            <w:tcMar>
              <w:top w:w="80" w:type="dxa"/>
              <w:start w:w="120" w:type="dxa"/>
              <w:bottom w:w="80" w:type="dxa"/>
              <w:end w:w="120" w:type="dxa"/>
            </w:tcMar>
          </w:tcPr>
          <w:p>
            <w:pPr>
              <w:spacing w:before="20" w:after="20" w:line="269" w:lineRule="auto"/>
              <w:jc w:val="left"/>
            </w:pPr>
            <w:r>
              <w:rPr>
                <w:rFonts w:ascii="Calibri" w:hAnsi="Calibri"/>
                <w:b/>
                <w:color w:val="2E74B5"/>
                <w:sz w:val="18"/>
              </w:rPr>
              <w:t>Ryan</w:t>
            </w:r>
          </w:p>
        </w:tc>
        <w:tc>
          <w:tcPr>
            <w:tcW w:type="dxa" w:w="740"/>
            <w:shd w:fill="F8FAFC"/>
            <w:tcMar>
              <w:top w:w="80" w:type="dxa"/>
              <w:start w:w="120" w:type="dxa"/>
              <w:bottom w:w="80" w:type="dxa"/>
              <w:end w:w="120" w:type="dxa"/>
            </w:tcMar>
          </w:tcPr>
          <w:p>
            <w:pPr>
              <w:spacing w:before="20" w:after="20" w:line="269" w:lineRule="auto"/>
              <w:jc w:val="center"/>
            </w:pPr>
            <w:r>
              <w:rPr>
                <w:rFonts w:ascii="Calibri" w:hAnsi="Calibri"/>
                <w:b/>
                <w:color w:val="0B2545"/>
                <w:sz w:val="18"/>
              </w:rPr>
              <w:t>1:30</w:t>
            </w:r>
          </w:p>
        </w:tc>
        <w:tc>
          <w:tcPr>
            <w:tcW w:type="dxa" w:w="5130"/>
            <w:shd w:fill="F8FAFC"/>
            <w:tcMar>
              <w:top w:w="80" w:type="dxa"/>
              <w:start w:w="120" w:type="dxa"/>
              <w:bottom w:w="80" w:type="dxa"/>
              <w:end w:w="120" w:type="dxa"/>
            </w:tcMar>
          </w:tcPr>
          <w:p>
            <w:pPr>
              <w:spacing w:before="20" w:after="20" w:line="269" w:lineRule="auto"/>
              <w:jc w:val="left"/>
            </w:pPr>
            <w:r>
              <w:rPr>
                <w:rFonts w:ascii="Calibri" w:hAnsi="Calibri"/>
                <w:b w:val="0"/>
                <w:color w:val="0B2545"/>
                <w:sz w:val="17"/>
              </w:rPr>
              <w:t>Lead with the recurring interpretation problem: ranking and causation risk, unclear terms, dense evidence, and lost hover state.</w:t>
            </w:r>
          </w:p>
        </w:tc>
        <w:tc>
          <w:tcPr>
            <w:tcW w:type="dxa" w:w="1630"/>
            <w:shd w:fill="F8FAFC"/>
            <w:tcMar>
              <w:top w:w="80" w:type="dxa"/>
              <w:start w:w="120" w:type="dxa"/>
              <w:bottom w:w="80" w:type="dxa"/>
              <w:end w:w="120" w:type="dxa"/>
            </w:tcMar>
          </w:tcPr>
          <w:p>
            <w:pPr>
              <w:spacing w:before="20" w:after="20" w:line="269" w:lineRule="auto"/>
              <w:jc w:val="left"/>
            </w:pPr>
            <w:r>
              <w:rPr>
                <w:rFonts w:ascii="Calibri" w:hAnsi="Calibri"/>
                <w:b w:val="0"/>
                <w:color w:val="0B2545"/>
                <w:sz w:val="17"/>
              </w:rPr>
              <w:t>Continue into the design response.</w:t>
            </w:r>
          </w:p>
        </w:tc>
      </w:tr>
      <w:tr>
        <w:trPr>
          <w:cantSplit/>
        </w:trPr>
        <w:tc>
          <w:tcPr>
            <w:tcW w:type="dxa" w:w="620"/>
            <w:tcMar>
              <w:top w:w="80" w:type="dxa"/>
              <w:start w:w="120" w:type="dxa"/>
              <w:bottom w:w="80" w:type="dxa"/>
              <w:end w:w="120" w:type="dxa"/>
            </w:tcMar>
          </w:tcPr>
          <w:p>
            <w:pPr>
              <w:spacing w:before="20" w:after="20" w:line="269" w:lineRule="auto"/>
              <w:jc w:val="center"/>
            </w:pPr>
            <w:r>
              <w:rPr>
                <w:rFonts w:ascii="Calibri" w:hAnsi="Calibri"/>
                <w:b/>
                <w:color w:val="0B2545"/>
                <w:sz w:val="18"/>
              </w:rPr>
              <w:t>7</w:t>
            </w:r>
          </w:p>
        </w:tc>
        <w:tc>
          <w:tcPr>
            <w:tcW w:type="dxa" w:w="1240"/>
            <w:tcMar>
              <w:top w:w="80" w:type="dxa"/>
              <w:start w:w="120" w:type="dxa"/>
              <w:bottom w:w="80" w:type="dxa"/>
              <w:end w:w="120" w:type="dxa"/>
            </w:tcMar>
          </w:tcPr>
          <w:p>
            <w:pPr>
              <w:spacing w:before="20" w:after="20" w:line="269" w:lineRule="auto"/>
              <w:jc w:val="left"/>
            </w:pPr>
            <w:r>
              <w:rPr>
                <w:rFonts w:ascii="Calibri" w:hAnsi="Calibri"/>
                <w:b/>
                <w:color w:val="2E74B5"/>
                <w:sz w:val="18"/>
              </w:rPr>
              <w:t>Ryan</w:t>
            </w:r>
          </w:p>
        </w:tc>
        <w:tc>
          <w:tcPr>
            <w:tcW w:type="dxa" w:w="740"/>
            <w:tcMar>
              <w:top w:w="80" w:type="dxa"/>
              <w:start w:w="120" w:type="dxa"/>
              <w:bottom w:w="80" w:type="dxa"/>
              <w:end w:w="120" w:type="dxa"/>
            </w:tcMar>
          </w:tcPr>
          <w:p>
            <w:pPr>
              <w:spacing w:before="20" w:after="20" w:line="269" w:lineRule="auto"/>
              <w:jc w:val="center"/>
            </w:pPr>
            <w:r>
              <w:rPr>
                <w:rFonts w:ascii="Calibri" w:hAnsi="Calibri"/>
                <w:b/>
                <w:color w:val="0B2545"/>
                <w:sz w:val="18"/>
              </w:rPr>
              <w:t>1:30</w:t>
            </w:r>
          </w:p>
        </w:tc>
        <w:tc>
          <w:tcPr>
            <w:tcW w:type="dxa" w:w="5130"/>
            <w:tcMar>
              <w:top w:w="80" w:type="dxa"/>
              <w:start w:w="120" w:type="dxa"/>
              <w:bottom w:w="80" w:type="dxa"/>
              <w:end w:w="120" w:type="dxa"/>
            </w:tcMar>
          </w:tcPr>
          <w:p>
            <w:pPr>
              <w:spacing w:before="20" w:after="20" w:line="269" w:lineRule="auto"/>
              <w:jc w:val="left"/>
            </w:pPr>
            <w:r>
              <w:rPr>
                <w:rFonts w:ascii="Calibri" w:hAnsi="Calibri"/>
                <w:b w:val="0"/>
                <w:color w:val="0B2545"/>
                <w:sz w:val="17"/>
              </w:rPr>
              <w:t>Tie point-of-use definitions, neutral titles, persistent selection, exact values, and repeated guardrails to observed failures.</w:t>
            </w:r>
          </w:p>
        </w:tc>
        <w:tc>
          <w:tcPr>
            <w:tcW w:type="dxa" w:w="1630"/>
            <w:tcMar>
              <w:top w:w="80" w:type="dxa"/>
              <w:start w:w="120" w:type="dxa"/>
              <w:bottom w:w="80" w:type="dxa"/>
              <w:end w:w="120" w:type="dxa"/>
            </w:tcMar>
          </w:tcPr>
          <w:p>
            <w:pPr>
              <w:spacing w:before="20" w:after="20" w:line="269" w:lineRule="auto"/>
              <w:jc w:val="left"/>
            </w:pPr>
            <w:r>
              <w:rPr>
                <w:rFonts w:ascii="Calibri" w:hAnsi="Calibri"/>
                <w:b w:val="0"/>
                <w:color w:val="0B2545"/>
                <w:sz w:val="17"/>
              </w:rPr>
              <w:t>Hand the larger redesign to Kenny.</w:t>
            </w:r>
          </w:p>
        </w:tc>
      </w:tr>
      <w:tr>
        <w:trPr>
          <w:cantSplit/>
        </w:trPr>
        <w:tc>
          <w:tcPr>
            <w:tcW w:type="dxa" w:w="620"/>
            <w:shd w:fill="F8FAFC"/>
            <w:tcMar>
              <w:top w:w="80" w:type="dxa"/>
              <w:start w:w="120" w:type="dxa"/>
              <w:bottom w:w="80" w:type="dxa"/>
              <w:end w:w="120" w:type="dxa"/>
            </w:tcMar>
          </w:tcPr>
          <w:p>
            <w:pPr>
              <w:spacing w:before="20" w:after="20" w:line="269" w:lineRule="auto"/>
              <w:jc w:val="center"/>
            </w:pPr>
            <w:r>
              <w:rPr>
                <w:rFonts w:ascii="Calibri" w:hAnsi="Calibri"/>
                <w:b/>
                <w:color w:val="0B2545"/>
                <w:sz w:val="18"/>
              </w:rPr>
              <w:t>8</w:t>
            </w:r>
          </w:p>
        </w:tc>
        <w:tc>
          <w:tcPr>
            <w:tcW w:type="dxa" w:w="1240"/>
            <w:shd w:fill="F8FAFC"/>
            <w:tcMar>
              <w:top w:w="80" w:type="dxa"/>
              <w:start w:w="120" w:type="dxa"/>
              <w:bottom w:w="80" w:type="dxa"/>
              <w:end w:w="120" w:type="dxa"/>
            </w:tcMar>
          </w:tcPr>
          <w:p>
            <w:pPr>
              <w:spacing w:before="20" w:after="20" w:line="269" w:lineRule="auto"/>
              <w:jc w:val="left"/>
            </w:pPr>
            <w:r>
              <w:rPr>
                <w:rFonts w:ascii="Calibri" w:hAnsi="Calibri"/>
                <w:b/>
                <w:color w:val="2E74B5"/>
                <w:sz w:val="18"/>
              </w:rPr>
              <w:t>Kenny</w:t>
            </w:r>
          </w:p>
        </w:tc>
        <w:tc>
          <w:tcPr>
            <w:tcW w:type="dxa" w:w="740"/>
            <w:shd w:fill="F8FAFC"/>
            <w:tcMar>
              <w:top w:w="80" w:type="dxa"/>
              <w:start w:w="120" w:type="dxa"/>
              <w:bottom w:w="80" w:type="dxa"/>
              <w:end w:w="120" w:type="dxa"/>
            </w:tcMar>
          </w:tcPr>
          <w:p>
            <w:pPr>
              <w:spacing w:before="20" w:after="20" w:line="269" w:lineRule="auto"/>
              <w:jc w:val="center"/>
            </w:pPr>
            <w:r>
              <w:rPr>
                <w:rFonts w:ascii="Calibri" w:hAnsi="Calibri"/>
                <w:b/>
                <w:color w:val="0B2545"/>
                <w:sz w:val="18"/>
              </w:rPr>
              <w:t>1:15</w:t>
            </w:r>
          </w:p>
        </w:tc>
        <w:tc>
          <w:tcPr>
            <w:tcW w:type="dxa" w:w="5130"/>
            <w:shd w:fill="F8FAFC"/>
            <w:tcMar>
              <w:top w:w="80" w:type="dxa"/>
              <w:start w:w="120" w:type="dxa"/>
              <w:bottom w:w="80" w:type="dxa"/>
              <w:end w:w="120" w:type="dxa"/>
            </w:tcMar>
          </w:tcPr>
          <w:p>
            <w:pPr>
              <w:spacing w:before="20" w:after="20" w:line="269" w:lineRule="auto"/>
              <w:jc w:val="left"/>
            </w:pPr>
            <w:r>
              <w:rPr>
                <w:rFonts w:ascii="Calibri" w:hAnsi="Calibri"/>
                <w:b w:val="0"/>
                <w:color w:val="0B2545"/>
                <w:sz w:val="17"/>
              </w:rPr>
              <w:t>Explain why the geography view was removed and how the Roster Lab better answers the roster-responsibility question.</w:t>
            </w:r>
          </w:p>
        </w:tc>
        <w:tc>
          <w:tcPr>
            <w:tcW w:type="dxa" w:w="1630"/>
            <w:shd w:fill="F8FAFC"/>
            <w:tcMar>
              <w:top w:w="80" w:type="dxa"/>
              <w:start w:w="120" w:type="dxa"/>
              <w:bottom w:w="80" w:type="dxa"/>
              <w:end w:w="120" w:type="dxa"/>
            </w:tcMar>
          </w:tcPr>
          <w:p>
            <w:pPr>
              <w:spacing w:before="20" w:after="20" w:line="269" w:lineRule="auto"/>
              <w:jc w:val="left"/>
            </w:pPr>
            <w:r>
              <w:rPr>
                <w:rFonts w:ascii="Calibri" w:hAnsi="Calibri"/>
                <w:b w:val="0"/>
                <w:color w:val="0B2545"/>
                <w:sz w:val="17"/>
              </w:rPr>
              <w:t>Continue to tool choices.</w:t>
            </w:r>
          </w:p>
        </w:tc>
      </w:tr>
      <w:tr>
        <w:trPr>
          <w:cantSplit/>
        </w:trPr>
        <w:tc>
          <w:tcPr>
            <w:tcW w:type="dxa" w:w="620"/>
            <w:tcMar>
              <w:top w:w="80" w:type="dxa"/>
              <w:start w:w="120" w:type="dxa"/>
              <w:bottom w:w="80" w:type="dxa"/>
              <w:end w:w="120" w:type="dxa"/>
            </w:tcMar>
          </w:tcPr>
          <w:p>
            <w:pPr>
              <w:spacing w:before="20" w:after="20" w:line="269" w:lineRule="auto"/>
              <w:jc w:val="center"/>
            </w:pPr>
            <w:r>
              <w:rPr>
                <w:rFonts w:ascii="Calibri" w:hAnsi="Calibri"/>
                <w:b/>
                <w:color w:val="0B2545"/>
                <w:sz w:val="18"/>
              </w:rPr>
              <w:t>9</w:t>
            </w:r>
          </w:p>
        </w:tc>
        <w:tc>
          <w:tcPr>
            <w:tcW w:type="dxa" w:w="1240"/>
            <w:tcMar>
              <w:top w:w="80" w:type="dxa"/>
              <w:start w:w="120" w:type="dxa"/>
              <w:bottom w:w="80" w:type="dxa"/>
              <w:end w:w="120" w:type="dxa"/>
            </w:tcMar>
          </w:tcPr>
          <w:p>
            <w:pPr>
              <w:spacing w:before="20" w:after="20" w:line="269" w:lineRule="auto"/>
              <w:jc w:val="left"/>
            </w:pPr>
            <w:r>
              <w:rPr>
                <w:rFonts w:ascii="Calibri" w:hAnsi="Calibri"/>
                <w:b/>
                <w:color w:val="2E74B5"/>
                <w:sz w:val="18"/>
              </w:rPr>
              <w:t>Kenny</w:t>
            </w:r>
          </w:p>
        </w:tc>
        <w:tc>
          <w:tcPr>
            <w:tcW w:type="dxa" w:w="740"/>
            <w:tcMar>
              <w:top w:w="80" w:type="dxa"/>
              <w:start w:w="120" w:type="dxa"/>
              <w:bottom w:w="80" w:type="dxa"/>
              <w:end w:w="120" w:type="dxa"/>
            </w:tcMar>
          </w:tcPr>
          <w:p>
            <w:pPr>
              <w:spacing w:before="20" w:after="20" w:line="269" w:lineRule="auto"/>
              <w:jc w:val="center"/>
            </w:pPr>
            <w:r>
              <w:rPr>
                <w:rFonts w:ascii="Calibri" w:hAnsi="Calibri"/>
                <w:b/>
                <w:color w:val="0B2545"/>
                <w:sz w:val="18"/>
              </w:rPr>
              <w:t>0:45</w:t>
            </w:r>
          </w:p>
        </w:tc>
        <w:tc>
          <w:tcPr>
            <w:tcW w:type="dxa" w:w="5130"/>
            <w:tcMar>
              <w:top w:w="80" w:type="dxa"/>
              <w:start w:w="120" w:type="dxa"/>
              <w:bottom w:w="80" w:type="dxa"/>
              <w:end w:w="120" w:type="dxa"/>
            </w:tcMar>
          </w:tcPr>
          <w:p>
            <w:pPr>
              <w:spacing w:before="20" w:after="20" w:line="269" w:lineRule="auto"/>
              <w:jc w:val="left"/>
            </w:pPr>
            <w:r>
              <w:rPr>
                <w:rFonts w:ascii="Calibri" w:hAnsi="Calibri"/>
                <w:b w:val="0"/>
                <w:color w:val="0B2545"/>
                <w:sz w:val="17"/>
              </w:rPr>
              <w:t>Justify Flask/Jinja, D3/JavaScript, CSV/JSON, the static build, and GitHub Pages.</w:t>
            </w:r>
          </w:p>
        </w:tc>
        <w:tc>
          <w:tcPr>
            <w:tcW w:type="dxa" w:w="1630"/>
            <w:tcMar>
              <w:top w:w="80" w:type="dxa"/>
              <w:start w:w="120" w:type="dxa"/>
              <w:bottom w:w="80" w:type="dxa"/>
              <w:end w:w="120" w:type="dxa"/>
            </w:tcMar>
          </w:tcPr>
          <w:p>
            <w:pPr>
              <w:spacing w:before="20" w:after="20" w:line="269" w:lineRule="auto"/>
              <w:jc w:val="left"/>
            </w:pPr>
            <w:r>
              <w:rPr>
                <w:rFonts w:ascii="Calibri" w:hAnsi="Calibri"/>
                <w:b w:val="0"/>
                <w:color w:val="0B2545"/>
                <w:sz w:val="17"/>
              </w:rPr>
              <w:t>Continue to the conclusion.</w:t>
            </w:r>
          </w:p>
        </w:tc>
      </w:tr>
      <w:tr>
        <w:trPr>
          <w:cantSplit/>
        </w:trPr>
        <w:tc>
          <w:tcPr>
            <w:tcW w:type="dxa" w:w="620"/>
            <w:shd w:fill="F8FAFC"/>
            <w:tcMar>
              <w:top w:w="80" w:type="dxa"/>
              <w:start w:w="120" w:type="dxa"/>
              <w:bottom w:w="80" w:type="dxa"/>
              <w:end w:w="120" w:type="dxa"/>
            </w:tcMar>
          </w:tcPr>
          <w:p>
            <w:pPr>
              <w:spacing w:before="20" w:after="20" w:line="269" w:lineRule="auto"/>
              <w:jc w:val="center"/>
            </w:pPr>
            <w:r>
              <w:rPr>
                <w:rFonts w:ascii="Calibri" w:hAnsi="Calibri"/>
                <w:b/>
                <w:color w:val="0B2545"/>
                <w:sz w:val="18"/>
              </w:rPr>
              <w:t>10</w:t>
            </w:r>
          </w:p>
        </w:tc>
        <w:tc>
          <w:tcPr>
            <w:tcW w:type="dxa" w:w="1240"/>
            <w:shd w:fill="F8FAFC"/>
            <w:tcMar>
              <w:top w:w="80" w:type="dxa"/>
              <w:start w:w="120" w:type="dxa"/>
              <w:bottom w:w="80" w:type="dxa"/>
              <w:end w:w="120" w:type="dxa"/>
            </w:tcMar>
          </w:tcPr>
          <w:p>
            <w:pPr>
              <w:spacing w:before="20" w:after="20" w:line="269" w:lineRule="auto"/>
              <w:jc w:val="left"/>
            </w:pPr>
            <w:r>
              <w:rPr>
                <w:rFonts w:ascii="Calibri" w:hAnsi="Calibri"/>
                <w:b/>
                <w:color w:val="2E74B5"/>
                <w:sz w:val="18"/>
              </w:rPr>
              <w:t>Kenny</w:t>
            </w:r>
          </w:p>
        </w:tc>
        <w:tc>
          <w:tcPr>
            <w:tcW w:type="dxa" w:w="740"/>
            <w:shd w:fill="F8FAFC"/>
            <w:tcMar>
              <w:top w:w="80" w:type="dxa"/>
              <w:start w:w="120" w:type="dxa"/>
              <w:bottom w:w="80" w:type="dxa"/>
              <w:end w:w="120" w:type="dxa"/>
            </w:tcMar>
          </w:tcPr>
          <w:p>
            <w:pPr>
              <w:spacing w:before="20" w:after="20" w:line="269" w:lineRule="auto"/>
              <w:jc w:val="center"/>
            </w:pPr>
            <w:r>
              <w:rPr>
                <w:rFonts w:ascii="Calibri" w:hAnsi="Calibri"/>
                <w:b/>
                <w:color w:val="0B2545"/>
                <w:sz w:val="18"/>
              </w:rPr>
              <w:t>1:00</w:t>
            </w:r>
          </w:p>
        </w:tc>
        <w:tc>
          <w:tcPr>
            <w:tcW w:type="dxa" w:w="5130"/>
            <w:shd w:fill="F8FAFC"/>
            <w:tcMar>
              <w:top w:w="80" w:type="dxa"/>
              <w:start w:w="120" w:type="dxa"/>
              <w:bottom w:w="80" w:type="dxa"/>
              <w:end w:w="120" w:type="dxa"/>
            </w:tcMar>
          </w:tcPr>
          <w:p>
            <w:pPr>
              <w:spacing w:before="20" w:after="20" w:line="269" w:lineRule="auto"/>
              <w:jc w:val="left"/>
            </w:pPr>
            <w:r>
              <w:rPr>
                <w:rFonts w:ascii="Calibri" w:hAnsi="Calibri"/>
                <w:b w:val="0"/>
                <w:color w:val="0B2545"/>
                <w:sz w:val="17"/>
              </w:rPr>
              <w:t>Resolve the thesis, name limitations, state what testing improved, and invite questions.</w:t>
            </w:r>
          </w:p>
        </w:tc>
        <w:tc>
          <w:tcPr>
            <w:tcW w:type="dxa" w:w="1630"/>
            <w:shd w:fill="F8FAFC"/>
            <w:tcMar>
              <w:top w:w="80" w:type="dxa"/>
              <w:start w:w="120" w:type="dxa"/>
              <w:bottom w:w="80" w:type="dxa"/>
              <w:end w:w="120" w:type="dxa"/>
            </w:tcMar>
          </w:tcPr>
          <w:p>
            <w:pPr>
              <w:spacing w:before="20" w:after="20" w:line="269" w:lineRule="auto"/>
              <w:jc w:val="left"/>
            </w:pPr>
            <w:r>
              <w:rPr>
                <w:rFonts w:ascii="Calibri" w:hAnsi="Calibri"/>
                <w:b w:val="0"/>
                <w:color w:val="0B2545"/>
                <w:sz w:val="17"/>
              </w:rPr>
              <w:t>End on the live URL.</w:t>
            </w:r>
          </w:p>
        </w:tc>
      </w:tr>
    </w:tbl>
    <w:p>
      <w:pPr>
        <w:pStyle w:val="Heading1"/>
      </w:pPr>
      <w:r>
        <w:t>Live-demo operating plan</w:t>
      </w:r>
    </w:p>
    <w:p>
      <w:pPr>
        <w:pStyle w:val="Heading2"/>
      </w:pPr>
      <w:r>
        <w:t>Role Explorer - Kenny (Slide 3)</w:t>
      </w:r>
    </w:p>
    <w:p>
      <w:pPr>
        <w:spacing w:after="80" w:line="300" w:lineRule="auto"/>
        <w:ind w:left="540" w:hanging="271"/>
        <w:numPr>
          <w:ilvl w:val="0"/>
          <w:numId w:val="43"/>
        </w:numPr>
      </w:pPr>
      <w:r>
        <w:rPr>
          <w:rFonts w:ascii="Calibri" w:hAnsi="Calibri"/>
          <w:color w:val="0B2545"/>
        </w:rPr>
        <w:t>Open the Role Explorer and state the question: how do two player-season profiles differ without turning the view into a ranking?</w:t>
      </w:r>
    </w:p>
    <w:p>
      <w:pPr>
        <w:spacing w:after="80" w:line="300" w:lineRule="auto"/>
        <w:ind w:left="540" w:hanging="271"/>
        <w:numPr>
          <w:ilvl w:val="0"/>
          <w:numId w:val="43"/>
        </w:numPr>
      </w:pPr>
      <w:r>
        <w:rPr>
          <w:rFonts w:ascii="Calibri" w:hAnsi="Calibri"/>
          <w:color w:val="0B2545"/>
        </w:rPr>
        <w:t>Set Player A to LeBron James, 2020 LAL, and Player B to James Harden, 2025 LAC.</w:t>
      </w:r>
    </w:p>
    <w:p>
      <w:pPr>
        <w:spacing w:after="80" w:line="300" w:lineRule="auto"/>
        <w:ind w:left="540" w:hanging="271"/>
        <w:numPr>
          <w:ilvl w:val="0"/>
          <w:numId w:val="43"/>
        </w:numPr>
      </w:pPr>
      <w:r>
        <w:rPr>
          <w:rFonts w:ascii="Calibri" w:hAnsi="Calibri"/>
          <w:color w:val="0B2545"/>
        </w:rPr>
        <w:t>Read the comparison insight, then use the role map and cards to explain profile shape.</w:t>
      </w:r>
    </w:p>
    <w:p>
      <w:pPr>
        <w:spacing w:after="80" w:line="300" w:lineRule="auto"/>
        <w:ind w:left="540" w:hanging="271"/>
        <w:numPr>
          <w:ilvl w:val="0"/>
          <w:numId w:val="43"/>
        </w:numPr>
      </w:pPr>
      <w:r>
        <w:rPr>
          <w:rFonts w:ascii="Calibri" w:hAnsi="Calibri"/>
          <w:color w:val="0B2545"/>
        </w:rPr>
        <w:t>Scroll to the Role fingerprint. Point out that percentiles are relative ranks in the reviewed dataset and that exact values remain available.</w:t>
      </w:r>
    </w:p>
    <w:p>
      <w:pPr>
        <w:spacing w:after="80" w:line="300" w:lineRule="auto"/>
        <w:ind w:left="540" w:hanging="271"/>
        <w:numPr>
          <w:ilvl w:val="0"/>
          <w:numId w:val="43"/>
        </w:numPr>
      </w:pPr>
      <w:r>
        <w:rPr>
          <w:rFonts w:ascii="Calibri" w:hAnsi="Calibri"/>
          <w:color w:val="0B2545"/>
        </w:rPr>
        <w:t>Show the closest comparable seasons and say: statistical similarity describes profile shape, not player quality.</w:t>
      </w:r>
    </w:p>
    <w:p>
      <w:pPr>
        <w:pStyle w:val="Heading2"/>
      </w:pPr>
      <w:r>
        <w:t>Team Roster Lab - Ryan (Slide 4)</w:t>
      </w:r>
    </w:p>
    <w:p>
      <w:pPr>
        <w:spacing w:after="80" w:line="300" w:lineRule="auto"/>
        <w:ind w:left="540" w:hanging="271"/>
        <w:numPr>
          <w:ilvl w:val="0"/>
          <w:numId w:val="43"/>
        </w:numPr>
      </w:pPr>
      <w:r>
        <w:rPr>
          <w:rFonts w:ascii="Calibri" w:hAnsi="Calibri"/>
          <w:color w:val="0B2545"/>
        </w:rPr>
        <w:t>Open Team rosters, keep the current season, and choose Oklahoma City.</w:t>
      </w:r>
    </w:p>
    <w:p>
      <w:pPr>
        <w:spacing w:after="80" w:line="300" w:lineRule="auto"/>
        <w:ind w:left="540" w:hanging="271"/>
        <w:numPr>
          <w:ilvl w:val="0"/>
          <w:numId w:val="43"/>
        </w:numPr>
      </w:pPr>
      <w:r>
        <w:rPr>
          <w:rFonts w:ascii="Calibri" w:hAnsi="Calibri"/>
          <w:color w:val="0B2545"/>
        </w:rPr>
        <w:t>Select one player and use the player tray to connect the roster map to exact metrics.</w:t>
      </w:r>
    </w:p>
    <w:p>
      <w:pPr>
        <w:spacing w:after="80" w:line="300" w:lineRule="auto"/>
        <w:ind w:left="540" w:hanging="271"/>
        <w:numPr>
          <w:ilvl w:val="0"/>
          <w:numId w:val="43"/>
        </w:numPr>
      </w:pPr>
      <w:r>
        <w:rPr>
          <w:rFonts w:ascii="Calibri" w:hAnsi="Calibri"/>
          <w:color w:val="0B2545"/>
        </w:rPr>
        <w:t>Open Coverage to show raw values beside season-league percentiles.</w:t>
      </w:r>
    </w:p>
    <w:p>
      <w:pPr>
        <w:spacing w:after="80" w:line="300" w:lineRule="auto"/>
        <w:ind w:left="540" w:hanging="271"/>
        <w:numPr>
          <w:ilvl w:val="0"/>
          <w:numId w:val="43"/>
        </w:numPr>
      </w:pPr>
      <w:r>
        <w:rPr>
          <w:rFonts w:ascii="Calibri" w:hAnsi="Calibri"/>
          <w:color w:val="0B2545"/>
        </w:rPr>
        <w:t>Open Benchmark. In Compare team, choose Boston and select Apply.</w:t>
      </w:r>
    </w:p>
    <w:p>
      <w:pPr>
        <w:spacing w:after="80" w:line="300" w:lineRule="auto"/>
        <w:ind w:left="540" w:hanging="271"/>
        <w:numPr>
          <w:ilvl w:val="0"/>
          <w:numId w:val="43"/>
        </w:numPr>
      </w:pPr>
      <w:r>
        <w:rPr>
          <w:rFonts w:ascii="Calibri" w:hAnsi="Calibri"/>
          <w:color w:val="0B2545"/>
        </w:rPr>
        <w:t>Use Swap selected and comparison. Confirm that Boston becomes the active roster and Oklahoma City remains the comparison.</w:t>
      </w:r>
    </w:p>
    <w:p>
      <w:pPr>
        <w:spacing w:after="80" w:line="300" w:lineRule="auto"/>
        <w:ind w:left="540" w:hanging="271"/>
        <w:numPr>
          <w:ilvl w:val="0"/>
          <w:numId w:val="43"/>
        </w:numPr>
      </w:pPr>
      <w:r>
        <w:rPr>
          <w:rFonts w:ascii="Calibri" w:hAnsi="Calibri"/>
          <w:color w:val="0B2545"/>
        </w:rPr>
        <w:t>State the limitation: the top 10 by minutes are a rotation proxy, not an official depth chart, and the comparison is descriptive rather than causal.</w:t>
      </w:r>
    </w:p>
    <w:p>
      <w:pPr>
        <w:pStyle w:val="Heading1"/>
      </w:pPr>
      <w:r>
        <w:t>Presenter ownership and handoffs</w:t>
      </w:r>
    </w:p>
    <w:p>
      <w:pPr>
        <w:spacing w:before="80" w:after="200" w:line="288" w:lineRule="auto"/>
        <w:ind w:left="173" w:right="173"/>
        <w:shd w:fill="F4F6F9"/>
        <w:pBdr>
          <w:left w:val="single" w:sz="16" w:space="8" w:color="0A7F98"/>
        </w:pBdr>
      </w:pPr>
      <w:r>
        <w:rPr>
          <w:rFonts w:ascii="Calibri" w:hAnsi="Calibri"/>
          <w:b/>
          <w:color w:val="0A7F98"/>
          <w:sz w:val="19"/>
        </w:rPr>
        <w:t xml:space="preserve">KENNY'S ROLE  </w:t>
      </w:r>
      <w:r>
        <w:rPr>
          <w:rFonts w:ascii="Calibri" w:hAnsi="Calibri"/>
          <w:color w:val="0B2545"/>
          <w:sz w:val="21"/>
        </w:rPr>
        <w:t>Own Slides 1-3 and 8-10: the opening thesis, midterm-to-final delta, Role Explorer demo, geography-to-Roster-Lab redesign, tool choices, and conclusion.</w:t>
      </w:r>
    </w:p>
    <w:p>
      <w:pPr>
        <w:spacing w:before="80" w:after="200" w:line="288" w:lineRule="auto"/>
        <w:ind w:left="173" w:right="173"/>
        <w:shd w:fill="F4F6F9"/>
        <w:pBdr>
          <w:left w:val="single" w:sz="16" w:space="8" w:color="0A7F98"/>
        </w:pBdr>
      </w:pPr>
      <w:r>
        <w:rPr>
          <w:rFonts w:ascii="Calibri" w:hAnsi="Calibri"/>
          <w:b/>
          <w:color w:val="0A7F98"/>
          <w:sz w:val="19"/>
        </w:rPr>
        <w:t xml:space="preserve">RYAN'S ROLE  </w:t>
      </w:r>
      <w:r>
        <w:rPr>
          <w:rFonts w:ascii="Calibri" w:hAnsi="Calibri"/>
          <w:color w:val="0B2545"/>
          <w:sz w:val="21"/>
        </w:rPr>
        <w:t>Own Slides 4-7: the Team Roster Lab demo, usability-study method, cross-participant findings, and the point-of-use design response.</w:t>
      </w:r>
    </w:p>
    <w:p>
      <w:pPr>
        <w:spacing w:after="80" w:line="300" w:lineRule="auto"/>
        <w:ind w:left="540" w:hanging="271"/>
        <w:numPr>
          <w:ilvl w:val="0"/>
          <w:numId w:val="42"/>
        </w:numPr>
      </w:pPr>
      <w:r>
        <w:rPr>
          <w:rFonts w:ascii="Calibri" w:hAnsi="Calibri"/>
          <w:color w:val="0B2545"/>
        </w:rPr>
        <w:t>Kenny to Ryan after Slide 3: 'That is the individual-role workflow. Ryan will show how the same responsibility question scales up to a full team rotation.'</w:t>
      </w:r>
    </w:p>
    <w:p>
      <w:pPr>
        <w:spacing w:after="80" w:line="300" w:lineRule="auto"/>
        <w:ind w:left="540" w:hanging="271"/>
        <w:numPr>
          <w:ilvl w:val="0"/>
          <w:numId w:val="42"/>
        </w:numPr>
      </w:pPr>
      <w:r>
        <w:rPr>
          <w:rFonts w:ascii="Calibri" w:hAnsi="Calibri"/>
          <w:color w:val="0B2545"/>
        </w:rPr>
        <w:t>Ryan to Kenny after Slide 7: 'Those point-of-use changes addressed the immediate failures. Kenny will show why we also replaced the entire geography workflow.'</w:t>
      </w:r>
    </w:p>
    <w:p>
      <w:pPr>
        <w:pStyle w:val="Heading1"/>
      </w:pPr>
      <w:r>
        <w:t>Requirement coverage</w:t>
      </w:r>
    </w:p>
    <w:p>
      <w:pPr>
        <w:spacing w:after="80" w:line="300" w:lineRule="auto"/>
        <w:ind w:left="540" w:hanging="271"/>
        <w:numPr>
          <w:ilvl w:val="0"/>
          <w:numId w:val="42"/>
        </w:numPr>
      </w:pPr>
      <w:r>
        <w:rPr>
          <w:rFonts w:ascii="Calibri" w:hAnsi="Calibri"/>
          <w:color w:val="0B2545"/>
        </w:rPr>
        <w:t>What changed and why: Slides 2, 7, and 8.</w:t>
      </w:r>
    </w:p>
    <w:p>
      <w:pPr>
        <w:spacing w:after="80" w:line="300" w:lineRule="auto"/>
        <w:ind w:left="540" w:hanging="271"/>
        <w:numPr>
          <w:ilvl w:val="0"/>
          <w:numId w:val="42"/>
        </w:numPr>
      </w:pPr>
      <w:r>
        <w:rPr>
          <w:rFonts w:ascii="Calibri" w:hAnsi="Calibri"/>
          <w:color w:val="0B2545"/>
        </w:rPr>
        <w:t>At least one usability round with at least three subjects: Slide 5 documents one round with six participants.</w:t>
      </w:r>
    </w:p>
    <w:p>
      <w:pPr>
        <w:spacing w:after="80" w:line="300" w:lineRule="auto"/>
        <w:ind w:left="540" w:hanging="271"/>
        <w:numPr>
          <w:ilvl w:val="0"/>
          <w:numId w:val="42"/>
        </w:numPr>
      </w:pPr>
      <w:r>
        <w:rPr>
          <w:rFonts w:ascii="Calibri" w:hAnsi="Calibri"/>
          <w:color w:val="0B2545"/>
        </w:rPr>
        <w:t>Testing conclusions: Slide 6.</w:t>
      </w:r>
    </w:p>
    <w:p>
      <w:pPr>
        <w:spacing w:after="80" w:line="300" w:lineRule="auto"/>
        <w:ind w:left="540" w:hanging="271"/>
        <w:numPr>
          <w:ilvl w:val="0"/>
          <w:numId w:val="42"/>
        </w:numPr>
      </w:pPr>
      <w:r>
        <w:rPr>
          <w:rFonts w:ascii="Calibri" w:hAnsi="Calibri"/>
          <w:color w:val="0B2545"/>
        </w:rPr>
        <w:t>Design changes in response to findings: Slides 7 and 8.</w:t>
      </w:r>
    </w:p>
    <w:p>
      <w:pPr>
        <w:spacing w:after="80" w:line="300" w:lineRule="auto"/>
        <w:ind w:left="540" w:hanging="271"/>
        <w:numPr>
          <w:ilvl w:val="0"/>
          <w:numId w:val="42"/>
        </w:numPr>
      </w:pPr>
      <w:r>
        <w:rPr>
          <w:rFonts w:ascii="Calibri" w:hAnsi="Calibri"/>
          <w:color w:val="0B2545"/>
        </w:rPr>
        <w:t>Tool choices: Slide 9.</w:t>
      </w:r>
    </w:p>
    <w:p>
      <w:pPr>
        <w:spacing w:after="80" w:line="300" w:lineRule="auto"/>
        <w:ind w:left="540" w:hanging="271"/>
        <w:numPr>
          <w:ilvl w:val="0"/>
          <w:numId w:val="42"/>
        </w:numPr>
      </w:pPr>
      <w:r>
        <w:rPr>
          <w:rFonts w:ascii="Calibri" w:hAnsi="Calibri"/>
          <w:color w:val="0B2545"/>
        </w:rPr>
        <w:t>All team members participate: each presenter leads one live demo and multiple evidence slides.</w:t>
      </w:r>
    </w:p>
    <w:p>
      <w:pPr>
        <w:pStyle w:val="Heading1"/>
      </w:pPr>
      <w:r>
        <w:t>Rehearsal checkpoints</w:t>
      </w:r>
    </w:p>
    <w:p>
      <w:pPr>
        <w:spacing w:after="80" w:line="300" w:lineRule="auto"/>
        <w:ind w:left="540" w:hanging="271"/>
        <w:numPr>
          <w:ilvl w:val="0"/>
          <w:numId w:val="42"/>
        </w:numPr>
      </w:pPr>
      <w:r>
        <w:rPr>
          <w:rFonts w:ascii="Calibri" w:hAnsi="Calibri"/>
          <w:color w:val="0B2545"/>
        </w:rPr>
        <w:t>Rehearse from a fresh browser tab and verify both named player-seasons are selectable.</w:t>
      </w:r>
    </w:p>
    <w:p>
      <w:pPr>
        <w:spacing w:after="80" w:line="300" w:lineRule="auto"/>
        <w:ind w:left="540" w:hanging="271"/>
        <w:numPr>
          <w:ilvl w:val="0"/>
          <w:numId w:val="42"/>
        </w:numPr>
      </w:pPr>
      <w:r>
        <w:rPr>
          <w:rFonts w:ascii="Calibri" w:hAnsi="Calibri"/>
          <w:color w:val="0B2545"/>
        </w:rPr>
        <w:t>Preload the Role Explorer and Team Roster Lab before class; keep Slides 3 and 4 available as large fallback images.</w:t>
      </w:r>
    </w:p>
    <w:p>
      <w:pPr>
        <w:spacing w:after="80" w:line="300" w:lineRule="auto"/>
        <w:ind w:left="540" w:hanging="271"/>
        <w:numPr>
          <w:ilvl w:val="0"/>
          <w:numId w:val="42"/>
        </w:numPr>
      </w:pPr>
      <w:r>
        <w:rPr>
          <w:rFonts w:ascii="Calibri" w:hAnsi="Calibri"/>
          <w:color w:val="0B2545"/>
        </w:rPr>
        <w:t>Do not narrate every chart. Use the dashboard only to answer the two demo questions.</w:t>
      </w:r>
    </w:p>
    <w:p>
      <w:pPr>
        <w:spacing w:after="80" w:line="300" w:lineRule="auto"/>
        <w:ind w:left="540" w:hanging="271"/>
        <w:numPr>
          <w:ilvl w:val="0"/>
          <w:numId w:val="42"/>
        </w:numPr>
      </w:pPr>
      <w:r>
        <w:rPr>
          <w:rFonts w:ascii="Calibri" w:hAnsi="Calibri"/>
          <w:color w:val="0B2545"/>
        </w:rPr>
        <w:t>Call time at the end of Slides 4, 6, and 8. Target 6:30, 9:30, and 12:15 elapsed.</w:t>
      </w:r>
    </w:p>
    <w:p>
      <w:pPr>
        <w:spacing w:after="80" w:line="300" w:lineRule="auto"/>
        <w:ind w:left="540" w:hanging="271"/>
        <w:numPr>
          <w:ilvl w:val="0"/>
          <w:numId w:val="42"/>
        </w:numPr>
      </w:pPr>
      <w:r>
        <w:rPr>
          <w:rFonts w:ascii="Calibri" w:hAnsi="Calibri"/>
          <w:color w:val="0B2545"/>
        </w:rPr>
        <w:t>If a demo stalls, return to the deck immediately and use the fallback screenshot while keeping the same explanation.</w:t>
      </w:r>
    </w:p>
    <w:p>
      <w:pPr>
        <w:spacing w:after="80" w:line="300" w:lineRule="auto"/>
        <w:ind w:left="540" w:hanging="271"/>
        <w:numPr>
          <w:ilvl w:val="0"/>
          <w:numId w:val="42"/>
        </w:numPr>
      </w:pPr>
      <w:r>
        <w:rPr>
          <w:rFonts w:ascii="Calibri" w:hAnsi="Calibri"/>
          <w:color w:val="0B2545"/>
        </w:rPr>
        <w:t>End by 15:00, including the limitations and the invitation for questions.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5E6B78"/>
        <w:sz w:val="17"/>
      </w:rPr>
      <w:t xml:space="preserve">Beyond Points Per Game  |  </w:t>
    </w:r>
    <w:r>
      <w:rPr>
        <w:rFonts w:ascii="Calibri" w:hAnsi="Calibri"/>
        <w:color w:val="5E6B7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color w:val="5E6B78"/>
        <w:sz w:val="17"/>
      </w:rPr>
      <w:t>Final Presentation Speaker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lvlJc w:val="left"/>
      <w:pPr>
        <w:tabs>
          <w:tab w:val="num" w:pos="540"/>
        </w:tabs>
        <w:ind w:left="540" w:hanging="270"/>
        <w:spacing w:after="80" w:line="300" w:lineRule="auto"/>
      </w:pPr>
    </w:lvl>
  </w:abstractNum>
  <w:num w:numId="42">
    <w:abstractNumId w:val="42"/>
  </w:num>
  <w:abstractNum w:abstractNumId="43">
    <w:multiLevelType w:val="singleLevel"/>
    <w:lvl w:ilvl="0">
      <w:start w:val="1"/>
      <w:numFmt w:val="decimal"/>
      <w:lvlText w:val="%1."/>
      <w:lvlJc w:val="left"/>
      <w:pPr>
        <w:tabs>
          <w:tab w:val="num" w:pos="540"/>
        </w:tabs>
        <w:ind w:left="540" w:hanging="270"/>
        <w:spacing w:after="80" w:line="300" w:lineRule="auto"/>
      </w:pPr>
    </w:lvl>
  </w:abstract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Kicker">
    <w:name w:val="Project Kicker"/>
    <w:pPr>
      <w:spacing w:before="0" w:after="60" w:line="240" w:lineRule="auto"/>
    </w:pPr>
    <w:rPr>
      <w:rFonts w:ascii="Calibri" w:hAnsi="Calibri"/>
      <w:b/>
      <w:i w:val="0"/>
      <w:color w:val="0A7F98"/>
      <w:sz w:val="21"/>
    </w:rPr>
  </w:style>
  <w:style w:type="paragraph" w:customStyle="1" w:styleId="ProjectTitle">
    <w:name w:val="Project Title"/>
    <w:pPr>
      <w:spacing w:before="0" w:after="160" w:line="240" w:lineRule="auto"/>
    </w:pPr>
    <w:rPr>
      <w:rFonts w:ascii="Calibri" w:hAnsi="Calibri"/>
      <w:b/>
      <w:i w:val="0"/>
      <w:color w:val="0B2545"/>
      <w:sz w:val="58"/>
    </w:rPr>
  </w:style>
  <w:style w:type="paragraph" w:customStyle="1" w:styleId="ProjectSubtitle">
    <w:name w:val="Project Subtitle"/>
    <w:pPr>
      <w:spacing w:before="0" w:after="360" w:line="269" w:lineRule="auto"/>
    </w:pPr>
    <w:rPr>
      <w:rFonts w:ascii="Calibri" w:hAnsi="Calibri"/>
      <w:b w:val="0"/>
      <w:i w:val="0"/>
      <w:color w:val="5E6B78"/>
      <w:sz w:val="26"/>
    </w:rPr>
  </w:style>
  <w:style w:type="paragraph" w:customStyle="1" w:styleId="TimingLine">
    <w:name w:val="Timing Line"/>
    <w:pPr>
      <w:spacing w:before="0" w:after="160" w:line="240" w:lineRule="auto"/>
    </w:pPr>
    <w:rPr>
      <w:rFonts w:ascii="Calibri" w:hAnsi="Calibri"/>
      <w:b/>
      <w:i w:val="0"/>
      <w:color w:val="5E6B78"/>
      <w:sz w:val="19"/>
    </w:rPr>
  </w:style>
  <w:style w:type="paragraph" w:customStyle="1" w:styleId="SpeakerCue">
    <w:name w:val="Speaker Cue"/>
    <w:pPr>
      <w:spacing w:before="160" w:after="60" w:line="240" w:lineRule="auto"/>
    </w:pPr>
    <w:rPr>
      <w:rFonts w:ascii="Calibri" w:hAnsi="Calibri"/>
      <w:b/>
      <w:i w:val="0"/>
      <w:color w:val="2E74B5"/>
      <w:sz w:val="23"/>
    </w:rPr>
  </w:style>
  <w:style w:type="paragraph" w:customStyle="1" w:styleId="StageDirection">
    <w:name w:val="Stage Direction"/>
    <w:pPr>
      <w:spacing w:before="60" w:after="140" w:line="269" w:lineRule="auto"/>
    </w:pPr>
    <w:rPr>
      <w:rFonts w:ascii="Calibri" w:hAnsi="Calibri"/>
      <w:b w:val="0"/>
      <w:i/>
      <w:color w:val="5E6B78"/>
      <w:sz w:val="19"/>
    </w:rPr>
  </w:style>
  <w:style w:type="paragraph" w:customStyle="1" w:styleId="ClosingCue">
    <w:name w:val="Closing Cue"/>
    <w:pPr>
      <w:spacing w:before="100" w:after="120" w:line="240" w:lineRule="auto"/>
    </w:pPr>
    <w:rPr>
      <w:rFonts w:ascii="Calibri" w:hAnsi="Calibri"/>
      <w:b/>
      <w:i w:val="0"/>
      <w:color w:val="9A65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Presentation Speaker Plan</dc:title>
  <dc:subject>DATASCI 209 final project presentation</dc:subject>
  <dc:creator>Kenny Dolgin and Ryan Wenstrom</dc:creator>
  <cp:keywords/>
  <dc:description>generated by python-docx</dc:description>
  <cp:lastModifiedBy/>
  <cp:revision>1</cp:revision>
  <dcterms:created xsi:type="dcterms:W3CDTF">2013-12-23T23:15:00Z</dcterms:created>
  <dcterms:modified xsi:type="dcterms:W3CDTF">2013-12-23T23:15:00Z</dcterms:modified>
  <cp:category/>
</cp:coreProperties>
</file>