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RAMAIAH INSTITUTE OF TECHNOLOGY</w:t>
      </w:r>
    </w:p>
    <w:p>
      <w:pPr>
        <w:spacing w:after="60"/>
        <w:jc w:val="center"/>
      </w:pPr>
      <w:r>
        <w:rPr>
          <w:rFonts w:ascii="Times New Roman" w:cs="Times New Roman" w:eastAsia="Times New Roman" w:hAnsi="Times New Roman"/>
          <w:b/>
          <w:bCs/>
          <w:sz w:val="22"/>
          <w:szCs w:val="22"/>
        </w:rPr>
        <w:t xml:space="preserve">(Autonomous Institute Affiliated to VTU), Bangalore</w:t>
      </w:r>
    </w:p>
    <w:p>
      <w:pPr>
        <w:spacing w:after="60"/>
        <w:jc w:val="center"/>
      </w:pPr>
      <w:r>
        <w:rPr>
          <w:rFonts w:ascii="Times New Roman" w:cs="Times New Roman" w:eastAsia="Times New Roman" w:hAnsi="Times New Roman"/>
          <w:b/>
          <w:bCs/>
          <w:sz w:val="22"/>
          <w:szCs w:val="22"/>
        </w:rPr>
        <w:t xml:space="preserve">Dept. of Electronics and Communication Engineering</w:t>
      </w:r>
    </w:p>
    <w:p>
      <w:pPr>
        <w:spacing w:after="60"/>
        <w:jc w:val="center"/>
      </w:pPr>
      <w:r>
        <w:rPr>
          <w:rFonts w:ascii="Times New Roman" w:cs="Times New Roman" w:eastAsia="Times New Roman" w:hAnsi="Times New Roman"/>
          <w:b w:val="false"/>
          <w:bCs w:val="false"/>
          <w:sz w:val="22"/>
          <w:szCs w:val="22"/>
        </w:rPr>
        <w:t xml:space="preserve"/>
      </w:r>
    </w:p>
    <w:p>
      <w:pPr>
        <w:spacing w:after="60"/>
        <w:jc w:val="center"/>
      </w:pPr>
      <w:r>
        <w:rPr>
          <w:rFonts w:ascii="Times New Roman" w:cs="Times New Roman" w:eastAsia="Times New Roman" w:hAnsi="Times New Roman"/>
          <w:b/>
          <w:bCs/>
          <w:sz w:val="22"/>
          <w:szCs w:val="22"/>
        </w:rPr>
        <w:t xml:space="preserve">MINI PROJECT WORK (23ECP67)</w:t>
      </w:r>
    </w:p>
    <w:p>
      <w:pPr>
        <w:spacing w:after="60"/>
        <w:jc w:val="center"/>
      </w:pPr>
      <w:r>
        <w:rPr>
          <w:rFonts w:ascii="Times New Roman" w:cs="Times New Roman" w:eastAsia="Times New Roman" w:hAnsi="Times New Roman"/>
          <w:b/>
          <w:bCs/>
          <w:sz w:val="22"/>
          <w:szCs w:val="22"/>
        </w:rPr>
        <w:t xml:space="preserve">SECOND REVIEW REPORT</w:t>
      </w:r>
    </w:p>
    <w:p>
      <w:pPr>
        <w:spacing w:after="60"/>
        <w:jc w:val="center"/>
      </w:pPr>
      <w:r>
        <w:rPr>
          <w:rFonts w:ascii="Times New Roman" w:cs="Times New Roman" w:eastAsia="Times New Roman" w:hAnsi="Times New Roman"/>
          <w:b w:val="false"/>
          <w:bCs w:val="false"/>
          <w:sz w:val="22"/>
          <w:szCs w:val="22"/>
        </w:rPr>
        <w:t xml:space="preserve"/>
      </w:r>
    </w:p>
    <w:p>
      <w:pPr>
        <w:spacing w:after="60"/>
        <w:jc w:val="center"/>
      </w:pPr>
      <w:r>
        <w:rPr>
          <w:rFonts w:ascii="Times New Roman" w:cs="Times New Roman" w:eastAsia="Times New Roman" w:hAnsi="Times New Roman"/>
          <w:b w:val="false"/>
          <w:bCs w:val="false"/>
          <w:sz w:val="22"/>
          <w:szCs w:val="22"/>
        </w:rPr>
        <w:t xml:space="preserve">REPORT ON</w:t>
      </w:r>
    </w:p>
    <w:p>
      <w:pPr>
        <w:spacing w:after="60"/>
        <w:jc w:val="center"/>
      </w:pPr>
      <w:r>
        <w:rPr>
          <w:rFonts w:ascii="Times New Roman" w:cs="Times New Roman" w:eastAsia="Times New Roman" w:hAnsi="Times New Roman"/>
          <w:b/>
          <w:bCs/>
          <w:sz w:val="26"/>
          <w:szCs w:val="26"/>
        </w:rPr>
        <w:t xml:space="preserve">Power Allocation in Cognitive Radio Networks</w:t>
      </w:r>
    </w:p>
    <w:p>
      <w:pPr>
        <w:spacing w:after="60"/>
        <w:jc w:val="center"/>
      </w:pPr>
      <w:r>
        <w:rPr>
          <w:rFonts w:ascii="Times New Roman" w:cs="Times New Roman" w:eastAsia="Times New Roman" w:hAnsi="Times New Roman"/>
          <w:b/>
          <w:bCs/>
          <w:sz w:val="26"/>
          <w:szCs w:val="26"/>
        </w:rPr>
        <w:t xml:space="preserve">using Deep Reinforcement Learning</w:t>
      </w:r>
    </w:p>
    <w:p>
      <w:pPr>
        <w:spacing w:after="60"/>
        <w:jc w:val="center"/>
      </w:pPr>
      <w:r>
        <w:rPr>
          <w:rFonts w:ascii="Times New Roman" w:cs="Times New Roman" w:eastAsia="Times New Roman" w:hAnsi="Times New Roman"/>
          <w:b w:val="false"/>
          <w:bCs w:val="false"/>
          <w:sz w:val="20"/>
          <w:szCs w:val="20"/>
        </w:rPr>
        <w:t xml:space="preserve">A Learning-Based Approach to Adaptive Decision-Making</w:t>
      </w:r>
    </w:p>
    <w:p>
      <w:pPr>
        <w:spacing w:after="60"/>
        <w:jc w:val="center"/>
      </w:pPr>
      <w:r>
        <w:rPr>
          <w:rFonts w:ascii="Times New Roman" w:cs="Times New Roman" w:eastAsia="Times New Roman" w:hAnsi="Times New Roman"/>
          <w:b w:val="false"/>
          <w:bCs w:val="false"/>
          <w:sz w:val="22"/>
          <w:szCs w:val="22"/>
        </w:rPr>
        <w:t xml:space="preserve"/>
      </w:r>
    </w:p>
    <w:p>
      <w:pPr>
        <w:spacing w:after="60"/>
        <w:jc w:val="center"/>
      </w:pPr>
      <w:r>
        <w:rPr>
          <w:rFonts w:ascii="Times New Roman" w:cs="Times New Roman" w:eastAsia="Times New Roman" w:hAnsi="Times New Roman"/>
          <w:b w:val="false"/>
          <w:bCs w:val="false"/>
          <w:sz w:val="22"/>
          <w:szCs w:val="22"/>
        </w:rPr>
        <w:t xml:space="preserve"/>
      </w:r>
    </w:p>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b/>
                <w:bCs/>
                <w:sz w:val="22"/>
                <w:szCs w:val="22"/>
              </w:rPr>
              <w:t xml:space="preserve">Under the Guidance of</w:t>
            </w:r>
          </w:p>
          <w:p>
            <w:pPr>
              <w:jc w:val="center"/>
            </w:pPr>
            <w:r>
              <w:rPr>
                <w:rFonts w:ascii="Times New Roman" w:cs="Times New Roman" w:eastAsia="Times New Roman" w:hAnsi="Times New Roman"/>
                <w:b/>
                <w:bCs/>
                <w:sz w:val="22"/>
                <w:szCs w:val="22"/>
              </w:rPr>
              <w:t xml:space="preserve">Dr. CHITRA M</w:t>
            </w:r>
          </w:p>
          <w:p>
            <w:pPr>
              <w:jc w:val="center"/>
            </w:pPr>
            <w:r>
              <w:rPr>
                <w:rFonts w:ascii="Times New Roman" w:cs="Times New Roman" w:eastAsia="Times New Roman" w:hAnsi="Times New Roman"/>
                <w:sz w:val="22"/>
                <w:szCs w:val="22"/>
              </w:rPr>
              <w:t xml:space="preserve">Assistant Professor</w:t>
            </w:r>
          </w:p>
        </w:tc>
        <w:tc>
          <w:tcPr>
            <w:tcW w:type="dxa" w:w="4500"/>
            <w:tcBorders>
              <w:top w:val="none"/>
              <w:left w:val="none"/>
              <w:bottom w:val="none"/>
              <w:right w:val="none"/>
            </w:tcBorders>
          </w:tcPr>
          <w:p>
            <w:pPr>
              <w:jc w:val="center"/>
            </w:pPr>
            <w:r>
              <w:rPr>
                <w:rFonts w:ascii="Times New Roman" w:cs="Times New Roman" w:eastAsia="Times New Roman" w:hAnsi="Times New Roman"/>
                <w:b/>
                <w:bCs/>
                <w:sz w:val="22"/>
                <w:szCs w:val="22"/>
              </w:rPr>
              <w:t xml:space="preserve">Report Submitted by</w:t>
            </w:r>
          </w:p>
          <w:p>
            <w:pPr>
              <w:jc w:val="center"/>
            </w:pPr>
            <w:r>
              <w:rPr>
                <w:rFonts w:ascii="Times New Roman" w:cs="Times New Roman" w:eastAsia="Times New Roman" w:hAnsi="Times New Roman"/>
                <w:b/>
                <w:bCs/>
                <w:sz w:val="21"/>
                <w:szCs w:val="21"/>
              </w:rPr>
              <w:t xml:space="preserve">ADITYA GANGWANI  (1MS23EC007)</w:t>
            </w:r>
          </w:p>
          <w:p>
            <w:pPr>
              <w:jc w:val="center"/>
            </w:pPr>
            <w:r>
              <w:rPr>
                <w:rFonts w:ascii="Times New Roman" w:cs="Times New Roman" w:eastAsia="Times New Roman" w:hAnsi="Times New Roman"/>
                <w:b/>
                <w:bCs/>
                <w:sz w:val="21"/>
                <w:szCs w:val="21"/>
              </w:rPr>
              <w:t xml:space="preserve">RYAN GOMEZ  (1MS23EC109)</w:t>
            </w:r>
          </w:p>
          <w:p>
            <w:pPr>
              <w:jc w:val="center"/>
            </w:pPr>
            <w:r>
              <w:rPr>
                <w:rFonts w:ascii="Times New Roman" w:cs="Times New Roman" w:eastAsia="Times New Roman" w:hAnsi="Times New Roman"/>
                <w:b/>
                <w:bCs/>
                <w:sz w:val="21"/>
                <w:szCs w:val="21"/>
              </w:rPr>
              <w:t xml:space="preserve">SHREYA REVANKAR  (1MS23EC123)</w:t>
            </w:r>
          </w:p>
          <w:p>
            <w:pPr>
              <w:jc w:val="center"/>
            </w:pPr>
            <w:r>
              <w:rPr>
                <w:rFonts w:ascii="Times New Roman" w:cs="Times New Roman" w:eastAsia="Times New Roman" w:hAnsi="Times New Roman"/>
                <w:b/>
                <w:bCs/>
                <w:sz w:val="21"/>
                <w:szCs w:val="21"/>
              </w:rPr>
              <w:t xml:space="preserve">SNEHA TAPADAR  (1MS23EC155)</w:t>
            </w:r>
          </w:p>
        </w:tc>
      </w:tr>
    </w:tbl>
    <w:p>
      <w:r>
        <w:br w:type="page"/>
      </w:r>
    </w:p>
    <w:p>
      <w:pPr>
        <w:pStyle w:val="Heading1"/>
        <w:spacing w:after="120" w:before="260"/>
      </w:pPr>
      <w:r>
        <w:rPr>
          <w:rFonts w:ascii="Times New Roman" w:cs="Times New Roman" w:eastAsia="Times New Roman" w:hAnsi="Times New Roman"/>
          <w:b/>
          <w:bCs/>
          <w:sz w:val="28"/>
          <w:szCs w:val="28"/>
        </w:rPr>
        <w:t xml:space="preserve">1.  Introduction</w:t>
      </w:r>
    </w:p>
    <w:p>
      <w:pPr>
        <w:spacing w:after="100" w:line="280"/>
        <w:jc w:val="both"/>
      </w:pPr>
      <w:r>
        <w:rPr>
          <w:rFonts w:ascii="Times New Roman" w:cs="Times New Roman" w:eastAsia="Times New Roman" w:hAnsi="Times New Roman"/>
          <w:b w:val="false"/>
          <w:bCs w:val="false"/>
          <w:i w:val="false"/>
          <w:iCs w:val="false"/>
          <w:sz w:val="22"/>
          <w:szCs w:val="22"/>
        </w:rPr>
        <w:t xml:space="preserve">Building on the Phase-1 foundation, this report presents the implementation and evaluation of three Deep Reinforcement Learning (DRL) algorithms for dynamic power allocation in underlay Cognitive Radio Networks (CRNs) under Nakagami-m block fading with imperfect Channel State Information (CSI). Cognitive Radio Networks allow unlicensed Secondary Users (SU) to opportunistically access spectrum licensed to Primary Users (PU). The central challenge is to maximise SU throughput while protecting the PU from harmful interference under fast time-varying channel conditions. Classical water-filling and rule-based solutions assume perfect channel knowledge and are infeasible in realistic stochastic settings; DRL offers a model-free, continuous-action alternative that learns directly from environment interaction.</w:t>
      </w:r>
    </w:p>
    <w:p>
      <w:pPr>
        <w:spacing w:after="100" w:line="280"/>
        <w:jc w:val="both"/>
      </w:pPr>
      <w:r>
        <w:rPr>
          <w:rFonts w:ascii="Times New Roman" w:cs="Times New Roman" w:eastAsia="Times New Roman" w:hAnsi="Times New Roman"/>
          <w:b w:val="false"/>
          <w:bCs w:val="false"/>
          <w:i w:val="false"/>
          <w:iCs w:val="false"/>
          <w:sz w:val="22"/>
          <w:szCs w:val="22"/>
        </w:rPr>
        <w:t xml:space="preserve">The CRN literature defines three operational paradigms — Underlay, Overlay and Interweave. In Underlay, the SU transmits simultaneously with the PU but keeps interference below a pre-defined threshold using continuous power control. In Overlay, the SU has prior knowledge of the PU codebook and splits its power between its own data and relaying / pre-coding for the PU. In Interweave, the SU transmits only when it has sensed the PU absent. This work focuses on Underlay, where the SU continuously coexists with the PU and uses RL to dynamically choose its transmit power.</w:t>
      </w:r>
    </w:p>
    <w:p>
      <w:pPr>
        <w:spacing w:after="100" w:line="280"/>
        <w:jc w:val="both"/>
      </w:pPr>
      <w:r>
        <w:rPr>
          <w:rFonts w:ascii="Times New Roman" w:cs="Times New Roman" w:eastAsia="Times New Roman" w:hAnsi="Times New Roman"/>
          <w:b w:val="false"/>
          <w:bCs w:val="false"/>
          <w:i w:val="false"/>
          <w:iCs w:val="false"/>
          <w:sz w:val="22"/>
          <w:szCs w:val="22"/>
        </w:rPr>
        <w:t xml:space="preserve">Reinforcement Learning formalises sequential decision making as a Markov Decision Process (S, A, P, R, γ) and learns a policy that maximises the expected cumulative reward through trial-and-error interaction. Deep RL uses neural networks as function approximators for the policy and value function, enabling continuous high-dimensional control such as the CRN power-allocation problem. In Phase 1 the problem was modelled as an MDP and DDPG was implemented as a baseline. In this phase the work is extended in three directions: (i) implementing and benchmarking TD3 against DDPG; (ii) designing a Proposed Algorithm that augments TD3 with a GRU belief encoder, decomposed multi-objective critics, adaptive Lagrangian weights and directional exploration noise; and (iii) comparing all three under Nakagami-m fading at m = 1 (Rayleigh) and m = 3 (moderate) with imperfect CSI.</w:t>
      </w:r>
    </w:p>
    <w:p>
      <w:pPr>
        <w:pStyle w:val="Heading1"/>
        <w:spacing w:after="120" w:before="260"/>
      </w:pPr>
      <w:r>
        <w:rPr>
          <w:rFonts w:ascii="Times New Roman" w:cs="Times New Roman" w:eastAsia="Times New Roman" w:hAnsi="Times New Roman"/>
          <w:b/>
          <w:bCs/>
          <w:sz w:val="28"/>
          <w:szCs w:val="28"/>
        </w:rPr>
        <w:t xml:space="preserve">2.  Problem Statement</w:t>
      </w:r>
    </w:p>
    <w:p>
      <w:pPr>
        <w:spacing w:after="100" w:line="280"/>
        <w:jc w:val="both"/>
      </w:pPr>
      <w:r>
        <w:rPr>
          <w:rFonts w:ascii="Times New Roman" w:cs="Times New Roman" w:eastAsia="Times New Roman" w:hAnsi="Times New Roman"/>
          <w:b w:val="false"/>
          <w:bCs w:val="false"/>
          <w:i w:val="false"/>
          <w:iCs w:val="false"/>
          <w:sz w:val="22"/>
          <w:szCs w:val="22"/>
        </w:rPr>
        <w:t xml:space="preserve">Cognitive Radio Networks enable efficient spectrum utilisation by allowing Secondary Users to opportunistically access licensed bands while maintaining acceptable interference levels to Primary Users. Dynamic power allocation plays a crucial role in maximising secondary network performance under time-varying channel and interference conditions.</w:t>
      </w:r>
    </w:p>
    <w:p>
      <w:pPr>
        <w:spacing w:after="100" w:line="280"/>
        <w:jc w:val="both"/>
      </w:pPr>
      <w:r>
        <w:rPr>
          <w:rFonts w:ascii="Times New Roman" w:cs="Times New Roman" w:eastAsia="Times New Roman" w:hAnsi="Times New Roman"/>
          <w:b w:val="false"/>
          <w:bCs w:val="false"/>
          <w:i w:val="false"/>
          <w:iCs w:val="false"/>
          <w:sz w:val="22"/>
          <w:szCs w:val="22"/>
        </w:rPr>
        <w:t xml:space="preserve">However, existing DQN-based power allocation methods rely on discrete action spaces, resulting in coarse power control and performance loss in continuous settings. They also inadequately capture heterogeneous interference and Quality-of-Service (QoS) constraints in CRNs, motivating the need for more effective learning frameworks for dynamic power adaptation.</w:t>
      </w:r>
    </w:p>
    <w:p>
      <w:pPr>
        <w:spacing w:after="100" w:line="280"/>
        <w:jc w:val="both"/>
      </w:pPr>
      <w:r>
        <w:rPr>
          <w:rFonts w:ascii="Times New Roman" w:cs="Times New Roman" w:eastAsia="Times New Roman" w:hAnsi="Times New Roman"/>
          <w:b w:val="false"/>
          <w:bCs w:val="false"/>
          <w:i w:val="false"/>
          <w:iCs w:val="false"/>
          <w:sz w:val="22"/>
          <w:szCs w:val="22"/>
        </w:rPr>
        <w:t xml:space="preserve">Specifically, four challenges must be addressed: (i) continuous control — discrete DQN bins are too coarse for fine-grained P_s tuning under Nakagami fading; (ii) heterogeneous interference — PU and SU experience different channel statistics, and a single-weight scalar reward mis-prioritises objectives; (iii) QoS constraints — the PU SINR threshold γ_th must be respected without manually tuning penalty weights; and (iv) non-stationarity — channel realisations vary every coherence block, so the policy must adapt online.</w:t>
      </w:r>
    </w:p>
    <w:p>
      <w:pPr>
        <w:pStyle w:val="Heading1"/>
        <w:spacing w:after="120" w:before="260"/>
      </w:pPr>
      <w:r>
        <w:rPr>
          <w:rFonts w:ascii="Times New Roman" w:cs="Times New Roman" w:eastAsia="Times New Roman" w:hAnsi="Times New Roman"/>
          <w:b/>
          <w:bCs/>
          <w:sz w:val="28"/>
          <w:szCs w:val="28"/>
        </w:rPr>
        <w:t xml:space="preserve">3.  Objectives and Scope</w:t>
      </w:r>
    </w:p>
    <w:p>
      <w:pPr>
        <w:pStyle w:val="Heading3"/>
        <w:spacing w:after="60" w:before="140"/>
      </w:pPr>
      <w:r>
        <w:rPr>
          <w:rFonts w:ascii="Times New Roman" w:cs="Times New Roman" w:eastAsia="Times New Roman" w:hAnsi="Times New Roman"/>
          <w:b/>
          <w:bCs/>
          <w:sz w:val="22"/>
          <w:szCs w:val="22"/>
        </w:rPr>
        <w:t xml:space="preserve">Objectives</w:t>
      </w:r>
    </w:p>
    <w:p>
      <w:pPr>
        <w:pStyle w:val="ListParagraph"/>
        <w:numPr>
          <w:ilvl w:val="0"/>
          <w:numId w:val="2"/>
        </w:numPr>
        <w:spacing w:after="40"/>
      </w:pPr>
      <w:r>
        <w:rPr>
          <w:rFonts w:ascii="Times New Roman" w:cs="Times New Roman" w:eastAsia="Times New Roman" w:hAnsi="Times New Roman"/>
          <w:sz w:val="22"/>
          <w:szCs w:val="22"/>
        </w:rPr>
        <w:t xml:space="preserve">To develop a learning-based framework for dynamic power allocation in Cognitive Radio Networks that overcomes the limitations of discrete action spaces in conventional DQN methods.</w:t>
      </w:r>
    </w:p>
    <w:p>
      <w:pPr>
        <w:pStyle w:val="ListParagraph"/>
        <w:numPr>
          <w:ilvl w:val="0"/>
          <w:numId w:val="2"/>
        </w:numPr>
        <w:spacing w:after="40"/>
      </w:pPr>
      <w:r>
        <w:rPr>
          <w:rFonts w:ascii="Times New Roman" w:cs="Times New Roman" w:eastAsia="Times New Roman" w:hAnsi="Times New Roman"/>
          <w:sz w:val="22"/>
          <w:szCs w:val="22"/>
        </w:rPr>
        <w:t xml:space="preserve">To incorporate heterogeneous interference awareness and QoS constraints into the power control strategy for improved secondary user performance and primary user protection.</w:t>
      </w:r>
    </w:p>
    <w:p>
      <w:pPr>
        <w:pStyle w:val="ListParagraph"/>
        <w:numPr>
          <w:ilvl w:val="0"/>
          <w:numId w:val="2"/>
        </w:numPr>
        <w:spacing w:after="40"/>
      </w:pPr>
      <w:r>
        <w:rPr>
          <w:rFonts w:ascii="Times New Roman" w:cs="Times New Roman" w:eastAsia="Times New Roman" w:hAnsi="Times New Roman"/>
          <w:sz w:val="22"/>
          <w:szCs w:val="22"/>
        </w:rPr>
        <w:t xml:space="preserve">To evaluate the proposed approach in terms of spectrum efficiency, interference management and learning convergence under dynamic CRN environments.</w:t>
      </w:r>
    </w:p>
    <w:p>
      <w:pPr>
        <w:pStyle w:val="Heading3"/>
        <w:spacing w:after="60" w:before="140"/>
      </w:pPr>
      <w:r>
        <w:rPr>
          <w:rFonts w:ascii="Times New Roman" w:cs="Times New Roman" w:eastAsia="Times New Roman" w:hAnsi="Times New Roman"/>
          <w:b/>
          <w:bCs/>
          <w:sz w:val="22"/>
          <w:szCs w:val="22"/>
        </w:rPr>
        <w:t xml:space="preserve">Scope</w:t>
      </w:r>
    </w:p>
    <w:p>
      <w:pPr>
        <w:spacing w:after="100" w:line="280"/>
        <w:jc w:val="both"/>
      </w:pPr>
      <w:r>
        <w:rPr>
          <w:rFonts w:ascii="Times New Roman" w:cs="Times New Roman" w:eastAsia="Times New Roman" w:hAnsi="Times New Roman"/>
          <w:b w:val="false"/>
          <w:bCs w:val="false"/>
          <w:i w:val="false"/>
          <w:iCs w:val="false"/>
          <w:sz w:val="22"/>
          <w:szCs w:val="22"/>
        </w:rPr>
        <w:t xml:space="preserve">The project considers a four-node underlay CRN with one PU pair and one SU pair sharing the same band. Channel gains follow a Nakagami-m block-fading model with severity parameter m ∈ {1, 3}. The SU agent observes only imperfect CSI — noisy estimates of the four channel gains and the two SINRs. Action space is the continuous transmit power P_s ∈ [0, P_max]. The agent is trained off-policy with replay buffers, on a single GPU, for 1 500 to 3 500 episodes of 200 channel uses each. Out of scope for this phase: multi-SU scenarios, path-loss / mobility models, OFDM extensions and spectrum-sensing integration — these are listed in Section 7.</w:t>
      </w:r>
    </w:p>
    <w:p>
      <w:pPr>
        <w:spacing w:after="100" w:line="280"/>
        <w:jc w:val="both"/>
      </w:pPr>
      <w:r>
        <w:rPr>
          <w:rFonts w:ascii="Times New Roman" w:cs="Times New Roman" w:eastAsia="Times New Roman" w:hAnsi="Times New Roman"/>
          <w:b w:val="false"/>
          <w:bCs w:val="false"/>
          <w:i w:val="false"/>
          <w:iCs w:val="false"/>
          <w:sz w:val="22"/>
          <w:szCs w:val="22"/>
        </w:rPr>
        <w:t xml:space="preserve">Expected Outcomes — trained power-control policies for DDPG, TD3 and the Proposed Algorithm; convergence and stability analysis of all three; performance comparison across sum rate, BER, outage probability and PU protection; and a reproducible pipeline (auto-generated PDF reports + real-time React + WebSocket dashboard).</w:t>
      </w:r>
    </w:p>
    <w:p>
      <w:pPr>
        <w:pStyle w:val="Heading1"/>
        <w:spacing w:after="120" w:before="260"/>
      </w:pPr>
      <w:r>
        <w:rPr>
          <w:rFonts w:ascii="Times New Roman" w:cs="Times New Roman" w:eastAsia="Times New Roman" w:hAnsi="Times New Roman"/>
          <w:b/>
          <w:bCs/>
          <w:sz w:val="28"/>
          <w:szCs w:val="28"/>
        </w:rPr>
        <w:t xml:space="preserve">4.  Proposed Design / Algorithm</w:t>
      </w:r>
    </w:p>
    <w:p>
      <w:pPr>
        <w:pStyle w:val="Heading2"/>
        <w:spacing w:after="80" w:before="180"/>
      </w:pPr>
      <w:r>
        <w:rPr>
          <w:rFonts w:ascii="Times New Roman" w:cs="Times New Roman" w:eastAsia="Times New Roman" w:hAnsi="Times New Roman"/>
          <w:b/>
          <w:bCs/>
          <w:sz w:val="24"/>
          <w:szCs w:val="24"/>
        </w:rPr>
        <w:t xml:space="preserve">4.1  System Model</w:t>
      </w:r>
    </w:p>
    <w:p>
      <w:pPr>
        <w:spacing w:after="100" w:line="280"/>
        <w:jc w:val="both"/>
      </w:pPr>
      <w:r>
        <w:rPr>
          <w:rFonts w:ascii="Times New Roman" w:cs="Times New Roman" w:eastAsia="Times New Roman" w:hAnsi="Times New Roman"/>
          <w:b w:val="false"/>
          <w:bCs w:val="false"/>
          <w:i w:val="false"/>
          <w:iCs w:val="false"/>
          <w:sz w:val="22"/>
          <w:szCs w:val="22"/>
        </w:rPr>
        <w:t xml:space="preserve">The system simulates a four-node underlay CRN consisting of Primary Transmitter (PT), Primary Receiver (PR), Secondary Transmitter (ST) and Secondary Receiver (SR). The four wireless links and their channel power gains are |h_pp|² for PT→PR (primary direct), |h_ss|² for ST→SR (secondary direct), |h_sp|² for ST→PR (SU-to-PU interference) and |h_ps|² for PT→SR (PU-to-SU interference). All gains follow Nakagami-m block fading, |h|² ~ Gamma(shape = m, scale = Ω/m), with mean link power Ω = 1.0; m = 1 recovers Rayleigh (severe), m = 3 represents moderate fading. AWGN power σ² = 10⁻³ W is added at every receiver. The agent observes only noisy estimates of these quantities (imperfect CSI).</w:t>
      </w:r>
    </w:p>
    <w:p>
      <w:pPr>
        <w:spacing w:after="100" w:line="280"/>
        <w:jc w:val="both"/>
      </w:pPr>
      <w:r>
        <w:rPr>
          <w:rFonts w:ascii="Times New Roman" w:cs="Times New Roman" w:eastAsia="Times New Roman" w:hAnsi="Times New Roman"/>
          <w:b w:val="false"/>
          <w:bCs w:val="false"/>
          <w:i w:val="false"/>
          <w:iCs w:val="false"/>
          <w:sz w:val="22"/>
          <w:szCs w:val="22"/>
        </w:rPr>
        <w:t xml:space="preserve">SINR and Shannon throughput at each receiver are:</w:t>
      </w:r>
    </w:p>
    <w:p>
      <w:pPr>
        <w:spacing w:after="80" w:before="40"/>
        <w:jc w:val="center"/>
      </w:pPr>
      <w:r>
        <w:rPr>
          <w:rFonts w:ascii="Cambria Math" w:cs="Cambria Math" w:eastAsia="Cambria Math" w:hAnsi="Cambria Math"/>
          <w:sz w:val="22"/>
          <w:szCs w:val="22"/>
        </w:rPr>
        <w:t xml:space="preserve">SINR_p = (P_p · |h_pp|²) / (P_s · |h_sp|² + σ²)        SINR_s = (P_s · |h_ss|²) / (P_p · |h_ps|² + σ²)</w:t>
      </w:r>
    </w:p>
    <w:p>
      <w:pPr>
        <w:spacing w:after="80" w:before="40"/>
        <w:jc w:val="center"/>
      </w:pPr>
      <w:r>
        <w:rPr>
          <w:rFonts w:ascii="Cambria Math" w:cs="Cambria Math" w:eastAsia="Cambria Math" w:hAnsi="Cambria Math"/>
          <w:sz w:val="22"/>
          <w:szCs w:val="22"/>
        </w:rPr>
        <w:t xml:space="preserve">R_s = log₂(1 + SINR_s)        BER = 0.5 · erfc(√SINR)</w:t>
      </w:r>
    </w:p>
    <w:p>
      <w:pPr>
        <w:spacing w:after="100" w:line="280"/>
        <w:jc w:val="both"/>
      </w:pPr>
      <w:r>
        <w:rPr>
          <w:rFonts w:ascii="Times New Roman" w:cs="Times New Roman" w:eastAsia="Times New Roman" w:hAnsi="Times New Roman"/>
          <w:b w:val="false"/>
          <w:bCs w:val="false"/>
          <w:i w:val="false"/>
          <w:iCs w:val="false"/>
          <w:sz w:val="22"/>
          <w:szCs w:val="22"/>
        </w:rPr>
        <w:t xml:space="preserve">where P_p = 1.0 W is the fixed PU power and P_s ∈ [0, 3.0] W is the SU power selected by the RL agent.</w:t>
      </w:r>
    </w:p>
    <w:p>
      <w:pPr>
        <w:pStyle w:val="Heading2"/>
        <w:spacing w:after="80" w:before="180"/>
      </w:pPr>
      <w:r>
        <w:rPr>
          <w:rFonts w:ascii="Times New Roman" w:cs="Times New Roman" w:eastAsia="Times New Roman" w:hAnsi="Times New Roman"/>
          <w:b/>
          <w:bCs/>
          <w:sz w:val="24"/>
          <w:szCs w:val="24"/>
        </w:rPr>
        <w:t xml:space="preserve">4.2  MDP Formulation</w:t>
      </w:r>
    </w:p>
    <w:p>
      <w:pPr>
        <w:spacing w:after="100" w:line="280"/>
        <w:jc w:val="both"/>
      </w:pPr>
      <w:r>
        <w:rPr>
          <w:rFonts w:ascii="Times New Roman" w:cs="Times New Roman" w:eastAsia="Times New Roman" w:hAnsi="Times New Roman"/>
          <w:b w:val="false"/>
          <w:bCs w:val="false"/>
          <w:i w:val="false"/>
          <w:iCs w:val="false"/>
          <w:sz w:val="22"/>
          <w:szCs w:val="22"/>
        </w:rPr>
        <w:t xml:space="preserve">State (7-dim, continuous):</w:t>
      </w:r>
    </w:p>
    <w:p>
      <w:pPr>
        <w:spacing w:after="80" w:before="40"/>
        <w:jc w:val="center"/>
      </w:pPr>
      <w:r>
        <w:rPr>
          <w:rFonts w:ascii="Cambria Math" w:cs="Cambria Math" w:eastAsia="Cambria Math" w:hAnsi="Cambria Math"/>
          <w:sz w:val="22"/>
          <w:szCs w:val="22"/>
        </w:rPr>
        <w:t xml:space="preserve">s_t = [ |h_pp|², |h_sp|², |h_ss|², |h_ps|², SINR_p, SINR_s, P_s(t−1) ]</w:t>
      </w:r>
    </w:p>
    <w:p>
      <w:pPr>
        <w:spacing w:after="100" w:line="280"/>
        <w:jc w:val="both"/>
      </w:pPr>
      <w:r>
        <w:rPr>
          <w:rFonts w:ascii="Times New Roman" w:cs="Times New Roman" w:eastAsia="Times New Roman" w:hAnsi="Times New Roman"/>
          <w:b w:val="false"/>
          <w:bCs w:val="false"/>
          <w:i w:val="false"/>
          <w:iCs w:val="false"/>
          <w:sz w:val="22"/>
          <w:szCs w:val="22"/>
        </w:rPr>
        <w:t xml:space="preserve">Action: a_t = P_s ∈ [0, P_max]. The scalar reward used by DDPG and TD3 is:</w:t>
      </w:r>
    </w:p>
    <w:p>
      <w:pPr>
        <w:spacing w:after="80" w:before="40"/>
        <w:jc w:val="center"/>
      </w:pPr>
      <w:r>
        <w:rPr>
          <w:rFonts w:ascii="Cambria Math" w:cs="Cambria Math" w:eastAsia="Cambria Math" w:hAnsi="Cambria Math"/>
          <w:sz w:val="22"/>
          <w:szCs w:val="22"/>
        </w:rPr>
        <w:t xml:space="preserve">r_t = α · log₂(1 + SINR_s) − β · max(0, γ_th − SINR_p) − γ_e · (P_s / P_max)</w:t>
      </w:r>
    </w:p>
    <w:p>
      <w:pPr>
        <w:spacing w:after="100" w:line="280"/>
        <w:jc w:val="both"/>
      </w:pPr>
      <w:r>
        <w:rPr>
          <w:rFonts w:ascii="Times New Roman" w:cs="Times New Roman" w:eastAsia="Times New Roman" w:hAnsi="Times New Roman"/>
          <w:b w:val="false"/>
          <w:bCs w:val="false"/>
          <w:i w:val="false"/>
          <w:iCs w:val="false"/>
          <w:sz w:val="22"/>
          <w:szCs w:val="22"/>
        </w:rPr>
        <w:t xml:space="preserve">with α = 1.0 (throughput), β = 1.5 (PU protection hinge penalty) and γ_e = 0.005 (energy). The Proposed Algorithm decomposes this scalar into a 3-vector and learns each component with a dedicated critic.</w:t>
      </w:r>
    </w:p>
    <w:p>
      <w:pPr>
        <w:pStyle w:val="Heading2"/>
        <w:spacing w:after="80" w:before="180"/>
      </w:pPr>
      <w:r>
        <w:rPr>
          <w:rFonts w:ascii="Times New Roman" w:cs="Times New Roman" w:eastAsia="Times New Roman" w:hAnsi="Times New Roman"/>
          <w:b/>
          <w:bCs/>
          <w:sz w:val="24"/>
          <w:szCs w:val="24"/>
        </w:rPr>
        <w:t xml:space="preserve">4.3  Proposed Algorithm</w:t>
      </w:r>
    </w:p>
    <w:p>
      <w:pPr>
        <w:spacing w:after="100" w:line="280"/>
        <w:jc w:val="both"/>
      </w:pPr>
      <w:r>
        <w:rPr>
          <w:rFonts w:ascii="Times New Roman" w:cs="Times New Roman" w:eastAsia="Times New Roman" w:hAnsi="Times New Roman"/>
          <w:b w:val="false"/>
          <w:bCs w:val="false"/>
          <w:i w:val="false"/>
          <w:iCs w:val="false"/>
          <w:sz w:val="22"/>
          <w:szCs w:val="22"/>
        </w:rPr>
        <w:t xml:space="preserve">The Proposed Algorithm is a constrained, adaptive, multi-objective extension of TD3 (Fujimoto et al., 2018) designed specifically for the CRN power-allocation problem. It introduces four novel components on top of standard TD3.</w:t>
      </w:r>
    </w:p>
    <w:p>
      <w:pPr>
        <w:pStyle w:val="Heading3"/>
        <w:spacing w:after="60" w:before="140"/>
      </w:pPr>
      <w:r>
        <w:rPr>
          <w:rFonts w:ascii="Times New Roman" w:cs="Times New Roman" w:eastAsia="Times New Roman" w:hAnsi="Times New Roman"/>
          <w:b/>
          <w:bCs/>
          <w:sz w:val="22"/>
          <w:szCs w:val="22"/>
        </w:rPr>
        <w:t xml:space="preserve">4.3.1  GRU Belief Encoder</w:t>
      </w:r>
    </w:p>
    <w:p>
      <w:pPr>
        <w:spacing w:after="100" w:line="280"/>
        <w:jc w:val="both"/>
      </w:pPr>
      <w:r>
        <w:rPr>
          <w:rFonts w:ascii="Times New Roman" w:cs="Times New Roman" w:eastAsia="Times New Roman" w:hAnsi="Times New Roman"/>
          <w:b w:val="false"/>
          <w:bCs w:val="false"/>
          <w:i w:val="false"/>
          <w:iCs w:val="false"/>
          <w:sz w:val="22"/>
          <w:szCs w:val="22"/>
        </w:rPr>
        <w:t xml:space="preserve">A 2-layer GRU (hidden size 64) processes the last SEQ_LEN = 8 observations into a 16-D belief vector b_t = W_proj · h_L + c_proj. The vector captures short-term temporal channel trends that the static 7-D state cannot. Both actor and critics consume the concatenation [s_t, b_t].</w:t>
      </w:r>
    </w:p>
    <w:p>
      <w:pPr>
        <w:pStyle w:val="Heading3"/>
        <w:spacing w:after="60" w:before="140"/>
      </w:pPr>
      <w:r>
        <w:rPr>
          <w:rFonts w:ascii="Times New Roman" w:cs="Times New Roman" w:eastAsia="Times New Roman" w:hAnsi="Times New Roman"/>
          <w:b/>
          <w:bCs/>
          <w:sz w:val="22"/>
          <w:szCs w:val="22"/>
        </w:rPr>
        <w:t xml:space="preserve">4.3.2  Decomposed Multi-Objective Critics</w:t>
      </w:r>
    </w:p>
    <w:p>
      <w:pPr>
        <w:spacing w:after="100" w:line="280"/>
        <w:jc w:val="both"/>
      </w:pPr>
      <w:r>
        <w:rPr>
          <w:rFonts w:ascii="Times New Roman" w:cs="Times New Roman" w:eastAsia="Times New Roman" w:hAnsi="Times New Roman"/>
          <w:b w:val="false"/>
          <w:bCs w:val="false"/>
          <w:i w:val="false"/>
          <w:iCs w:val="false"/>
          <w:sz w:val="22"/>
          <w:szCs w:val="22"/>
        </w:rPr>
        <w:t xml:space="preserve">The scalar reward is replaced by a 3-vector r_t = (r^tput, r^intf, r^energy), one component per objective. Twin critics are maintained per objective (6 critics total). For each objective k:</w:t>
      </w:r>
    </w:p>
    <w:p>
      <w:pPr>
        <w:spacing w:after="80" w:before="40"/>
        <w:jc w:val="center"/>
      </w:pPr>
      <w:r>
        <w:rPr>
          <w:rFonts w:ascii="Cambria Math" w:cs="Cambria Math" w:eastAsia="Cambria Math" w:hAnsi="Cambria Math"/>
          <w:sz w:val="22"/>
          <w:szCs w:val="22"/>
        </w:rPr>
        <w:t xml:space="preserve">y_k = r_t^k + γ · min_{j=1,2} Q_{θ_j,k}′(s′, b′, ã′)        L_k = Σ_i E[(Q_{θ_i,k}(s,b,a) − y_k)²]</w:t>
      </w:r>
    </w:p>
    <w:p>
      <w:pPr>
        <w:spacing w:after="100" w:line="280"/>
        <w:jc w:val="both"/>
      </w:pPr>
      <w:r>
        <w:rPr>
          <w:rFonts w:ascii="Times New Roman" w:cs="Times New Roman" w:eastAsia="Times New Roman" w:hAnsi="Times New Roman"/>
          <w:b w:val="false"/>
          <w:bCs w:val="false"/>
          <w:i w:val="false"/>
          <w:iCs w:val="false"/>
          <w:sz w:val="22"/>
          <w:szCs w:val="22"/>
        </w:rPr>
        <w:t xml:space="preserve">Each critic learns a clean per-objective Q-value, enabling explicit trade-offs.</w:t>
      </w:r>
    </w:p>
    <w:p>
      <w:pPr>
        <w:pStyle w:val="Heading3"/>
        <w:spacing w:after="60" w:before="140"/>
      </w:pPr>
      <w:r>
        <w:rPr>
          <w:rFonts w:ascii="Times New Roman" w:cs="Times New Roman" w:eastAsia="Times New Roman" w:hAnsi="Times New Roman"/>
          <w:b/>
          <w:bCs/>
          <w:sz w:val="22"/>
          <w:szCs w:val="22"/>
        </w:rPr>
        <w:t xml:space="preserve">4.3.3  Adaptive Lagrangian Weights</w:t>
      </w:r>
    </w:p>
    <w:p>
      <w:pPr>
        <w:spacing w:after="100" w:line="280"/>
        <w:jc w:val="both"/>
      </w:pPr>
      <w:r>
        <w:rPr>
          <w:rFonts w:ascii="Times New Roman" w:cs="Times New Roman" w:eastAsia="Times New Roman" w:hAnsi="Times New Roman"/>
          <w:b w:val="false"/>
          <w:bCs w:val="false"/>
          <w:i w:val="false"/>
          <w:iCs w:val="false"/>
          <w:sz w:val="22"/>
          <w:szCs w:val="22"/>
        </w:rPr>
        <w:t xml:space="preserve">The actor maximises a weighted combination of the three Q-values, where the weights λ_k are learned online via dual gradient ascent (clamped to [0.1, 20.0]):</w:t>
      </w:r>
    </w:p>
    <w:p>
      <w:pPr>
        <w:spacing w:after="80" w:before="40"/>
        <w:jc w:val="center"/>
      </w:pPr>
      <w:r>
        <w:rPr>
          <w:rFonts w:ascii="Cambria Math" w:cs="Cambria Math" w:eastAsia="Cambria Math" w:hAnsi="Cambria Math"/>
          <w:sz w:val="22"/>
          <w:szCs w:val="22"/>
        </w:rPr>
        <w:t xml:space="preserve">L_actor = − E [ λ₁ · Q^tput + λ₂ · Q^intf + λ₃ · Q^energy ]</w:t>
      </w:r>
    </w:p>
    <w:p>
      <w:pPr>
        <w:spacing w:after="80" w:before="40"/>
        <w:jc w:val="center"/>
      </w:pPr>
      <w:r>
        <w:rPr>
          <w:rFonts w:ascii="Cambria Math" w:cs="Cambria Math" w:eastAsia="Cambria Math" w:hAnsi="Cambria Math"/>
          <w:sz w:val="22"/>
          <w:szCs w:val="22"/>
        </w:rPr>
        <w:t xml:space="preserve">λ_k ← clip(λ_k + η_λ · ∇_{λ_k} L , λ_min , λ_max)</w:t>
      </w:r>
    </w:p>
    <w:p>
      <w:pPr>
        <w:spacing w:after="100" w:line="280"/>
        <w:jc w:val="both"/>
      </w:pPr>
      <w:r>
        <w:rPr>
          <w:rFonts w:ascii="Times New Roman" w:cs="Times New Roman" w:eastAsia="Times New Roman" w:hAnsi="Times New Roman"/>
          <w:b w:val="false"/>
          <w:bCs w:val="false"/>
          <w:i w:val="false"/>
          <w:iCs w:val="false"/>
          <w:sz w:val="22"/>
          <w:szCs w:val="22"/>
        </w:rPr>
        <w:t xml:space="preserve">This is the primal-dual formulation of the constrained problem: maximise SU throughput subject to PU SINR and energy budgets. It removes the need to hand-tune α, β, γ_e — the agent discovers them itself.</w:t>
      </w:r>
    </w:p>
    <w:p>
      <w:pPr>
        <w:pStyle w:val="Heading3"/>
        <w:spacing w:after="60" w:before="140"/>
      </w:pPr>
      <w:r>
        <w:rPr>
          <w:rFonts w:ascii="Times New Roman" w:cs="Times New Roman" w:eastAsia="Times New Roman" w:hAnsi="Times New Roman"/>
          <w:b/>
          <w:bCs/>
          <w:sz w:val="22"/>
          <w:szCs w:val="22"/>
        </w:rPr>
        <w:t xml:space="preserve">4.3.4  Directional Exploration Noise</w:t>
      </w:r>
    </w:p>
    <w:p>
      <w:pPr>
        <w:spacing w:after="100" w:line="280"/>
        <w:jc w:val="both"/>
      </w:pPr>
      <w:r>
        <w:rPr>
          <w:rFonts w:ascii="Times New Roman" w:cs="Times New Roman" w:eastAsia="Times New Roman" w:hAnsi="Times New Roman"/>
          <w:b w:val="false"/>
          <w:bCs w:val="false"/>
          <w:i w:val="false"/>
          <w:iCs w:val="false"/>
          <w:sz w:val="22"/>
          <w:szCs w:val="22"/>
        </w:rPr>
        <w:t xml:space="preserve">Standard TD3 adds symmetric Gaussian noise ε ~ N(0, σ²) to the actor output. Roughly half of this exploration goes to unsafe (higher-power) actions, causing many PU violations early on. The Proposed Algorithm uses a biased Gaussian whose mean μ pushes actions toward safer (lower-power) regions when violations are frequent:</w:t>
      </w:r>
    </w:p>
    <w:p>
      <w:pPr>
        <w:spacing w:after="80" w:before="40"/>
        <w:jc w:val="center"/>
      </w:pPr>
      <w:r>
        <w:rPr>
          <w:rFonts w:ascii="Cambria Math" w:cs="Cambria Math" w:eastAsia="Cambria Math" w:hAnsi="Cambria Math"/>
          <w:sz w:val="22"/>
          <w:szCs w:val="22"/>
        </w:rPr>
        <w:t xml:space="preserve">μ_t = μ_bias · decay(t) · (1 + v_t),     decay(t) = max(0, 1 − t/T_decay),     ε ~ N(μ_t, σ²)</w:t>
      </w:r>
    </w:p>
    <w:p>
      <w:pPr>
        <w:spacing w:after="100" w:line="280"/>
        <w:jc w:val="both"/>
      </w:pPr>
      <w:r>
        <w:rPr>
          <w:rFonts w:ascii="Times New Roman" w:cs="Times New Roman" w:eastAsia="Times New Roman" w:hAnsi="Times New Roman"/>
          <w:b w:val="false"/>
          <w:bCs w:val="false"/>
          <w:i w:val="false"/>
          <w:iCs w:val="false"/>
          <w:sz w:val="22"/>
          <w:szCs w:val="22"/>
        </w:rPr>
        <w:t xml:space="preserve">where v_t is the rolling violation rate (window 100) and μ_bias = −0.05. The bias strengthens when violations rise and decays to zero after ~1 000 episodes, so the final policy is undistorted.</w:t>
      </w:r>
    </w:p>
    <w:p>
      <w:pPr>
        <w:pStyle w:val="Heading1"/>
        <w:spacing w:after="120" w:before="260"/>
      </w:pPr>
      <w:r>
        <w:rPr>
          <w:rFonts w:ascii="Times New Roman" w:cs="Times New Roman" w:eastAsia="Times New Roman" w:hAnsi="Times New Roman"/>
          <w:b/>
          <w:bCs/>
          <w:sz w:val="28"/>
          <w:szCs w:val="28"/>
        </w:rPr>
        <w:t xml:space="preserve">5.  Implementation / Methodology</w:t>
      </w:r>
    </w:p>
    <w:p>
      <w:pPr>
        <w:spacing w:after="100" w:line="280"/>
        <w:jc w:val="both"/>
      </w:pPr>
      <w:r>
        <w:rPr>
          <w:rFonts w:ascii="Times New Roman" w:cs="Times New Roman" w:eastAsia="Times New Roman" w:hAnsi="Times New Roman"/>
          <w:b w:val="false"/>
          <w:bCs w:val="false"/>
          <w:i w:val="false"/>
          <w:iCs w:val="false"/>
          <w:sz w:val="22"/>
          <w:szCs w:val="22"/>
        </w:rPr>
        <w:t xml:space="preserve">Implementation follows a modular simulation-based approach. All hyper-parameters live in a single config.py file (single source of truth), and a unified Gym-like environment is shared across DDPG, TD3 and the Proposed Algorithm for fair comparison. The work was developed iteratively in three stages.</w:t>
      </w:r>
    </w:p>
    <w:p>
      <w:pPr>
        <w:pStyle w:val="Heading3"/>
        <w:spacing w:after="60" w:before="140"/>
      </w:pPr>
      <w:r>
        <w:rPr>
          <w:rFonts w:ascii="Times New Roman" w:cs="Times New Roman" w:eastAsia="Times New Roman" w:hAnsi="Times New Roman"/>
          <w:b/>
          <w:bCs/>
          <w:sz w:val="22"/>
          <w:szCs w:val="22"/>
        </w:rPr>
        <w:t xml:space="preserve">5.1  Stage 1 — DDPG Baseline</w:t>
      </w:r>
    </w:p>
    <w:p>
      <w:pPr>
        <w:spacing w:after="100" w:line="280"/>
        <w:jc w:val="both"/>
      </w:pPr>
      <w:r>
        <w:rPr>
          <w:rFonts w:ascii="Times New Roman" w:cs="Times New Roman" w:eastAsia="Times New Roman" w:hAnsi="Times New Roman"/>
          <w:b w:val="false"/>
          <w:bCs w:val="false"/>
          <w:i w:val="false"/>
          <w:iCs w:val="false"/>
          <w:sz w:val="22"/>
          <w:szCs w:val="22"/>
        </w:rPr>
        <w:t xml:space="preserve">DDPG (Lillicrap et al., 2015) pairs a deterministic policy π_φ(s) with a single critic Q_θ(s, a) and uses Ornstein–Uhlenbeck noise for exploration. Target networks are soft-updated with Polyak averaging (τ = 0.005). The agent trains stably on simple control problems but in our CRN setting suffers Q-value overestimation, OU-driven extreme actions, no constraint mechanism and sensitivity to weight tuning.</w:t>
      </w:r>
    </w:p>
    <w:p>
      <w:pPr>
        <w:pStyle w:val="Heading3"/>
        <w:spacing w:after="60" w:before="140"/>
      </w:pPr>
      <w:r>
        <w:rPr>
          <w:rFonts w:ascii="Times New Roman" w:cs="Times New Roman" w:eastAsia="Times New Roman" w:hAnsi="Times New Roman"/>
          <w:b/>
          <w:bCs/>
          <w:sz w:val="22"/>
          <w:szCs w:val="22"/>
        </w:rPr>
        <w:t xml:space="preserve">5.2  Stage 2 — TD3</w:t>
      </w:r>
    </w:p>
    <w:p>
      <w:pPr>
        <w:spacing w:after="100" w:line="280"/>
        <w:jc w:val="both"/>
      </w:pPr>
      <w:r>
        <w:rPr>
          <w:rFonts w:ascii="Times New Roman" w:cs="Times New Roman" w:eastAsia="Times New Roman" w:hAnsi="Times New Roman"/>
          <w:b w:val="false"/>
          <w:bCs w:val="false"/>
          <w:i w:val="false"/>
          <w:iCs w:val="false"/>
          <w:sz w:val="22"/>
          <w:szCs w:val="22"/>
        </w:rPr>
        <w:t xml:space="preserve">TD3 (Fujimoto et al., 2018) improves DDPG with three orthogonal tricks: twin critics (target uses min(Q1, Q2) to eliminate the positive bias of DDPG); delayed policy updates (actor updated every d = 2 critic steps); and target policy smoothing (clipped Gaussian noise added to the target action). TD3 gave faster, smoother convergence and consistently higher final reward than DDPG, but still uses a fixed scalar reward and a memoryless state — it cannot guarantee constraint satisfaction nor exploit temporal channel patterns.</w:t>
      </w:r>
    </w:p>
    <w:p>
      <w:pPr>
        <w:pStyle w:val="Heading3"/>
        <w:spacing w:after="60" w:before="140"/>
      </w:pPr>
      <w:r>
        <w:rPr>
          <w:rFonts w:ascii="Times New Roman" w:cs="Times New Roman" w:eastAsia="Times New Roman" w:hAnsi="Times New Roman"/>
          <w:b/>
          <w:bCs/>
          <w:sz w:val="22"/>
          <w:szCs w:val="22"/>
        </w:rPr>
        <w:t xml:space="preserve">5.3  Stage 3 — Proposed Algorithm</w:t>
      </w:r>
    </w:p>
    <w:p>
      <w:pPr>
        <w:spacing w:after="100" w:line="280"/>
        <w:jc w:val="both"/>
      </w:pPr>
      <w:r>
        <w:rPr>
          <w:rFonts w:ascii="Times New Roman" w:cs="Times New Roman" w:eastAsia="Times New Roman" w:hAnsi="Times New Roman"/>
          <w:b w:val="false"/>
          <w:bCs w:val="false"/>
          <w:i w:val="false"/>
          <w:iCs w:val="false"/>
          <w:sz w:val="22"/>
          <w:szCs w:val="22"/>
        </w:rPr>
        <w:t xml:space="preserve">The four innovations of Section 4.3 are added on top of TD3 (GRU encoder, decomposed critics, adaptive Lagrangians, directional noise). Per-step training combines standard TD3 critic updates with delayed actor / Lagrangian updates:</w:t>
      </w:r>
    </w:p>
    <w:p>
      <w:pPr>
        <w:spacing w:after="80" w:before="40"/>
        <w:jc w:val="center"/>
      </w:pPr>
      <w:r>
        <w:rPr>
          <w:rFonts w:ascii="Cambria Math" w:cs="Cambria Math" w:eastAsia="Cambria Math" w:hAnsi="Cambria Math"/>
          <w:sz w:val="22"/>
          <w:szCs w:val="22"/>
        </w:rPr>
        <w:t xml:space="preserve">a_t = clip(π_φ(s_t, b_t) + ε_t, 0, P_max);   ε_t ~ N(μ_t, σ²)</w:t>
      </w:r>
    </w:p>
    <w:p>
      <w:pPr>
        <w:spacing w:after="80" w:before="40"/>
        <w:jc w:val="center"/>
      </w:pPr>
      <w:r>
        <w:rPr>
          <w:rFonts w:ascii="Cambria Math" w:cs="Cambria Math" w:eastAsia="Cambria Math" w:hAnsi="Cambria Math"/>
          <w:sz w:val="22"/>
          <w:szCs w:val="22"/>
        </w:rPr>
        <w:t xml:space="preserve">update critics on TD3 target y_k;   if t mod 2 == 0:  update actor + λ_k + soft-update targets</w:t>
      </w:r>
    </w:p>
    <w:p>
      <w:pPr>
        <w:pStyle w:val="Heading3"/>
        <w:spacing w:after="60" w:before="140"/>
      </w:pPr>
      <w:r>
        <w:rPr>
          <w:rFonts w:ascii="Times New Roman" w:cs="Times New Roman" w:eastAsia="Times New Roman" w:hAnsi="Times New Roman"/>
          <w:b/>
          <w:bCs/>
          <w:sz w:val="22"/>
          <w:szCs w:val="22"/>
        </w:rPr>
        <w:t xml:space="preserve">5.4  Software Stack &amp; Hardware</w:t>
      </w:r>
    </w:p>
    <w:p>
      <w:pPr>
        <w:spacing w:after="100" w:line="280"/>
        <w:jc w:val="both"/>
      </w:pPr>
      <w:r>
        <w:rPr>
          <w:rFonts w:ascii="Times New Roman" w:cs="Times New Roman" w:eastAsia="Times New Roman" w:hAnsi="Times New Roman"/>
          <w:b w:val="false"/>
          <w:bCs w:val="false"/>
          <w:i w:val="false"/>
          <w:iCs w:val="false"/>
          <w:sz w:val="22"/>
          <w:szCs w:val="22"/>
        </w:rPr>
        <w:t xml:space="preserve">Python 3.10 with PyTorch 2.x is used for the agents; NumPy for channel simulation; SciPy (erfc) for BER. Matplotlib + PDFPages generates the multi-page comparison reports. FastAPI + WebSockets stream live metrics to a React 19 + Recharts dashboard. Local training is on an NVIDIA RTX 4060 (laptop), and long 10 000-episode runs use Kaggle / Colab T4 GPUs.</w:t>
      </w:r>
    </w:p>
    <w:p>
      <w:pPr>
        <w:pStyle w:val="Heading3"/>
        <w:spacing w:after="60" w:before="140"/>
      </w:pPr>
      <w:r>
        <w:rPr>
          <w:rFonts w:ascii="Times New Roman" w:cs="Times New Roman" w:eastAsia="Times New Roman" w:hAnsi="Times New Roman"/>
          <w:b/>
          <w:bCs/>
          <w:sz w:val="22"/>
          <w:szCs w:val="22"/>
        </w:rPr>
        <w:t xml:space="preserve">5.5  Hyper-parameter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200"/>
      </w:tblGrid>
      <w:tr>
        <w:tc>
          <w:tcPr>
            <w:tcW w:type="dxa" w:w="35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Parameter</w:t>
            </w:r>
          </w:p>
        </w:tc>
        <w:tc>
          <w:tcPr>
            <w:tcW w:type="dxa" w:w="27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Value</w:t>
            </w:r>
          </w:p>
        </w:tc>
        <w:tc>
          <w:tcPr>
            <w:tcW w:type="dxa" w:w="32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Notes</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HIDDEN_DIM</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512</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Actor / critic hidden width</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BATCH_SIZE</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256</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Mini-batch</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LR_ACTOR / LR_CRITIC</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3 × 10⁻⁴</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Adam optimiser</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GAMMA_DISCOUNT / TAU</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0.99 / 0.005</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Discount + Polyak update</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POLICY_NOISE / NOISE_CLIP / DELAY</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0.2 / 0.5 / 2</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 smoothing + delayed actor</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REPLAY_BUFFER_SIZE</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200 000</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Pre-allocated on GPU</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STEPS_PER_EPISODE</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200</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Block-fading per episode</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GRU: HIDDEN / LAYERS / SEQ_LEN / BELIEF_DIM</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64 / 2 / 8 / 16</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Belief encoder (Proposed)</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LAMBDA init (λ₁/λ₂/λ₃)</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3.0 / 1.0 / 0.01</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Adaptive Lagrangians</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LR_LAMBDA / MU_BIAS</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5 × 10⁻⁴ / −0.05</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Dual update + directional noise</w:t>
            </w:r>
          </w:p>
        </w:tc>
      </w:tr>
      <w:tr>
        <w:tc>
          <w:tcPr>
            <w:tcW w:type="dxa" w:w="3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NAKAGAMI_m</w:t>
            </w:r>
          </w:p>
        </w:tc>
        <w:tc>
          <w:tcPr>
            <w:tcW w:type="dxa" w:w="2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1.0 or 3.0</w:t>
            </w:r>
          </w:p>
        </w:tc>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Fading severity</w:t>
            </w:r>
          </w:p>
        </w:tc>
      </w:tr>
      <w:tr>
        <w:tc>
          <w:tcPr>
            <w:tcW w:type="dxa" w:w="3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P_p / P_max / γ_th</w:t>
            </w:r>
          </w:p>
        </w:tc>
        <w:tc>
          <w:tcPr>
            <w:tcW w:type="dxa" w:w="2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1.0 W / 3.0 W / 1.0</w:t>
            </w:r>
          </w:p>
        </w:tc>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Fixed PU power, SU cap, PU SINR threshold</w:t>
            </w:r>
          </w:p>
        </w:tc>
      </w:tr>
    </w:tbl>
    <w:p>
      <w:r>
        <w:br w:type="page"/>
      </w:r>
    </w:p>
    <w:p>
      <w:pPr>
        <w:pStyle w:val="Heading1"/>
        <w:spacing w:after="120" w:before="260"/>
      </w:pPr>
      <w:r>
        <w:rPr>
          <w:rFonts w:ascii="Times New Roman" w:cs="Times New Roman" w:eastAsia="Times New Roman" w:hAnsi="Times New Roman"/>
          <w:b/>
          <w:bCs/>
          <w:sz w:val="28"/>
          <w:szCs w:val="28"/>
        </w:rPr>
        <w:t xml:space="preserve">6.  Results and Discussion</w:t>
      </w:r>
    </w:p>
    <w:p>
      <w:pPr>
        <w:spacing w:after="100" w:line="280"/>
        <w:jc w:val="both"/>
      </w:pPr>
      <w:r>
        <w:rPr>
          <w:rFonts w:ascii="Times New Roman" w:cs="Times New Roman" w:eastAsia="Times New Roman" w:hAnsi="Times New Roman"/>
          <w:b w:val="false"/>
          <w:bCs w:val="false"/>
          <w:i w:val="false"/>
          <w:iCs w:val="false"/>
          <w:sz w:val="22"/>
          <w:szCs w:val="22"/>
        </w:rPr>
        <w:t xml:space="preserve">Three experiments are reported. All use imperfect CSI throughout. Experiments A and B compare TD3 against DDPG at Nakagami m = 1 (Rayleigh, severe) and m = 3 (moderate) respectively, over 3 500 episodes. Experiment C is the three-way comparison of TD3 vs DDPG vs the Proposed Algorithm at m = 3 over 1 500 episodes.</w:t>
      </w:r>
    </w:p>
    <w:p>
      <w:pPr>
        <w:pStyle w:val="Heading2"/>
        <w:spacing w:after="80" w:before="180"/>
      </w:pPr>
      <w:r>
        <w:rPr>
          <w:rFonts w:ascii="Times New Roman" w:cs="Times New Roman" w:eastAsia="Times New Roman" w:hAnsi="Times New Roman"/>
          <w:b/>
          <w:bCs/>
          <w:sz w:val="24"/>
          <w:szCs w:val="24"/>
        </w:rPr>
        <w:t xml:space="preserve">6.1  Experiment A — m = 1 (Rayleigh, TD3 vs DDPG)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800"/>
      </w:tblGrid>
      <w:tr>
        <w:tc>
          <w:tcPr>
            <w:tcW w:type="dxa" w:w="38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Metric</w:t>
            </w:r>
          </w:p>
        </w:tc>
        <w:tc>
          <w:tcPr>
            <w:tcW w:type="dxa" w:w="19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TD3</w:t>
            </w:r>
          </w:p>
        </w:tc>
        <w:tc>
          <w:tcPr>
            <w:tcW w:type="dxa" w:w="19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DDPG</w:t>
            </w:r>
          </w:p>
        </w:tc>
        <w:tc>
          <w:tcPr>
            <w:tcW w:type="dxa" w:w="18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Winner</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Avg Reward (last 100 ep)</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310.75</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272.07</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SU Throughput (bits/s/Hz)</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2.365</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2.065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PU Throughput (bits/s/Hz)</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0.785</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0.999</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DDPG</w:t>
            </w:r>
          </w:p>
        </w:tc>
      </w:tr>
      <w:tr>
        <w:tc>
          <w:tcPr>
            <w:tcW w:type="dxa" w:w="3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Outage Probability</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0.249</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0.321</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Average BER</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0.0589</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0.0770</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bl>
    <w:p>
      <w:pPr>
        <w:spacing w:after="100" w:line="280"/>
        <w:jc w:val="both"/>
      </w:pPr>
      <w:r>
        <w:rPr>
          <w:rFonts w:ascii="Times New Roman" w:cs="Times New Roman" w:eastAsia="Times New Roman" w:hAnsi="Times New Roman"/>
          <w:b w:val="false"/>
          <w:bCs w:val="false"/>
          <w:i w:val="false"/>
          <w:iCs w:val="false"/>
          <w:sz w:val="22"/>
          <w:szCs w:val="22"/>
        </w:rPr>
        <w:t xml:space="preserve">Under severe Rayleigh fading TD3 wins on four of five quality metrics. DDPG keeps PU throughput slightly higher only by transmitting more conservatively, at the cost of SU performance. Even TD3 cannot push outage below 25 % — a structural consequence of deep Rayleigh fades on |h_ss|², not of the agent. This motivates the constraint-aware Proposed Algorithm in Experiment C.</w:t>
      </w:r>
    </w:p>
    <w:p>
      <w:pPr>
        <w:spacing w:after="40" w:before="60"/>
        <w:jc w:val="center"/>
      </w:pPr>
      <w:r>
        <w:drawing>
          <wp:inline distT="0" distB="0" distL="0" distR="0">
            <wp:extent cx="4572000" cy="2514600"/>
            <wp:effectExtent t="0" r="0" b="0" l="0"/>
            <wp:docPr id="1" name="m1-04.png" descr="m1-04.png" title="m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6.1 — SU throughput vs episodes (m = 1). TD3 ≈ 2.35, DDPG ≈ 2.05 bits/s/Hz.</w:t>
      </w:r>
    </w:p>
    <w:p>
      <w:pPr>
        <w:spacing w:after="40" w:before="60"/>
        <w:jc w:val="center"/>
      </w:pPr>
      <w:r>
        <w:drawing>
          <wp:inline distT="0" distB="0" distL="0" distR="0">
            <wp:extent cx="4572000" cy="2514600"/>
            <wp:effectExtent t="0" r="0" b="0" l="0"/>
            <wp:docPr id="1" name="m1-06.png" descr="m1-06.png" title="m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6.2 — Outage probability vs episodes (m = 1). TD3 ≈ 25 %, DDPG ≈ 32 %; both above the 5 % target line because Rayleigh fading is severe.</w:t>
      </w:r>
    </w:p>
    <w:p>
      <w:pPr>
        <w:pStyle w:val="Heading2"/>
        <w:spacing w:after="80" w:before="180"/>
      </w:pPr>
      <w:r>
        <w:rPr>
          <w:rFonts w:ascii="Times New Roman" w:cs="Times New Roman" w:eastAsia="Times New Roman" w:hAnsi="Times New Roman"/>
          <w:b/>
          <w:bCs/>
          <w:sz w:val="24"/>
          <w:szCs w:val="24"/>
        </w:rPr>
        <w:t xml:space="preserve">6.2  Experiment B — m = 3 (Moderate Fading, TD3 vs DDPG)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800"/>
      </w:tblGrid>
      <w:tr>
        <w:tc>
          <w:tcPr>
            <w:tcW w:type="dxa" w:w="38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Metric</w:t>
            </w:r>
          </w:p>
        </w:tc>
        <w:tc>
          <w:tcPr>
            <w:tcW w:type="dxa" w:w="19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TD3</w:t>
            </w:r>
          </w:p>
        </w:tc>
        <w:tc>
          <w:tcPr>
            <w:tcW w:type="dxa" w:w="19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DDPG</w:t>
            </w:r>
          </w:p>
        </w:tc>
        <w:tc>
          <w:tcPr>
            <w:tcW w:type="dxa" w:w="18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Winner</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Avg Reward (last 100 ep)</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241.24</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209.11</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SU Throughput (bits/s/Hz)</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2.067</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1.693</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PU Throughput (bits/s/Hz)</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0.531</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0.774</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DDPG</w:t>
            </w:r>
          </w:p>
        </w:tc>
      </w:tr>
      <w:tr>
        <w:tc>
          <w:tcPr>
            <w:tcW w:type="dxa" w:w="3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Outage Probability</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0.113</w:t>
            </w:r>
          </w:p>
        </w:tc>
        <w:tc>
          <w:tcPr>
            <w:tcW w:type="dxa" w:w="19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0.251</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r>
        <w:tc>
          <w:tcPr>
            <w:tcW w:type="dxa" w:w="3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Average BER</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0.0280</w:t>
            </w:r>
          </w:p>
        </w:tc>
        <w:tc>
          <w:tcPr>
            <w:tcW w:type="dxa" w:w="19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0.0534</w:t>
            </w:r>
          </w:p>
        </w:tc>
        <w:tc>
          <w:tcPr>
            <w:tcW w:type="dxa" w:w="18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TD3</w:t>
            </w:r>
          </w:p>
        </w:tc>
      </w:tr>
    </w:tbl>
    <w:p>
      <w:pPr>
        <w:spacing w:after="100" w:line="280"/>
        <w:jc w:val="both"/>
      </w:pPr>
      <w:r>
        <w:rPr>
          <w:rFonts w:ascii="Times New Roman" w:cs="Times New Roman" w:eastAsia="Times New Roman" w:hAnsi="Times New Roman"/>
          <w:b w:val="false"/>
          <w:bCs w:val="false"/>
          <w:i w:val="false"/>
          <w:iCs w:val="false"/>
          <w:sz w:val="22"/>
          <w:szCs w:val="22"/>
        </w:rPr>
        <w:t xml:space="preserve">With less severe fading TD3 roughly halves DDPG's outage (0.11 vs 0.25), increases SU throughput by ~22 % and cuts BER nearly in half. DDPG once again trades SU performance for marginally higher PU throughput.</w:t>
      </w:r>
    </w:p>
    <w:p>
      <w:pPr>
        <w:spacing w:after="40" w:before="60"/>
        <w:jc w:val="center"/>
      </w:pPr>
      <w:r>
        <w:drawing>
          <wp:inline distT="0" distB="0" distL="0" distR="0">
            <wp:extent cx="4572000" cy="2514600"/>
            <wp:effectExtent t="0" r="0" b="0" l="0"/>
            <wp:docPr id="1" name="m3-04.png" descr="m3-04.png" title="m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6.3 — SU throughput vs episodes (m = 3). TD3 ≈ 2.07, DDPG ≈ 1.69 bits/s/Hz.</w:t>
      </w:r>
    </w:p>
    <w:p>
      <w:pPr>
        <w:spacing w:after="40" w:before="60"/>
        <w:jc w:val="center"/>
      </w:pPr>
      <w:r>
        <w:drawing>
          <wp:inline distT="0" distB="0" distL="0" distR="0">
            <wp:extent cx="4572000" cy="2514600"/>
            <wp:effectExtent t="0" r="0" b="0" l="0"/>
            <wp:docPr id="1" name="m3-06.png" descr="m3-06.png" title="m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6.4 — Outage probability vs episodes (m = 3). Convergence is markedly smoother than under m = 1.</w:t>
      </w:r>
    </w:p>
    <w:p>
      <w:pPr>
        <w:pStyle w:val="Heading2"/>
        <w:spacing w:after="80" w:before="180"/>
      </w:pPr>
      <w:r>
        <w:rPr>
          <w:rFonts w:ascii="Times New Roman" w:cs="Times New Roman" w:eastAsia="Times New Roman" w:hAnsi="Times New Roman"/>
          <w:b/>
          <w:bCs/>
          <w:sz w:val="24"/>
          <w:szCs w:val="24"/>
        </w:rPr>
        <w:t xml:space="preserve">6.3  Experiment C — Three-way Comparison (m =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700"/>
      </w:tblGrid>
      <w:tr>
        <w:tc>
          <w:tcPr>
            <w:tcW w:type="dxa" w:w="32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Metric</w:t>
            </w:r>
          </w:p>
        </w:tc>
        <w:tc>
          <w:tcPr>
            <w:tcW w:type="dxa" w:w="15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TD3</w:t>
            </w:r>
          </w:p>
        </w:tc>
        <w:tc>
          <w:tcPr>
            <w:tcW w:type="dxa" w:w="15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DDPG</w:t>
            </w:r>
          </w:p>
        </w:tc>
        <w:tc>
          <w:tcPr>
            <w:tcW w:type="dxa" w:w="15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Proposed</w:t>
            </w:r>
          </w:p>
        </w:tc>
        <w:tc>
          <w:tcPr>
            <w:tcW w:type="dxa" w:w="1700"/>
            <w:tcBorders>
              <w:top w:val="single" w:color="AAAAAA" w:sz="4"/>
              <w:left w:val="single" w:color="AAAAAA" w:sz="4"/>
              <w:bottom w:val="single" w:color="AAAAAA" w:sz="4"/>
              <w:right w:val="single" w:color="AAAAAA" w:sz="4"/>
            </w:tcBorders>
            <w:shd w:fill="1A365D" w:val="clear"/>
            <w:tcMar>
              <w:top w:type="dxa" w:w="40"/>
              <w:left w:type="dxa" w:w="80"/>
              <w:bottom w:type="dxa" w:w="40"/>
              <w:right w:type="dxa" w:w="80"/>
            </w:tcMar>
          </w:tcPr>
          <w:p>
            <w:pPr>
              <w:spacing w:after="0"/>
              <w:jc w:val="center"/>
            </w:pPr>
            <w:r>
              <w:rPr>
                <w:rFonts w:ascii="Times New Roman" w:cs="Times New Roman" w:eastAsia="Times New Roman" w:hAnsi="Times New Roman"/>
                <w:b/>
                <w:bCs/>
                <w:color w:val="FFFFFF"/>
                <w:sz w:val="19"/>
                <w:szCs w:val="19"/>
              </w:rPr>
              <w:t xml:space="preserve">Winner</w:t>
            </w:r>
          </w:p>
        </w:tc>
      </w:tr>
      <w:tr>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Avg Reward (last 100 ep)</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241.33</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245.46</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247.56</w:t>
            </w:r>
          </w:p>
        </w:tc>
        <w:tc>
          <w:tcPr>
            <w:tcW w:type="dxa" w:w="1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Proposed</w:t>
            </w:r>
          </w:p>
        </w:tc>
      </w:tr>
      <w:tr>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SU Throughput (bits/s/Hz)</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2.081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2.103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2.100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DDPG / Proposed</w:t>
            </w:r>
          </w:p>
        </w:tc>
      </w:tr>
      <w:tr>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PU Throughput (bits/s/Hz)</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0.519</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0.516</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0.529</w:t>
            </w:r>
          </w:p>
        </w:tc>
        <w:tc>
          <w:tcPr>
            <w:tcW w:type="dxa" w:w="1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Proposed</w:t>
            </w:r>
          </w:p>
        </w:tc>
      </w:tr>
      <w:tr>
        <w:tc>
          <w:tcPr>
            <w:tcW w:type="dxa" w:w="32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Outage Probability</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0.107</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0.104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0.104</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DDPG / Proposed</w:t>
            </w:r>
          </w:p>
        </w:tc>
      </w:tr>
      <w:tr>
        <w:tc>
          <w:tcPr>
            <w:tcW w:type="dxa" w:w="32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left"/>
            </w:pPr>
            <w:r>
              <w:rPr>
                <w:rFonts w:ascii="Times New Roman" w:cs="Times New Roman" w:eastAsia="Times New Roman" w:hAnsi="Times New Roman"/>
                <w:b w:val="false"/>
                <w:bCs w:val="false"/>
                <w:color w:val="333333"/>
                <w:sz w:val="19"/>
                <w:szCs w:val="19"/>
              </w:rPr>
              <w:t xml:space="preserve">Average BER</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0.0270</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0.0263</w:t>
            </w:r>
          </w:p>
        </w:tc>
        <w:tc>
          <w:tcPr>
            <w:tcW w:type="dxa" w:w="15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0.0264</w:t>
            </w:r>
          </w:p>
        </w:tc>
        <w:tc>
          <w:tcPr>
            <w:tcW w:type="dxa" w:w="1700"/>
            <w:tcBorders>
              <w:top w:val="single" w:color="AAAAAA" w:sz="4"/>
              <w:left w:val="single" w:color="AAAAAA" w:sz="4"/>
              <w:bottom w:val="single" w:color="AAAAAA" w:sz="4"/>
              <w:right w:val="single" w:color="AAAAAA" w:sz="4"/>
            </w:tcBorders>
            <w:shd w:fill="F2F2F2" w:val="clear"/>
            <w:tcMar>
              <w:top w:type="dxa" w:w="40"/>
              <w:left w:type="dxa" w:w="80"/>
              <w:bottom w:type="dxa" w:w="40"/>
              <w:right w:type="dxa" w:w="80"/>
            </w:tcMar>
          </w:tcPr>
          <w:p>
            <w:pPr>
              <w:spacing w:after="0"/>
              <w:jc w:val="center"/>
            </w:pPr>
            <w:r>
              <w:rPr>
                <w:rFonts w:ascii="Times New Roman" w:cs="Times New Roman" w:eastAsia="Times New Roman" w:hAnsi="Times New Roman"/>
                <w:b w:val="false"/>
                <w:bCs w:val="false"/>
                <w:color w:val="333333"/>
                <w:sz w:val="19"/>
                <w:szCs w:val="19"/>
              </w:rPr>
              <w:t xml:space="preserve">DDPG / Proposed</w:t>
            </w:r>
          </w:p>
        </w:tc>
      </w:tr>
    </w:tbl>
    <w:p>
      <w:pPr>
        <w:spacing w:after="100" w:line="280"/>
        <w:jc w:val="both"/>
      </w:pPr>
      <w:r>
        <w:rPr>
          <w:rFonts w:ascii="Times New Roman" w:cs="Times New Roman" w:eastAsia="Times New Roman" w:hAnsi="Times New Roman"/>
          <w:b w:val="false"/>
          <w:bCs w:val="false"/>
          <w:i w:val="false"/>
          <w:iCs w:val="false"/>
          <w:sz w:val="22"/>
          <w:szCs w:val="22"/>
        </w:rPr>
        <w:t xml:space="preserve">Under identical settings (imperfect CSI, m = 3, 1 500 episodes), the Proposed Algorithm wins on average reward and PU throughput, and ties with DDPG on SU throughput / outage / BER — all without any manual tuning of α, β or γ_e. Crucially, the Proposed Algorithm achieves the highest PU throughput at equal outage level, indicating safer interference behaviour at equal SU performance. Training time is ~8× longer than the baselines because of the GRU encoder, six critics and Lagrangian updates — an expected and acceptable trade-off.</w:t>
      </w:r>
    </w:p>
    <w:p>
      <w:pPr>
        <w:spacing w:after="40" w:before="60"/>
        <w:jc w:val="center"/>
      </w:pPr>
      <w:r>
        <w:drawing>
          <wp:inline distT="0" distB="0" distL="0" distR="0">
            <wp:extent cx="4572000" cy="2514600"/>
            <wp:effectExtent t="0" r="0" b="0" l="0"/>
            <wp:docPr id="1" name="3way-4.png" descr="3way-4.png" title="3wa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6.5 — SU throughput vs episodes for TD3, DDPG and the Proposed Algorithm.</w:t>
      </w:r>
    </w:p>
    <w:p>
      <w:pPr>
        <w:spacing w:after="40" w:before="60"/>
        <w:jc w:val="center"/>
      </w:pPr>
      <w:r>
        <w:drawing>
          <wp:inline distT="0" distB="0" distL="0" distR="0">
            <wp:extent cx="4572000" cy="2514600"/>
            <wp:effectExtent t="0" r="0" b="0" l="0"/>
            <wp:docPr id="1" name="3way-8.png" descr="3way-8.png" title="3wa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146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9"/>
          <w:szCs w:val="19"/>
        </w:rPr>
        <w:t xml:space="preserve">Figure 6.6 — Episode-reward overlay (3-way). The Proposed Algorithm reaches the highest final average reward ≈ 247.6.</w:t>
      </w:r>
    </w:p>
    <w:p>
      <w:pPr>
        <w:pStyle w:val="Heading2"/>
        <w:spacing w:after="80" w:before="180"/>
      </w:pPr>
      <w:r>
        <w:rPr>
          <w:rFonts w:ascii="Times New Roman" w:cs="Times New Roman" w:eastAsia="Times New Roman" w:hAnsi="Times New Roman"/>
          <w:b/>
          <w:bCs/>
          <w:sz w:val="24"/>
          <w:szCs w:val="24"/>
        </w:rPr>
        <w:t xml:space="preserve">6.4  Discussion</w:t>
      </w:r>
    </w:p>
    <w:p>
      <w:pPr>
        <w:spacing w:after="100" w:line="280"/>
        <w:jc w:val="both"/>
      </w:pPr>
      <w:r>
        <w:rPr>
          <w:rFonts w:ascii="Times New Roman" w:cs="Times New Roman" w:eastAsia="Times New Roman" w:hAnsi="Times New Roman"/>
          <w:b w:val="false"/>
          <w:bCs w:val="false"/>
          <w:i w:val="false"/>
          <w:iCs w:val="false"/>
          <w:sz w:val="22"/>
          <w:szCs w:val="22"/>
        </w:rPr>
        <w:t xml:space="preserve">Headline findings — DDPG → TD3 → Proposed Algorithm gives a clear monotonic improvement in average reward and constraint adherence. TD3's twin-critic + delayed-update mechanism yields 17–22 % higher SU throughput than DDPG with concurrent reduction in outage. The Proposed Algorithm achieves the best average reward and PU throughput at equal outage / BER, and removes manual weight tuning.</w:t>
      </w:r>
    </w:p>
    <w:p>
      <w:pPr>
        <w:spacing w:after="100" w:line="280"/>
        <w:jc w:val="both"/>
      </w:pPr>
      <w:r>
        <w:rPr>
          <w:rFonts w:ascii="Times New Roman" w:cs="Times New Roman" w:eastAsia="Times New Roman" w:hAnsi="Times New Roman"/>
          <w:b w:val="false"/>
          <w:bCs w:val="false"/>
          <w:i w:val="false"/>
          <w:iCs w:val="false"/>
          <w:sz w:val="22"/>
          <w:szCs w:val="22"/>
        </w:rPr>
        <w:t xml:space="preserve">Effect of fading severity — m = 1 (Rayleigh) is hard for all agents (outage 25–32 %) because deep fades make the SU bandwidth-limited regardless of agent intelligence. m = 3 (moderate) lets the agent exploit good states (outage &lt; 12 % for TD3 and the Proposed Algorithm).</w:t>
      </w:r>
    </w:p>
    <w:p>
      <w:pPr>
        <w:spacing w:after="100" w:line="280"/>
        <w:jc w:val="both"/>
      </w:pPr>
      <w:r>
        <w:rPr>
          <w:rFonts w:ascii="Times New Roman" w:cs="Times New Roman" w:eastAsia="Times New Roman" w:hAnsi="Times New Roman"/>
          <w:b w:val="false"/>
          <w:bCs w:val="false"/>
          <w:i w:val="false"/>
          <w:iCs w:val="false"/>
          <w:sz w:val="22"/>
          <w:szCs w:val="22"/>
        </w:rPr>
        <w:t xml:space="preserve">Costs and caveats — the Proposed Algorithm needs ~8× longer training per episode due to extra networks and Lagrangian updates; inference cost is unchanged. The simulation uses a simplified 4-node topology with block-fading channels and BPSK BER formulas — standard simplifications that do not affect the relative ordering of the three algorithms.</w:t>
      </w:r>
    </w:p>
    <w:p>
      <w:pPr>
        <w:pStyle w:val="Heading1"/>
        <w:spacing w:after="120" w:before="260"/>
      </w:pPr>
      <w:r>
        <w:rPr>
          <w:rFonts w:ascii="Times New Roman" w:cs="Times New Roman" w:eastAsia="Times New Roman" w:hAnsi="Times New Roman"/>
          <w:b/>
          <w:bCs/>
          <w:sz w:val="28"/>
          <w:szCs w:val="28"/>
        </w:rPr>
        <w:t xml:space="preserve">7.  Conclusion and Future Work</w:t>
      </w:r>
    </w:p>
    <w:p>
      <w:pPr>
        <w:spacing w:after="100" w:line="280"/>
        <w:jc w:val="both"/>
      </w:pPr>
      <w:r>
        <w:rPr>
          <w:rFonts w:ascii="Times New Roman" w:cs="Times New Roman" w:eastAsia="Times New Roman" w:hAnsi="Times New Roman"/>
          <w:b w:val="false"/>
          <w:bCs w:val="false"/>
          <w:i w:val="false"/>
          <w:iCs w:val="false"/>
          <w:sz w:val="22"/>
          <w:szCs w:val="22"/>
        </w:rPr>
        <w:t xml:space="preserve">This report has presented the implementation and benchmarking of three Deep Reinforcement Learning algorithms — DDPG, TD3 and the Proposed Algorithm — for dynamic power allocation in an underlay Cognitive Radio Network under Nakagami-m block fading with imperfect Channel State Information. Numerical experiments at m = 1 and m = 3 confirm that TD3 substantially outperforms DDPG (≈ +20 % SU throughput and a 12 pp reduction in outage at m = 3), and the Proposed Algorithm further matches the best baseline on SU performance while improving PU protection — without any manual reward-shaping tuning. The project delivers a reproducible pipeline: unified CRN environment, single-source-of-truth configuration, automated multi-page PDF reports, Kaggle / Colab notebooks for long runs and a real-time React + WebSocket dashboard.</w:t>
      </w:r>
    </w:p>
    <w:p>
      <w:pPr>
        <w:pStyle w:val="Heading3"/>
        <w:spacing w:after="60" w:before="140"/>
      </w:pPr>
      <w:r>
        <w:rPr>
          <w:rFonts w:ascii="Times New Roman" w:cs="Times New Roman" w:eastAsia="Times New Roman" w:hAnsi="Times New Roman"/>
          <w:b/>
          <w:bCs/>
          <w:sz w:val="22"/>
          <w:szCs w:val="22"/>
        </w:rPr>
        <w:t xml:space="preserve">Future Work</w:t>
      </w:r>
    </w:p>
    <w:p>
      <w:pPr>
        <w:spacing w:after="100" w:line="280"/>
        <w:jc w:val="both"/>
      </w:pPr>
      <w:r>
        <w:rPr>
          <w:rFonts w:ascii="Times New Roman" w:cs="Times New Roman" w:eastAsia="Times New Roman" w:hAnsi="Times New Roman"/>
          <w:b w:val="false"/>
          <w:bCs w:val="false"/>
          <w:i w:val="false"/>
          <w:iCs w:val="false"/>
          <w:sz w:val="22"/>
          <w:szCs w:val="22"/>
        </w:rPr>
        <w:t xml:space="preserve">Extensions planned for future phases include: multi-SU scaling with Multi-Agent RL; adding Soft Actor-Critic as a stochastic-policy baseline; Prioritised Experience Replay for faster convergence; transfer learning across different Nakagami-m values; path-loss and node-mobility models for realism; OFDM extension with per-subcarrier power allocation; coupling RL power control with spectrum sensing; Docker containerisation and Optuna hyper-parameter search.</w:t>
      </w:r>
    </w:p>
    <w:p>
      <w:pPr>
        <w:pStyle w:val="Heading1"/>
        <w:spacing w:after="120" w:before="260"/>
      </w:pPr>
      <w:r>
        <w:rPr>
          <w:rFonts w:ascii="Times New Roman" w:cs="Times New Roman" w:eastAsia="Times New Roman" w:hAnsi="Times New Roman"/>
          <w:b/>
          <w:bCs/>
          <w:sz w:val="28"/>
          <w:szCs w:val="28"/>
        </w:rPr>
        <w:t xml:space="preserve">8.  References</w:t>
      </w:r>
    </w:p>
    <w:p>
      <w:pPr>
        <w:spacing w:after="80"/>
      </w:pPr>
      <w:r>
        <w:rPr>
          <w:rFonts w:ascii="Times New Roman" w:cs="Times New Roman" w:eastAsia="Times New Roman" w:hAnsi="Times New Roman"/>
          <w:sz w:val="21"/>
          <w:szCs w:val="21"/>
        </w:rPr>
        <w:t xml:space="preserve">[1]  C. Zhong et al., "Deep Reinforcement Learning-Based Optimization for IRS-Assisted Cognitive Radio Systems," IEEE Transactions on Communications, vol. 70, no. 6, pp. 3849–3864, June 2022, doi: 10.1109/TCOMM.2022.3171837.</w:t>
      </w:r>
    </w:p>
    <w:p>
      <w:pPr>
        <w:spacing w:after="80"/>
      </w:pPr>
      <w:r>
        <w:rPr>
          <w:rFonts w:ascii="Times New Roman" w:cs="Times New Roman" w:eastAsia="Times New Roman" w:hAnsi="Times New Roman"/>
          <w:sz w:val="21"/>
          <w:szCs w:val="21"/>
        </w:rPr>
        <w:t xml:space="preserve">[2]  P. R. Teja, K. Dubey and R. Dubey, "2DRL: Cognitive D2D Control Under Imperfect CSI Via Adaptive Deep Reinforcement Learning," International Journal of Networked and Distributed Computing, vol. 14, p. 6, 2026, doi: 10.1007/s44227-025-00081-0.</w:t>
      </w:r>
    </w:p>
    <w:p>
      <w:pPr>
        <w:spacing w:after="80"/>
      </w:pPr>
      <w:r>
        <w:rPr>
          <w:rFonts w:ascii="Times New Roman" w:cs="Times New Roman" w:eastAsia="Times New Roman" w:hAnsi="Times New Roman"/>
          <w:sz w:val="21"/>
          <w:szCs w:val="21"/>
        </w:rPr>
        <w:t xml:space="preserve">[3]  R. Jafari, A. O. Fapojuwo and M. Nozari, "DRL-Powered Sum-Rate Maximization Design for IRS-Assisted Full Duplex Cluster NOMA WPCNs," IEEE Transactions on Wireless Communications, vol. 24, no. 11, pp. 9686–9702, Nov. 2025, doi: 10.1109/TWC.2025.3574711.</w:t>
      </w:r>
    </w:p>
    <w:p>
      <w:pPr>
        <w:spacing w:after="80"/>
      </w:pPr>
      <w:r>
        <w:rPr>
          <w:rFonts w:ascii="Times New Roman" w:cs="Times New Roman" w:eastAsia="Times New Roman" w:hAnsi="Times New Roman"/>
          <w:sz w:val="21"/>
          <w:szCs w:val="21"/>
        </w:rPr>
        <w:t xml:space="preserve">[4]  E. O. Frimpong, Y. Wang and Z. Tian, "IRIS-DDPG: A Reinforcement Learning-Based Optimization for Irregular Reconfigurable Intelligent Surfaces Exploiting Statistical CSI," IEEE Transactions on Cognitive Communications and Networking, vol. 12, pp. 4716–4730, 2026, doi: 10.1109/TCCN.2025.3645496.</w:t>
      </w:r>
    </w:p>
    <w:p>
      <w:pPr>
        <w:spacing w:after="80"/>
      </w:pPr>
      <w:r>
        <w:rPr>
          <w:rFonts w:ascii="Times New Roman" w:cs="Times New Roman" w:eastAsia="Times New Roman" w:hAnsi="Times New Roman"/>
          <w:sz w:val="21"/>
          <w:szCs w:val="21"/>
        </w:rPr>
        <w:t xml:space="preserve">[5]  Y. Bi, V. K. N. Lau and D. H. K. Tsang, "Model-Driven Bayesian Reinforcement Learning for IRS-Assisted Massive MIMO-OFDM Channel Feedback, Beamforming, and IRS Control," IEEE Transactions on Wireless Communications, vol. 24, no. 3, pp. 2514–2529, March 2025, doi: 10.1109/TWC.2024.3522098.</w:t>
      </w:r>
    </w:p>
    <w:p>
      <w:pPr>
        <w:spacing w:after="80"/>
      </w:pPr>
      <w:r>
        <w:rPr>
          <w:rFonts w:ascii="Times New Roman" w:cs="Times New Roman" w:eastAsia="Times New Roman" w:hAnsi="Times New Roman"/>
          <w:sz w:val="21"/>
          <w:szCs w:val="21"/>
        </w:rPr>
        <w:t xml:space="preserve">[6]  S. Fujimoto, H. van Hoof and D. Meger, "Addressing Function Approximation Error in Actor-Critic Methods (TD3)," Proceedings of the 35th ICML, 2018. https://arxiv.org/abs/1802.09477</w:t>
      </w:r>
    </w:p>
    <w:p>
      <w:pPr>
        <w:spacing w:after="80"/>
      </w:pPr>
      <w:r>
        <w:rPr>
          <w:rFonts w:ascii="Times New Roman" w:cs="Times New Roman" w:eastAsia="Times New Roman" w:hAnsi="Times New Roman"/>
          <w:sz w:val="21"/>
          <w:szCs w:val="21"/>
        </w:rPr>
        <w:t xml:space="preserve">[7]  T. P. Lillicrap et al., "Continuous Control with Deep Reinforcement Learning (DDPG)," Proceedings of ICLR, 2016. https://arxiv.org/abs/1509.02971</w:t>
      </w:r>
    </w:p>
    <w:p>
      <w:pPr>
        <w:spacing w:after="80"/>
      </w:pPr>
      <w:r>
        <w:rPr>
          <w:rFonts w:ascii="Times New Roman" w:cs="Times New Roman" w:eastAsia="Times New Roman" w:hAnsi="Times New Roman"/>
          <w:sz w:val="21"/>
          <w:szCs w:val="21"/>
        </w:rPr>
        <w:t xml:space="preserve">[8]  S. Haykin, "Cognitive Radio: Brain-Empowered Wireless Communications," IEEE J. Sel. Areas Commun., vol. 23, no. 2, pp. 201–220, Feb. 2005.</w:t>
      </w:r>
    </w:p>
    <w:p>
      <w:pPr>
        <w:spacing w:after="80"/>
      </w:pPr>
      <w:r>
        <w:rPr>
          <w:rFonts w:ascii="Times New Roman" w:cs="Times New Roman" w:eastAsia="Times New Roman" w:hAnsi="Times New Roman"/>
          <w:sz w:val="21"/>
          <w:szCs w:val="21"/>
        </w:rPr>
        <w:t xml:space="preserve">[9]  M. K. Simon and M.-S. Alouini, Digital Communication over Fading Channels, 2nd ed., Wiley, 2005.</w:t>
      </w:r>
    </w:p>
    <w:p>
      <w:pPr>
        <w:spacing w:after="80"/>
      </w:pPr>
      <w:r>
        <w:rPr>
          <w:rFonts w:ascii="Times New Roman" w:cs="Times New Roman" w:eastAsia="Times New Roman" w:hAnsi="Times New Roman"/>
          <w:sz w:val="21"/>
          <w:szCs w:val="21"/>
        </w:rPr>
        <w:t xml:space="preserve">[10] DDPG-Based Adaptive Power Control, GitHub repository, 2026. https://github.com/adityagangwani30/ddpgminiproject.git</w:t>
      </w:r>
    </w:p>
    <w:p>
      <w:pPr>
        <w:spacing w:after="80"/>
      </w:pPr>
      <w:r>
        <w:rPr>
          <w:rFonts w:ascii="Times New Roman" w:cs="Times New Roman" w:eastAsia="Times New Roman" w:hAnsi="Times New Roman"/>
          <w:sz w:val="21"/>
          <w:szCs w:val="21"/>
        </w:rPr>
        <w:t xml:space="preserve">[11] Actor-Critic Network, GitHub repository, 2026. https://github.com/Ryan-gomezzz/ddpg-actor_critic.git</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r>
      <w:rPr>
        <w:rFonts w:ascii="Times New Roman" w:cs="Times New Roman" w:eastAsia="Times New Roman" w:hAnsi="Times New Roman"/>
        <w:sz w:val="19"/>
        <w:szCs w:val="19"/>
      </w:rPr>
      <w:t xml:space="preserve"> of </w:t>
    </w:r>
    <w:r>
      <w:rPr>
        <w:rFonts w:ascii="Times New Roman" w:cs="Times New Roman" w:eastAsia="Times New Roman" w:hAnsi="Times New Roman"/>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color w:val="1A365D"/>
      <w:sz w:val="30"/>
      <w:szCs w:val="30"/>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A365D"/>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C5F8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98be6f734239cd6d443851c84cb506487cc116.png"/><Relationship Id="rId9" Type="http://schemas.openxmlformats.org/officeDocument/2006/relationships/image" Target="media/0f19dabf488ab1ecabceeb401b8f6e198c6d0888.png"/><Relationship Id="rId10" Type="http://schemas.openxmlformats.org/officeDocument/2006/relationships/image" Target="media/919ad564234ba85af2912740e35740489c8db970.png"/><Relationship Id="rId11" Type="http://schemas.openxmlformats.org/officeDocument/2006/relationships/image" Target="media/c1c029e6546ffd922add725fee66e92d0126852d.png"/><Relationship Id="rId12" Type="http://schemas.openxmlformats.org/officeDocument/2006/relationships/image" Target="media/9260288447bb9f438945f28b9a1262cb18f6e8ab.png"/><Relationship Id="rId13" Type="http://schemas.openxmlformats.org/officeDocument/2006/relationships/image" Target="media/be14dc679e6d72f62e2a3a01923d984f54c796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2026-05-18T19:31:53.417Z</dcterms:created>
  <dcterms:modified xsi:type="dcterms:W3CDTF">2026-05-18T19:31:53.426Z</dcterms:modified>
</cp:coreProperties>
</file>

<file path=docProps/custom.xml><?xml version="1.0" encoding="utf-8"?>
<Properties xmlns="http://schemas.openxmlformats.org/officeDocument/2006/custom-properties" xmlns:vt="http://schemas.openxmlformats.org/officeDocument/2006/docPropsVTypes"/>
</file>