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40" w:lineRule="auto" w:before="0" w:after="30"/>
        <w:ind w:left="0" w:right="4696" w:firstLine="0"/>
        <w:jc w:val="right"/>
      </w:pPr>
      <w:r>
        <w:rPr>
          <w:rFonts w:ascii="Noto Sans" w:hAnsi="Noto Sans" w:eastAsia="Noto Sans"/>
          <w:b/>
          <w:i w:val="0"/>
          <w:color w:val="1A1A1A"/>
          <w:sz w:val="40"/>
        </w:rPr>
        <w:t>Zhongqi Hou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5341"/>
        <w:gridCol w:w="5341"/>
      </w:tblGrid>
      <w:tr>
        <w:trPr>
          <w:trHeight w:hRule="exact" w:val="298"/>
        </w:trPr>
        <w:tc>
          <w:tcPr>
            <w:tcW w:type="dxa" w:w="9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2" w:right="0" w:firstLine="0"/>
              <w:jc w:val="left"/>
            </w:pPr>
            <w:r>
              <w:rPr>
                <w:w w:val="102.16441684299045"/>
                <w:rFonts w:ascii="Noto Sans" w:hAnsi="Noto Sans" w:eastAsia="Noto Sans"/>
                <w:b/>
                <w:i w:val="0"/>
                <w:color w:val="1A1A1A"/>
                <w:sz w:val="18"/>
              </w:rPr>
              <w:t>Target: Overseas Technical Support Engineer (Semiconductor Equipment / Robotics · Hybrid)</w:t>
            </w:r>
          </w:p>
        </w:tc>
        <w:tc>
          <w:tcPr>
            <w:tcW w:type="dxa" w:w="1156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999999"/>
                <w:sz w:val="18"/>
              </w:rPr>
              <w:t>Photo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992" w:right="0" w:firstLine="0"/>
        <w:jc w:val="left"/>
      </w:pPr>
      <w:r>
        <w:rPr>
          <w:w w:val="102.16441684299045"/>
          <w:rFonts w:ascii="Noto Sans" w:hAnsi="Noto Sans" w:eastAsia="Noto Sans"/>
          <w:b w:val="0"/>
          <w:i w:val="0"/>
          <w:color w:val="1A1A1A"/>
          <w:sz w:val="18"/>
        </w:rPr>
        <w:t>Shenzhen, China | English-fluent with overseas customers | UK visa holder (~2 years)</w:t>
      </w:r>
    </w:p>
    <w:p>
      <w:pPr>
        <w:autoSpaceDN w:val="0"/>
        <w:autoSpaceDE w:val="0"/>
        <w:widowControl/>
        <w:spacing w:line="240" w:lineRule="auto" w:before="34" w:after="0"/>
        <w:ind w:left="536" w:right="0" w:firstLine="0"/>
        <w:jc w:val="left"/>
      </w:pPr>
      <w:r>
        <w:rPr>
          <w:w w:val="102.16441684299045"/>
          <w:rFonts w:ascii="Noto Sans" w:hAnsi="Noto Sans" w:eastAsia="Noto Sans"/>
          <w:b w:val="0"/>
          <w:i w:val="0"/>
          <w:color w:val="1A1A1A"/>
          <w:sz w:val="18"/>
        </w:rPr>
        <w:t>+86 178-1676-9251 | zhongqi_hou@foxmail.com | Travel: ~3 overseas trips/year, ~1 month each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1"/>
        </w:rPr>
        <w:t>PROFESSIONAL SUMMARY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• Path: deepen overseas technical support first, then move toward overseas sales / pre-sales hybrid roles.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8" w:after="0"/>
        <w:ind w:left="0" w:right="432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Strength: independent overseas delivery (remote + Europe on-site); translate field problems into R&amp;D-executable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requirements and customer-actionable steps.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8" w:after="0"/>
        <w:ind w:left="0" w:right="144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• Efficiency: use AI (Cursor) to build department knowledge systems and ticket tooling that cut timezone friction.</w:t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Base: Automation degree + Intelligent Vehicle Lab; sensor/embedded/PCB/debug foundation for electromechanical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and robotics-related equipment support.</w:t>
      </w:r>
    </w:p>
    <w:p>
      <w:pPr>
        <w:autoSpaceDN w:val="0"/>
        <w:autoSpaceDE w:val="0"/>
        <w:widowControl/>
        <w:spacing w:line="240" w:lineRule="auto" w:before="124" w:after="42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1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1"/>
        <w:gridCol w:w="5341"/>
      </w:tblGrid>
      <w:tr>
        <w:trPr>
          <w:trHeight w:hRule="exact" w:val="394"/>
        </w:trPr>
        <w:tc>
          <w:tcPr>
            <w:tcW w:type="dxa" w:w="8250"/>
            <w:tcBorders>
              <w:top w:sz="6.400000000000091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left"/>
            </w:pPr>
            <w:r>
              <w:rPr>
                <w:w w:val="101.05040700812089"/>
                <w:rFonts w:ascii="Noto Sans" w:hAnsi="Noto Sans" w:eastAsia="Noto Sans"/>
                <w:b/>
                <w:i w:val="0"/>
                <w:color w:val="1A1A1A"/>
                <w:sz w:val="19"/>
              </w:rPr>
              <w:t>SmartSafe (Yijian Intelligent) — Overseas Technical Support / Service Engineer</w:t>
            </w:r>
          </w:p>
        </w:tc>
        <w:tc>
          <w:tcPr>
            <w:tcW w:type="dxa" w:w="2414"/>
            <w:tcBorders>
              <w:top w:sz="6.400000000000091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555555"/>
                <w:sz w:val="18"/>
              </w:rPr>
              <w:t>Nov 2025 – Present</w:t>
            </w:r>
          </w:p>
        </w:tc>
      </w:tr>
    </w:tbl>
    <w:p>
      <w:pPr>
        <w:autoSpaceDN w:val="0"/>
        <w:tabs>
          <w:tab w:pos="202" w:val="left"/>
        </w:tabs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Noto Sans" w:hAnsi="Noto Sans" w:eastAsia="Noto Sans"/>
          <w:b w:val="0"/>
          <w:i w:val="0"/>
          <w:color w:val="444444"/>
          <w:sz w:val="18"/>
        </w:rPr>
        <w:t xml:space="preserve">Automotive aftermarket inspection &amp; maintenance equipment | Internal service engineer + external overseas technical </w:t>
      </w:r>
      <w:r>
        <w:rPr>
          <w:rFonts w:ascii="Noto Sans" w:hAnsi="Noto Sans" w:eastAsia="Noto Sans"/>
          <w:b w:val="0"/>
          <w:i w:val="0"/>
          <w:color w:val="444444"/>
          <w:sz w:val="18"/>
        </w:rPr>
        <w:t>support</w:t>
      </w:r>
      <w:r>
        <w:br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Multi-line support: wheel alignment, ADAS calibration, A/C refrigerant exchange, injector cleaning, ATF exchange, EV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battery pack charge/discharge &amp; balancing, diagnostic tablets—ramped up quickly under limited deep training.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8" w:after="0"/>
        <w:ind w:left="0" w:right="288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• Field work in Spain, Netherlands, France, and Germany: after-sales troubleshooting, product training, dealer/end-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user enablement.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8" w:after="0"/>
        <w:ind w:left="0" w:right="1008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Key account: followed wheel-alignment HW/SW requirements for ~4 months; aligned features, interfaces,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acceptance, and priorities between R&amp;D and customer until product landed.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24" w:after="0"/>
        <w:ind w:left="0" w:right="0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Role focus: reliable at requirement clarification, issue triage, cross-team push, and expectation management across a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wide portfolio.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24" w:after="0"/>
        <w:ind w:left="0" w:right="288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AI knowledge base (Cursor): FAQ + product docs, chat-style retrieval; accounts for sales/service; 24/7 on company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servers to reduce after-hours document search across time zones.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8" w:after="0"/>
        <w:ind w:left="0" w:right="576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Ticket platform: case records with video/image/document upload, customer–issue linkage, and dashboard for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cumulative issue visibility.</w:t>
      </w:r>
    </w:p>
    <w:p>
      <w:pPr>
        <w:autoSpaceDN w:val="0"/>
        <w:tabs>
          <w:tab w:pos="8934" w:val="left"/>
        </w:tabs>
        <w:autoSpaceDE w:val="0"/>
        <w:widowControl/>
        <w:spacing w:line="242" w:lineRule="auto" w:before="66" w:after="0"/>
        <w:ind w:left="0" w:right="0" w:firstLine="0"/>
        <w:jc w:val="left"/>
      </w:pPr>
      <w:r>
        <w:rPr>
          <w:w w:val="101.05040700812089"/>
          <w:rFonts w:ascii="Noto Sans" w:hAnsi="Noto Sans" w:eastAsia="Noto Sans"/>
          <w:b/>
          <w:i w:val="0"/>
          <w:color w:val="1A1A1A"/>
          <w:sz w:val="19"/>
        </w:rPr>
        <w:t xml:space="preserve">ELEGOO (Shenzhen Zhinenpai Technology) — Overseas Technical Support Engineer </w:t>
      </w:r>
      <w:r>
        <w:tab/>
      </w:r>
      <w:r>
        <w:rPr>
          <w:rFonts w:ascii="Noto Sans" w:hAnsi="Noto Sans" w:eastAsia="Noto Sans"/>
          <w:b w:val="0"/>
          <w:i w:val="0"/>
          <w:color w:val="555555"/>
          <w:sz w:val="18"/>
        </w:rPr>
        <w:t>Aug 2025 – Oct 2025</w:t>
      </w:r>
    </w:p>
    <w:p>
      <w:pPr>
        <w:autoSpaceDN w:val="0"/>
        <w:tabs>
          <w:tab w:pos="202" w:val="left"/>
        </w:tabs>
        <w:autoSpaceDE w:val="0"/>
        <w:widowControl/>
        <w:spacing w:line="247" w:lineRule="auto" w:before="22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444444"/>
          <w:sz w:val="18"/>
        </w:rPr>
        <w:t>3D printing export | Desk-based remote after-sales/technical support for EU/US customers</w:t>
      </w:r>
      <w:r>
        <w:br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Independent EU/US technical inquiries at high daily volume; built personal knowledge base + AI agent to standardize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recurring issues.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• Compiled user pain points and design gaps as structured input for product and engineering teams.</w:t>
      </w:r>
    </w:p>
    <w:p>
      <w:pPr>
        <w:sectPr>
          <w:pgSz w:w="11899" w:h="16838"/>
          <w:pgMar w:top="312" w:right="586" w:bottom="1440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</w:p>
    <w:p>
      <w:pPr>
        <w:autoSpaceDN w:val="0"/>
        <w:autoSpaceDE w:val="0"/>
        <w:widowControl/>
        <w:spacing w:line="240" w:lineRule="auto" w:before="0" w:after="44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1"/>
        <w:gridCol w:w="5341"/>
      </w:tblGrid>
      <w:tr>
        <w:trPr>
          <w:trHeight w:hRule="exact" w:val="336"/>
        </w:trPr>
        <w:tc>
          <w:tcPr>
            <w:tcW w:type="dxa" w:w="8610"/>
            <w:tcBorders>
              <w:top w:sz="6.399999999999977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left"/>
            </w:pPr>
            <w:r>
              <w:rPr>
                <w:w w:val="101.05040700812089"/>
                <w:rFonts w:ascii="Noto Sans" w:hAnsi="Noto Sans" w:eastAsia="Noto Sans"/>
                <w:b/>
                <w:i w:val="0"/>
                <w:color w:val="1A1A1A"/>
                <w:sz w:val="19"/>
              </w:rPr>
              <w:t>Zhejiang University of Science and Technology — B.E. Automation | GPA 3.04 (Top 15%)</w:t>
            </w:r>
          </w:p>
        </w:tc>
        <w:tc>
          <w:tcPr>
            <w:tcW w:type="dxa" w:w="2054"/>
            <w:tcBorders>
              <w:top w:sz="6.399999999999977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372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555555"/>
                <w:sz w:val="18"/>
              </w:rPr>
              <w:t>Sep 2021 – Jun 2025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444444"/>
          <w:sz w:val="18"/>
        </w:rPr>
        <w:t xml:space="preserve">CET-6 | Coursework: MCU/embedded, microcomputer principles, automatic control, C, data structures | Intelligent Vehicle Lab </w:t>
      </w:r>
      <w:r>
        <w:rPr>
          <w:rFonts w:ascii="Noto Sans" w:hAnsi="Noto Sans" w:eastAsia="Noto Sans"/>
          <w:b w:val="0"/>
          <w:i w:val="0"/>
          <w:color w:val="444444"/>
          <w:sz w:val="18"/>
        </w:rPr>
        <w:t>3 years</w:t>
      </w:r>
    </w:p>
    <w:p>
      <w:pPr>
        <w:autoSpaceDN w:val="0"/>
        <w:autoSpaceDE w:val="0"/>
        <w:widowControl/>
        <w:spacing w:line="240" w:lineRule="auto" w:before="128" w:after="42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1"/>
        </w:rPr>
        <w:t>PROJECTS (TECHNICAL FOUNDATION)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1"/>
        <w:gridCol w:w="5341"/>
      </w:tblGrid>
      <w:tr>
        <w:trPr>
          <w:trHeight w:hRule="exact" w:val="336"/>
        </w:trPr>
        <w:tc>
          <w:tcPr>
            <w:tcW w:type="dxa" w:w="7350"/>
            <w:tcBorders>
              <w:top w:sz="6.399999999999977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left"/>
            </w:pPr>
            <w:r>
              <w:rPr>
                <w:w w:val="101.05040700812089"/>
                <w:rFonts w:ascii="Noto Sans" w:hAnsi="Noto Sans" w:eastAsia="Noto Sans"/>
                <w:b/>
                <w:i w:val="0"/>
                <w:color w:val="1A1A1A"/>
                <w:sz w:val="19"/>
              </w:rPr>
              <w:t>Inertial Navigation Off-Road Vehicle (Infineon TC264 / TC377)</w:t>
            </w:r>
          </w:p>
        </w:tc>
        <w:tc>
          <w:tcPr>
            <w:tcW w:type="dxa" w:w="3314"/>
            <w:tcBorders>
              <w:top w:sz="6.399999999999977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555555"/>
                <w:sz w:val="18"/>
              </w:rPr>
              <w:t>Dec 2022 – Aug 2023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Noto Sans" w:hAnsi="Noto Sans" w:eastAsia="Noto Sans"/>
          <w:b w:val="0"/>
          <w:i w:val="0"/>
          <w:color w:val="444444"/>
          <w:sz w:val="18"/>
        </w:rPr>
        <w:t>GPS + IMU | Provincial 2nd Prize (4th in Zhejiang), National Intelligent Vehicle Competition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42" w:after="0"/>
        <w:ind w:left="0" w:right="288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Compared GPS (UART) vs IMU (SPI); fusion/complementary filtering improved real-time response and cut ~2s race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time.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24" w:after="0"/>
        <w:ind w:left="0" w:right="432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Automatic task-zone logic; VOFA+ / Matlab path-error analysis and PID tuning; coordinated sensor selection and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HW/SW split.</w:t>
      </w:r>
    </w:p>
    <w:p>
      <w:pPr>
        <w:autoSpaceDN w:val="0"/>
        <w:tabs>
          <w:tab w:pos="9150" w:val="left"/>
        </w:tabs>
        <w:autoSpaceDE w:val="0"/>
        <w:widowControl/>
        <w:spacing w:line="242" w:lineRule="auto" w:before="66" w:after="0"/>
        <w:ind w:left="0" w:right="0" w:firstLine="0"/>
        <w:jc w:val="left"/>
      </w:pPr>
      <w:r>
        <w:rPr>
          <w:w w:val="101.05040700812089"/>
          <w:rFonts w:ascii="Noto Sans" w:hAnsi="Noto Sans" w:eastAsia="Noto Sans"/>
          <w:b/>
          <w:i w:val="0"/>
          <w:color w:val="1A1A1A"/>
          <w:sz w:val="19"/>
        </w:rPr>
        <w:t xml:space="preserve">Infrared Line-Following (TI MSPM0G3507) · Vehicle ECU on μC/OS-II (STM32F103) </w:t>
      </w:r>
      <w:r>
        <w:tab/>
      </w:r>
      <w:r>
        <w:rPr>
          <w:rFonts w:ascii="Noto Sans" w:hAnsi="Noto Sans" w:eastAsia="Noto Sans"/>
          <w:b w:val="0"/>
          <w:i w:val="0"/>
          <w:color w:val="555555"/>
          <w:sz w:val="18"/>
        </w:rPr>
        <w:t>2024.07 – 2025.04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24" w:after="0"/>
        <w:ind w:left="0" w:right="144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IR array + MPU6050 with DMP Euler angles and yaw-drift correction; Zhejiang Electronic Design Contest Problem H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(first three tasks).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24" w:after="0"/>
        <w:ind w:left="0" w:right="432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Ported μC/OS-II; ultrasonic ranging, motor deceleration, buzzer, Hall RPM display; obstacle response &lt;50ms; PCB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iteration in JLCPCB EDA.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1"/>
        </w:rPr>
        <w:t>SKILLS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Languages: CET-6 English; overseas customer conversations, on-site training, technical email.</w:t>
      </w:r>
    </w:p>
    <w:p>
      <w:pPr>
        <w:autoSpaceDN w:val="0"/>
        <w:autoSpaceDE w:val="0"/>
        <w:widowControl/>
        <w:spacing w:line="245" w:lineRule="auto" w:before="52" w:after="0"/>
        <w:ind w:left="0" w:right="1296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Support: pre-sales training, after-sales diagnosis, field delivery, requirement translation, cross-timezone </w:t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communication.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Engineering: STM32 / Infineon / TI; UART/SPI; RTOS basics; PCB reading, soldering, multimeter; Python / Matlab.</w:t>
      </w:r>
    </w:p>
    <w:p>
      <w:pPr>
        <w:autoSpaceDN w:val="0"/>
        <w:autoSpaceDE w:val="0"/>
        <w:widowControl/>
        <w:spacing w:line="245" w:lineRule="auto" w:before="38" w:after="0"/>
        <w:ind w:left="0" w:right="144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Productivity: Cursor / AI agents; knowledge-base building; ticket &amp; dashboard workflows; ProcessOn / Visio / Xmind / </w:t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Office.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Other: UK visa (~2 years); Shenzhen base preferred; overseas travel OK (~3×/year, ~1 month each).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1"/>
        </w:rPr>
        <w:t>HONORS</w:t>
      </w:r>
    </w:p>
    <w:p>
      <w:pPr>
        <w:autoSpaceDN w:val="0"/>
        <w:tabs>
          <w:tab w:pos="202" w:val="left"/>
        </w:tabs>
        <w:autoSpaceDE w:val="0"/>
        <w:widowControl/>
        <w:spacing w:line="245" w:lineRule="auto" w:before="124" w:after="0"/>
        <w:ind w:left="0" w:right="576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• Provincial 2nd Prize, 18th National College Student Intelligent Vehicle Competition (2023.07)</w:t>
      </w:r>
      <w:r>
        <w:br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• Campus 1st Prize, Zhejiang College English Contest (2022.05) · National 3rd Prize, Puyi English Writing Contest </w:t>
      </w:r>
      <w:r>
        <w:tab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(2023.12)</w:t>
      </w:r>
      <w:r>
        <w:br/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• Academic Excellence / Meiyi Corporate Scholarship (rank 7/92, 2022–2024)</w:t>
      </w:r>
    </w:p>
    <w:p>
      <w:pPr>
        <w:autoSpaceDN w:val="0"/>
        <w:autoSpaceDE w:val="0"/>
        <w:widowControl/>
        <w:spacing w:line="240" w:lineRule="auto" w:before="138" w:after="0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1"/>
        </w:rPr>
        <w:t>SELF ASSESSMENT</w:t>
      </w:r>
    </w:p>
    <w:p>
      <w:pPr>
        <w:autoSpaceDN w:val="0"/>
        <w:autoSpaceDE w:val="0"/>
        <w:widowControl/>
        <w:spacing w:line="245" w:lineRule="auto" w:before="228" w:after="0"/>
        <w:ind w:left="0" w:right="288" w:firstLine="0"/>
        <w:jc w:val="left"/>
      </w:pP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Communication is the strongest asset—align facts and next actions among customers, sales, and R&amp;D until issues </w:t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close. Fast learner with a tooling mindset. Coding depth is still growing; best fit is overseas technical support / pre-</w:t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 xml:space="preserve">sales hybrid roles in semiconductor equipment or robotics, with a medium-term path toward overseas sales in </w:t>
      </w:r>
      <w:r>
        <w:rPr>
          <w:w w:val="101.05040700812089"/>
          <w:rFonts w:ascii="Noto Sans" w:hAnsi="Noto Sans" w:eastAsia="Noto Sans"/>
          <w:b w:val="0"/>
          <w:i w:val="0"/>
          <w:color w:val="1A1A1A"/>
          <w:sz w:val="19"/>
        </w:rPr>
        <w:t>Shenzhen.</w:t>
      </w:r>
    </w:p>
    <w:sectPr w:rsidR="00FC693F" w:rsidRPr="0006063C" w:rsidSect="00034616">
      <w:pgSz w:w="11899" w:h="16838"/>
      <w:pgMar w:top="376" w:right="586" w:bottom="1440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