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36.png" ContentType="image/png"/>
  <Override PartName="/word/media/rId55.png" ContentType="image/png"/>
  <Override PartName="/word/media/rId33.png" ContentType="image/png"/>
  <Override PartName="/word/media/rId4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landscape</w:t>
      </w:r>
      <w:r>
        <w:t xml:space="preserve"> </w:t>
      </w:r>
      <w:r>
        <w:t xml:space="preserve">suitability</w:t>
      </w:r>
      <w:r>
        <w:t xml:space="preserve"> </w:t>
      </w:r>
      <w:r>
        <w:t xml:space="preserve">for</w:t>
      </w:r>
      <w:r>
        <w:t xml:space="preserve"> </w:t>
      </w:r>
      <w:r>
        <w:t xml:space="preserve">forest</w:t>
      </w:r>
      <w:r>
        <w:t xml:space="preserve"> </w:t>
      </w:r>
      <w:r>
        <w:t xml:space="preserve">thinning</w:t>
      </w:r>
      <w:r>
        <w:t xml:space="preserve"> </w:t>
      </w:r>
      <w:r>
        <w:t xml:space="preserve">to</w:t>
      </w:r>
      <w:r>
        <w:t xml:space="preserve"> </w:t>
      </w:r>
      <w:r>
        <w:t xml:space="preserve">reduce</w:t>
      </w:r>
      <w:r>
        <w:t xml:space="preserve"> </w:t>
      </w:r>
      <w:r>
        <w:t xml:space="preserve">evapotranspiration</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2024-11-21</w:t>
      </w:r>
    </w:p>
    <w:p>
      <w:pPr>
        <w:pStyle w:val="AbstractTitle"/>
      </w:pPr>
      <w:r>
        <w:t xml:space="preserve">Abstract</w:t>
      </w:r>
    </w:p>
    <w:p>
      <w:pPr>
        <w:pStyle w:val="Abstract"/>
      </w:pP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r>
        <w:t xml:space="preserve"> </w:t>
      </w:r>
      <w:r>
        <w:t xml:space="preserve">This</w:t>
      </w:r>
      <w:r>
        <w:t xml:space="preserve"> </w:t>
      </w:r>
      <w:r>
        <w:t xml:space="preserve">research</w:t>
      </w:r>
      <w:r>
        <w:t xml:space="preserve"> </w:t>
      </w:r>
      <w:r>
        <w:t xml:space="preserve">synthesizes</w:t>
      </w:r>
      <w:r>
        <w:t xml:space="preserve"> </w:t>
      </w:r>
      <w:r>
        <w:t xml:space="preserve">the</w:t>
      </w:r>
      <w:r>
        <w:t xml:space="preserve"> </w:t>
      </w:r>
      <w:r>
        <w:t xml:space="preserve">myriad</w:t>
      </w:r>
      <w:r>
        <w:t xml:space="preserve"> </w:t>
      </w:r>
      <w:r>
        <w:t xml:space="preserve">studies</w:t>
      </w:r>
      <w:r>
        <w:t xml:space="preserve"> </w:t>
      </w:r>
      <w:r>
        <w:t xml:space="preserve">examining</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treatment</w:t>
      </w:r>
      <w:r>
        <w:t xml:space="preserve"> </w:t>
      </w:r>
      <w:r>
        <w:t xml:space="preserve">on</w:t>
      </w:r>
      <w:r>
        <w:t xml:space="preserve"> </w:t>
      </w:r>
      <w:r>
        <w:t xml:space="preserve">water</w:t>
      </w:r>
      <w:r>
        <w:t xml:space="preserve"> </w:t>
      </w:r>
      <w:r>
        <w:t xml:space="preserve">ield</w:t>
      </w:r>
      <w:r>
        <w:t xml:space="preserve"> </w:t>
      </w:r>
      <w:r>
        <w:t xml:space="preserve">in</w:t>
      </w:r>
      <w:r>
        <w:t xml:space="preserve"> </w:t>
      </w:r>
      <w:r>
        <w:t xml:space="preserve">semi-arid</w:t>
      </w:r>
      <w:r>
        <w:t xml:space="preserve"> </w:t>
      </w:r>
      <w:r>
        <w:t xml:space="preserve">forests</w:t>
      </w:r>
      <w:r>
        <w:t xml:space="preserve"> </w:t>
      </w:r>
      <w:r>
        <w:t xml:space="preserve">and</w:t>
      </w:r>
      <w:r>
        <w:t xml:space="preserve"> </w:t>
      </w:r>
      <w:r>
        <w:t xml:space="preserve">compiles</w:t>
      </w:r>
      <w:r>
        <w:t xml:space="preserve"> </w:t>
      </w:r>
      <w:r>
        <w:t xml:space="preserve">a</w:t>
      </w:r>
      <w:r>
        <w:t xml:space="preserve"> </w:t>
      </w:r>
      <w:r>
        <w:t xml:space="preserve">list</w:t>
      </w:r>
      <w:r>
        <w:t xml:space="preserve"> </w:t>
      </w:r>
      <w:r>
        <w:t xml:space="preserve">of</w:t>
      </w:r>
      <w:r>
        <w:t xml:space="preserve"> </w:t>
      </w:r>
      <w:r>
        <w:t xml:space="preserve">relevant</w:t>
      </w:r>
      <w:r>
        <w:t xml:space="preserve"> </w:t>
      </w:r>
      <w:r>
        <w:t xml:space="preserve">variables.</w:t>
      </w:r>
      <w:r>
        <w:t xml:space="preserve"> </w:t>
      </w:r>
      <w:r>
        <w:t xml:space="preserve">Our</w:t>
      </w:r>
      <w:r>
        <w:t xml:space="preserve"> </w:t>
      </w:r>
      <w:r>
        <w:t xml:space="preserve">approach</w:t>
      </w:r>
      <w:r>
        <w:t xml:space="preserve"> </w:t>
      </w:r>
      <w:r>
        <w:t xml:space="preserve">combines</w:t>
      </w:r>
      <w:r>
        <w:t xml:space="preserve"> </w:t>
      </w:r>
      <w:r>
        <w:t xml:space="preserve">thematic</w:t>
      </w:r>
      <w:r>
        <w:t xml:space="preserve"> </w:t>
      </w:r>
      <w:r>
        <w:t xml:space="preserve">maps</w:t>
      </w:r>
      <w:r>
        <w:t xml:space="preserve"> </w:t>
      </w:r>
      <w:r>
        <w:t xml:space="preserve">of</w:t>
      </w:r>
      <w:r>
        <w:t xml:space="preserve"> </w:t>
      </w:r>
      <w:r>
        <w:t xml:space="preserve">average</w:t>
      </w:r>
      <w:r>
        <w:t xml:space="preserve"> </w:t>
      </w:r>
      <w:r>
        <w:t xml:space="preserve">precipitation,</w:t>
      </w:r>
      <w:r>
        <w:t xml:space="preserve"> </w:t>
      </w:r>
      <w:r>
        <w:t xml:space="preserve">elevation,</w:t>
      </w:r>
      <w:r>
        <w:t xml:space="preserve"> </w:t>
      </w:r>
      <w:r>
        <w:t xml:space="preserve">slope,</w:t>
      </w:r>
      <w:r>
        <w:t xml:space="preserve"> </w:t>
      </w:r>
      <w:r>
        <w:t xml:space="preserve">aspect,</w:t>
      </w:r>
      <w:r>
        <w:t xml:space="preserve"> </w:t>
      </w:r>
      <w:r>
        <w:t xml:space="preserve">forest</w:t>
      </w:r>
      <w:r>
        <w:t xml:space="preserve"> </w:t>
      </w:r>
      <w:r>
        <w:t xml:space="preserve">type,</w:t>
      </w:r>
      <w:r>
        <w:t xml:space="preserve"> </w:t>
      </w:r>
      <w:r>
        <w:t xml:space="preserve">forest</w:t>
      </w:r>
      <w:r>
        <w:t xml:space="preserve"> </w:t>
      </w:r>
      <w:r>
        <w:t xml:space="preserve">density,</w:t>
      </w:r>
      <w:r>
        <w:t xml:space="preserve"> </w:t>
      </w:r>
      <w:r>
        <w:t xml:space="preserve">depth</w:t>
      </w:r>
      <w:r>
        <w:t xml:space="preserve"> </w:t>
      </w:r>
      <w:r>
        <w:t xml:space="preserve">to</w:t>
      </w:r>
      <w:r>
        <w:t xml:space="preserve"> </w:t>
      </w:r>
      <w:r>
        <w:t xml:space="preserve">bedrock,</w:t>
      </w:r>
      <w:r>
        <w:t xml:space="preserve"> </w:t>
      </w:r>
      <w:r>
        <w:t xml:space="preserve">and</w:t>
      </w:r>
      <w:r>
        <w:t xml:space="preserve"> </w:t>
      </w:r>
      <w:r>
        <w:t xml:space="preserve">soil</w:t>
      </w:r>
      <w:r>
        <w:t xml:space="preserve"> </w:t>
      </w:r>
      <w:r>
        <w:t xml:space="preserve">type</w:t>
      </w:r>
      <w:r>
        <w:t xml:space="preserve"> </w:t>
      </w:r>
      <w:r>
        <w:t xml:space="preserve">into</w:t>
      </w:r>
      <w:r>
        <w:t xml:space="preserve"> </w:t>
      </w:r>
      <w:r>
        <w:t xml:space="preserve">a</w:t>
      </w:r>
      <w:r>
        <w:t xml:space="preserve"> </w:t>
      </w:r>
      <w:r>
        <w:t xml:space="preserve">GIS</w:t>
      </w:r>
      <w:r>
        <w:t xml:space="preserve"> </w:t>
      </w:r>
      <w:r>
        <w:t xml:space="preserve">suitability</w:t>
      </w:r>
      <w:r>
        <w:t xml:space="preserve"> </w:t>
      </w:r>
      <w:r>
        <w:t xml:space="preserve">model</w:t>
      </w:r>
      <w:r>
        <w:t xml:space="preserve"> </w:t>
      </w:r>
      <w:r>
        <w:t xml:space="preserve">to</w:t>
      </w:r>
      <w:r>
        <w:t xml:space="preserve"> </w:t>
      </w:r>
      <w:r>
        <w:t xml:space="preserve">highlight</w:t>
      </w:r>
      <w:r>
        <w:t xml:space="preserve"> </w:t>
      </w:r>
      <w:r>
        <w:t xml:space="preserve">areas</w:t>
      </w:r>
      <w:r>
        <w:t xml:space="preserve"> </w:t>
      </w:r>
      <w:r>
        <w:t xml:space="preserve">where</w:t>
      </w:r>
      <w:r>
        <w:t xml:space="preserve"> </w:t>
      </w:r>
      <w:r>
        <w:t xml:space="preserve">forest</w:t>
      </w:r>
      <w:r>
        <w:t xml:space="preserve"> </w:t>
      </w:r>
      <w:r>
        <w:t xml:space="preserve">treatment</w:t>
      </w:r>
      <w:r>
        <w:t xml:space="preserve"> </w:t>
      </w:r>
      <w:r>
        <w:t xml:space="preserve">will</w:t>
      </w:r>
      <w:r>
        <w:t xml:space="preserve"> </w:t>
      </w:r>
      <w:r>
        <w:t xml:space="preserve">most</w:t>
      </w:r>
      <w:r>
        <w:t xml:space="preserve"> </w:t>
      </w:r>
      <w:r>
        <w:t xml:space="preserve">likely</w:t>
      </w:r>
      <w:r>
        <w:t xml:space="preserve"> </w:t>
      </w:r>
      <w:r>
        <w:t xml:space="preserve">enhance</w:t>
      </w:r>
      <w:r>
        <w:t xml:space="preserve"> </w:t>
      </w:r>
      <w:r>
        <w:t xml:space="preserve">recharge</w:t>
      </w:r>
      <w:r>
        <w:t xml:space="preserve"> </w:t>
      </w:r>
      <w:r>
        <w:t xml:space="preserve">statewide.</w:t>
      </w:r>
    </w:p>
    <w:bookmarkStart w:id="29" w:name="introduction"/>
    <w:p>
      <w:pPr>
        <w:pStyle w:val="Heading2"/>
      </w:pPr>
      <w:r>
        <w:t xml:space="preserve">1 Introduction</w:t>
      </w:r>
    </w:p>
    <w:p>
      <w:pPr>
        <w:pStyle w:val="FirstParagraph"/>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Over 90% of annual precipitation in semi-arid forests can be lost to evapotranspiration</w:t>
      </w:r>
      <w:r>
        <w:t xml:space="preserve"> </w:t>
      </w:r>
      <w:r>
        <w:t xml:space="preserve">(Dore et al. 2012; Ha et al. 2015; Yaseef et al. 2010)</w:t>
      </w:r>
      <w:r>
        <w:t xml:space="preserve">. 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Forest structure has changed significantly post-Euro-American settlement due to grazing, logging, wildfire exclusion and other factors</w:t>
      </w:r>
      <w:r>
        <w:t xml:space="preserve"> </w:t>
      </w:r>
      <w:r>
        <w:t xml:space="preserve">(Covington and Moore 1994)</w:t>
      </w:r>
      <w:r>
        <w:t xml:space="preserve">. As a result, many forests in Arizona are overstocked relative to pre-settlement conditions, increasing the risk of catastrophic wildfire</w:t>
      </w:r>
      <w:r>
        <w:t xml:space="preserve"> </w:t>
      </w:r>
      <w:r>
        <w:t xml:space="preserve">(Allen et al. 2002)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w:t>
      </w:r>
      <w:r>
        <w:t xml:space="preserve"> </w:t>
      </w:r>
      <w:r>
        <w:t xml:space="preserve">(Allen et al. 2002)</w:t>
      </w:r>
      <w:r>
        <w:t xml:space="preserve">.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For example, forest thinning in Arizona has been associated with increased snow cover days</w:t>
      </w:r>
      <w:r>
        <w:t xml:space="preserve"> </w:t>
      </w:r>
      <w:r>
        <w:t xml:space="preserve">(Sankey et al. 2015; Belmonte et al. 2021; Donager et al. 2021)</w:t>
      </w:r>
      <w:r>
        <w:t xml:space="preserve">, greater soil moisture</w:t>
      </w:r>
      <w:r>
        <w:t xml:space="preserve"> </w:t>
      </w:r>
      <w:r>
        <w:t xml:space="preserve">(Belmonte et al. 2022; Sankey and Tatum 2022)</w:t>
      </w:r>
      <w:r>
        <w:t xml:space="preserve">, and greater forest canopy moisture</w:t>
      </w:r>
      <w:r>
        <w:t xml:space="preserve"> </w:t>
      </w:r>
      <w:r>
        <w:t xml:space="preserve">(Sankey et al. 2021)</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Xe4312e1a44ec9ee59777bd743d6831cab3f4ef9"/>
    <w:p>
      <w:pPr>
        <w:pStyle w:val="Heading3"/>
      </w:pPr>
      <w:r>
        <w:t xml:space="preserve">1.1 Regional Hydrologic Responses to Treatment</w:t>
      </w:r>
    </w:p>
    <w:p>
      <w:pPr>
        <w:pStyle w:val="FirstParagraph"/>
      </w:pPr>
      <w:r>
        <w:t xml:space="preserve">Several regional studies link forest treatment to changes in stand-level ecohydrology including increased tree growth in Ponderosa Pines (</w:t>
      </w:r>
      <w:r>
        <w:rPr>
          <w:b/>
          <w:bCs/>
        </w:rPr>
        <w:t xml:space="preserve">Rodman et al., 2024</w:t>
      </w:r>
      <w:r>
        <w:t xml:space="preserve">), greater soil moisture and total ecosystem moisture [], increased drought resilience [], Increased snow retention, greater streamflow [], water table rise and increased spring flow []</w:t>
      </w:r>
    </w:p>
    <w:bookmarkStart w:id="21" w:name="water-yieldrunoff"/>
    <w:p>
      <w:pPr>
        <w:pStyle w:val="Heading4"/>
      </w:pPr>
      <w:r>
        <w:t xml:space="preserve">1.1.1 Water Yield/Runoff</w:t>
      </w:r>
    </w:p>
    <w:p>
      <w:pPr>
        <w:pStyle w:val="FirstParagraph"/>
      </w:pPr>
      <w:r>
        <w:t xml:space="preserve">Several regional studies link forest treatment to increased streamflow</w:t>
      </w:r>
      <w:r>
        <w:t xml:space="preserve"> </w:t>
      </w:r>
      <w:r>
        <w:t xml:space="preserve">(Dwivedi et al. 2024; Biederman et al. 2022; Broxton et al. 2023)</w:t>
      </w:r>
      <w:r>
        <w:t xml:space="preserve">. However, there appears to be a threshold response, with water yield increasing only in treated forests receiving over 500mm of annual precipitation or snow-dominated forests</w:t>
      </w:r>
      <w:r>
        <w:t xml:space="preserve"> </w:t>
      </w:r>
      <w:r>
        <w:t xml:space="preserve">(Biederman et al. 2022; Carroll et al. 2016; Adams et al. 2012; Zou, Ffolliott, and Wine 2010)</w:t>
      </w:r>
      <w:r>
        <w:t xml:space="preserve">.</w:t>
      </w:r>
    </w:p>
    <w:bookmarkEnd w:id="21"/>
    <w:bookmarkStart w:id="22"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End w:id="23"/>
    <w:bookmarkStart w:id="26"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4"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4"/>
    <w:bookmarkStart w:id="25"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p>
      <w:pPr>
        <w:numPr>
          <w:ilvl w:val="0"/>
          <w:numId w:val="1003"/>
        </w:numPr>
      </w:pPr>
      <w:r>
        <w:t xml:space="preserve">(Zhang, Dawes, and Walker 2001)</w:t>
      </w:r>
      <w:r>
        <w:t xml:space="preserve"> </w:t>
      </w:r>
      <w:r>
        <w:t xml:space="preserve">found evaluated 250 world-wide catchment studies and found that the differences in ET between forested and non-forested catchments diminishes in areas with annual rainfall less than 500 mm</w:t>
      </w:r>
    </w:p>
    <w:bookmarkEnd w:id="25"/>
    <w:bookmarkEnd w:id="26"/>
    <w:bookmarkStart w:id="28"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increasing ET</w:t>
      </w:r>
      <w:r>
        <w:t xml:space="preserve"> </w:t>
      </w:r>
      <w:hyperlink r:id="rId27">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8"/>
    <w:bookmarkEnd w:id="29"/>
    <w:bookmarkStart w:id="53" w:name="sec-data-methods"/>
    <w:p>
      <w:pPr>
        <w:pStyle w:val="Heading2"/>
      </w:pPr>
      <w:r>
        <w:t xml:space="preserve">2 Data &amp; Methods</w:t>
      </w:r>
    </w:p>
    <w:bookmarkStart w:id="52" w:name="weighted-suitability-workflow"/>
    <w:p>
      <w:pPr>
        <w:pStyle w:val="Heading3"/>
      </w:pPr>
      <w:r>
        <w:t xml:space="preserve">2.1 2.2 Weighted Suitability Workflow</w:t>
      </w:r>
    </w:p>
    <w:bookmarkStart w:id="51"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p>
      <w:pPr>
        <w:pStyle w:val="FirstParagraph"/>
      </w:pPr>
      <w:r>
        <w:rPr>
          <w:b/>
          <w:bCs/>
        </w:rPr>
        <w:t xml:space="preserve">The goal is to locate areas on the Mogollon Rim Ranger District in the Coconino National Forest where thinning may increase groundwater recharge based on modeling of criteria found in the literature quantifying the impact of thinning on water yield in Regional studies of Semi-arid forests.</w:t>
      </w:r>
    </w:p>
    <w:bookmarkStart w:id="50"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odyText"/>
      </w:pPr>
      <w:r>
        <w:t xml:space="preserve">Aspect has a large impact on solar radiation.</w:t>
      </w:r>
    </w:p>
    <w:p>
      <w:pPr>
        <w:pStyle w:val="BlockText"/>
      </w:pPr>
      <w:r>
        <w:t xml:space="preserve">Closer to 0 or 360 is desired, low suitability scores for closeness</w:t>
      </w:r>
    </w:p>
    <w:p>
      <w:pPr>
        <w:pStyle w:val="FirstParagraph"/>
      </w:pPr>
      <w:r>
        <w:drawing>
          <wp:inline>
            <wp:extent cx="5334000" cy="2076595"/>
            <wp:effectExtent b="0" l="0" r="0" t="0"/>
            <wp:docPr descr="" title="" id="31" name="Picture"/>
            <a:graphic>
              <a:graphicData uri="http://schemas.openxmlformats.org/drawingml/2006/picture">
                <pic:pic>
                  <pic:nvPicPr>
                    <pic:cNvPr descr="images/Aspect_suitability.PNG" id="32" name="Picture"/>
                    <pic:cNvPicPr>
                      <a:picLocks noChangeArrowheads="1" noChangeAspect="1"/>
                    </pic:cNvPicPr>
                  </pic:nvPicPr>
                  <pic:blipFill>
                    <a:blip r:embed="rId30"/>
                    <a:stretch>
                      <a:fillRect/>
                    </a:stretch>
                  </pic:blipFill>
                  <pic:spPr bwMode="auto">
                    <a:xfrm>
                      <a:off x="0" y="0"/>
                      <a:ext cx="5334000" cy="2076595"/>
                    </a:xfrm>
                    <a:prstGeom prst="rect">
                      <a:avLst/>
                    </a:prstGeom>
                    <a:noFill/>
                    <a:ln w="9525">
                      <a:noFill/>
                      <a:headEnd/>
                      <a:tailEnd/>
                    </a:ln>
                  </pic:spPr>
                </pic:pic>
              </a:graphicData>
            </a:graphic>
          </wp:inline>
        </w:drawing>
      </w:r>
      <w:r>
        <w:t xml:space="preserve"> </w:t>
      </w:r>
      <w:r>
        <w:rPr>
          <w:b/>
          <w:bCs/>
        </w:rPr>
        <w:t xml:space="preserve">Slope</w:t>
      </w:r>
    </w:p>
    <w:p>
      <w:pPr>
        <w:pStyle w:val="BodyText"/>
      </w:pPr>
      <w:r>
        <w:t xml:space="preserve">Higher slopes are less suitable because thinning is both more expensive and more precipitation will end up as runoff.</w:t>
      </w:r>
    </w:p>
    <w:p>
      <w:pPr>
        <w:pStyle w:val="BlockText"/>
      </w:pPr>
      <w:r>
        <w:t xml:space="preserve">Lower slopes have higher suitability scores</w:t>
      </w:r>
    </w:p>
    <w:p>
      <w:pPr>
        <w:pStyle w:val="FirstParagraph"/>
      </w:pPr>
      <w:r>
        <w:drawing>
          <wp:inline>
            <wp:extent cx="5334000" cy="2108078"/>
            <wp:effectExtent b="0" l="0" r="0" t="0"/>
            <wp:docPr descr="" title="" id="34" name="Picture"/>
            <a:graphic>
              <a:graphicData uri="http://schemas.openxmlformats.org/drawingml/2006/picture">
                <pic:pic>
                  <pic:nvPicPr>
                    <pic:cNvPr descr="images/Slope_suitability.PNG" id="35" name="Picture"/>
                    <pic:cNvPicPr>
                      <a:picLocks noChangeArrowheads="1" noChangeAspect="1"/>
                    </pic:cNvPicPr>
                  </pic:nvPicPr>
                  <pic:blipFill>
                    <a:blip r:embed="rId33"/>
                    <a:stretch>
                      <a:fillRect/>
                    </a:stretch>
                  </pic:blipFill>
                  <pic:spPr bwMode="auto">
                    <a:xfrm>
                      <a:off x="0" y="0"/>
                      <a:ext cx="5334000" cy="2108078"/>
                    </a:xfrm>
                    <a:prstGeom prst="rect">
                      <a:avLst/>
                    </a:prstGeom>
                    <a:noFill/>
                    <a:ln w="9525">
                      <a:noFill/>
                      <a:headEnd/>
                      <a:tailEnd/>
                    </a:ln>
                  </pic:spPr>
                </pic:pic>
              </a:graphicData>
            </a:graphic>
          </wp:inline>
        </w:drawing>
      </w:r>
      <w:r>
        <w:t xml:space="preserve"> </w:t>
      </w:r>
      <w:r>
        <w:rPr>
          <w:b/>
          <w:bCs/>
        </w:rPr>
        <w:t xml:space="preserve">Precipitation</w:t>
      </w:r>
    </w:p>
    <w:p>
      <w:pPr>
        <w:pStyle w:val="BlockText"/>
      </w:pPr>
      <w:r>
        <w:t xml:space="preserve">Mean annual precipitation must be higher than 500mm 1990 - 2020</w:t>
      </w:r>
      <w:r>
        <w:t xml:space="preserve"> </w:t>
      </w:r>
      <w:r>
        <w:t xml:space="preserve">Max precipitation must be higher than 500mm annually from 1990 - 2020</w:t>
      </w:r>
    </w:p>
    <w:p>
      <w:pPr>
        <w:pStyle w:val="FirstParagraph"/>
      </w:pPr>
      <w:r>
        <w:drawing>
          <wp:inline>
            <wp:extent cx="5334000" cy="2099879"/>
            <wp:effectExtent b="0" l="0" r="0" t="0"/>
            <wp:docPr descr="" title="" id="37" name="Picture"/>
            <a:graphic>
              <a:graphicData uri="http://schemas.openxmlformats.org/drawingml/2006/picture">
                <pic:pic>
                  <pic:nvPicPr>
                    <pic:cNvPr descr="images/Precipitation_suitability.PNG" id="38" name="Picture"/>
                    <pic:cNvPicPr>
                      <a:picLocks noChangeArrowheads="1" noChangeAspect="1"/>
                    </pic:cNvPicPr>
                  </pic:nvPicPr>
                  <pic:blipFill>
                    <a:blip r:embed="rId36"/>
                    <a:stretch>
                      <a:fillRect/>
                    </a:stretch>
                  </pic:blipFill>
                  <pic:spPr bwMode="auto">
                    <a:xfrm>
                      <a:off x="0" y="0"/>
                      <a:ext cx="5334000" cy="2099879"/>
                    </a:xfrm>
                    <a:prstGeom prst="rect">
                      <a:avLst/>
                    </a:prstGeom>
                    <a:noFill/>
                    <a:ln w="9525">
                      <a:noFill/>
                      <a:headEnd/>
                      <a:tailEnd/>
                    </a:ln>
                  </pic:spPr>
                </pic:pic>
              </a:graphicData>
            </a:graphic>
          </wp:inline>
        </w:drawing>
      </w:r>
    </w:p>
    <w:p>
      <w:pPr>
        <w:pStyle w:val="BodyText"/>
      </w:pPr>
      <w:r>
        <w:rPr>
          <w:b/>
          <w:bCs/>
        </w:rPr>
        <w:t xml:space="preserve">Vegetation Characteristics</w:t>
      </w:r>
    </w:p>
    <w:p>
      <w:pPr>
        <w:pStyle w:val="BodyText"/>
      </w:pPr>
      <w:r>
        <w:t xml:space="preserve">higher vegetation density, when thinned will yield more water, focus on areas of high vegetation density and high departure from historic conditions.</w:t>
      </w:r>
    </w:p>
    <w:p>
      <w:pPr>
        <w:pStyle w:val="BlockText"/>
      </w:pPr>
      <w:r>
        <w:rPr>
          <w:b/>
          <w:bCs/>
        </w:rPr>
        <w:t xml:space="preserve">NLCD 2021 Total Canopy Cover (% Cover)</w:t>
      </w:r>
    </w:p>
    <w:p>
      <w:pPr>
        <w:pStyle w:val="BlockText"/>
      </w:pPr>
      <w:r>
        <w:t xml:space="preserve">Canopy cover % below 30 were considered low suitability (1) while increases in canopy cover about 30% increase in suitability.</w:t>
      </w:r>
    </w:p>
    <w:p>
      <w:pPr>
        <w:pStyle w:val="FirstParagraph"/>
      </w:pPr>
      <w:r>
        <w:drawing>
          <wp:inline>
            <wp:extent cx="5334000" cy="2068076"/>
            <wp:effectExtent b="0" l="0" r="0" t="0"/>
            <wp:docPr descr="" title="" id="40" name="Picture"/>
            <a:graphic>
              <a:graphicData uri="http://schemas.openxmlformats.org/drawingml/2006/picture">
                <pic:pic>
                  <pic:nvPicPr>
                    <pic:cNvPr descr="images/CanopyCover_suitability.PNG" id="41" name="Picture"/>
                    <pic:cNvPicPr>
                      <a:picLocks noChangeArrowheads="1" noChangeAspect="1"/>
                    </pic:cNvPicPr>
                  </pic:nvPicPr>
                  <pic:blipFill>
                    <a:blip r:embed="rId39"/>
                    <a:stretch>
                      <a:fillRect/>
                    </a:stretch>
                  </pic:blipFill>
                  <pic:spPr bwMode="auto">
                    <a:xfrm>
                      <a:off x="0" y="0"/>
                      <a:ext cx="5334000" cy="2068076"/>
                    </a:xfrm>
                    <a:prstGeom prst="rect">
                      <a:avLst/>
                    </a:prstGeom>
                    <a:noFill/>
                    <a:ln w="9525">
                      <a:noFill/>
                      <a:headEnd/>
                      <a:tailEnd/>
                    </a:ln>
                  </pic:spPr>
                </pic:pic>
              </a:graphicData>
            </a:graphic>
          </wp:inline>
        </w:drawing>
      </w:r>
    </w:p>
    <w:p>
      <w:pPr>
        <w:pStyle w:val="BlockText"/>
      </w:pPr>
      <w:r>
        <w:rPr>
          <w:b/>
          <w:bCs/>
        </w:rPr>
        <w:t xml:space="preserve">Landfire 2022 Vegetation Condition Class</w:t>
      </w:r>
      <w:r>
        <w:t xml:space="preserve"> </w:t>
      </w:r>
      <w:r>
        <w:t xml:space="preserve">3rd update to the 2016 remap.</w:t>
      </w:r>
    </w:p>
    <w:p>
      <w:pPr>
        <w:pStyle w:val="FirstParagraph"/>
      </w:pPr>
      <w:r>
        <w:t xml:space="preserve">Variation from modeled historic conditions. Forests which have deviated significantly from their modeled historic conditions are more suitable for thinning than forests which have not deviated from their historic condition.</w:t>
      </w:r>
    </w:p>
    <w:p>
      <w:pPr>
        <w:pStyle w:val="BlockText"/>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42">
        <w:r>
          <w:rPr>
            <w:rStyle w:val="Hyperlink"/>
          </w:rPr>
          <w:t xml:space="preserve">info</w:t>
        </w:r>
      </w:hyperlink>
      <w:r>
        <w:t xml:space="preserve"> </w:t>
      </w:r>
      <w:hyperlink r:id="rId43">
        <w:r>
          <w:rPr>
            <w:rStyle w:val="Hyperlink"/>
          </w:rPr>
          <w:t xml:space="preserve">PDF</w:t>
        </w:r>
      </w:hyperlink>
    </w:p>
    <w:p>
      <w:pPr>
        <w:pStyle w:val="FirstParagraph"/>
      </w:pPr>
      <w:r>
        <w:drawing>
          <wp:inline>
            <wp:extent cx="5334000" cy="2090559"/>
            <wp:effectExtent b="0" l="0" r="0" t="0"/>
            <wp:docPr descr="" title="" id="45" name="Picture"/>
            <a:graphic>
              <a:graphicData uri="http://schemas.openxmlformats.org/drawingml/2006/picture">
                <pic:pic>
                  <pic:nvPicPr>
                    <pic:cNvPr descr="images/VCC_suitability.PNG" id="46" name="Picture"/>
                    <pic:cNvPicPr>
                      <a:picLocks noChangeArrowheads="1" noChangeAspect="1"/>
                    </pic:cNvPicPr>
                  </pic:nvPicPr>
                  <pic:blipFill>
                    <a:blip r:embed="rId44"/>
                    <a:stretch>
                      <a:fillRect/>
                    </a:stretch>
                  </pic:blipFill>
                  <pic:spPr bwMode="auto">
                    <a:xfrm>
                      <a:off x="0" y="0"/>
                      <a:ext cx="5334000" cy="2090559"/>
                    </a:xfrm>
                    <a:prstGeom prst="rect">
                      <a:avLst/>
                    </a:prstGeom>
                    <a:noFill/>
                    <a:ln w="9525">
                      <a:noFill/>
                      <a:headEnd/>
                      <a:tailEnd/>
                    </a:ln>
                  </pic:spPr>
                </pic:pic>
              </a:graphicData>
            </a:graphic>
          </wp:inline>
        </w:drawing>
      </w:r>
    </w:p>
    <w:p>
      <w:pPr>
        <w:pStyle w:val="BodyText"/>
      </w:pPr>
      <w:r>
        <w:rPr>
          <w:b/>
          <w:bCs/>
        </w:rPr>
        <w:t xml:space="preserve">Soil Hydrologic Conditions</w:t>
      </w:r>
    </w:p>
    <w:p>
      <w:pPr>
        <w:pStyle w:val="BodyText"/>
      </w:pPr>
      <w:r>
        <w:t xml:space="preserve">Soil types A,B,C,D are mapped for the USA, There are no A soil types in the study area, so they were given the following suitability values</w:t>
      </w:r>
    </w:p>
    <w:p>
      <w:pPr>
        <w:pStyle w:val="BodyText"/>
      </w:pPr>
      <w:r>
        <w:t xml:space="preserve">B = 10 out of 10</w:t>
      </w:r>
      <w:r>
        <w:t xml:space="preserve"> </w:t>
      </w:r>
      <w:r>
        <w:t xml:space="preserve">C = 8 out of 10</w:t>
      </w:r>
      <w:r>
        <w:t xml:space="preserve"> </w:t>
      </w:r>
      <w:r>
        <w:t xml:space="preserve">D = 3 out of 10</w:t>
      </w:r>
    </w:p>
    <w:p>
      <w:pPr>
        <w:pStyle w:val="BodyText"/>
      </w:pPr>
      <w:r>
        <w:drawing>
          <wp:inline>
            <wp:extent cx="5334000" cy="2064939"/>
            <wp:effectExtent b="0" l="0" r="0" t="0"/>
            <wp:docPr descr="" title="" id="48" name="Picture"/>
            <a:graphic>
              <a:graphicData uri="http://schemas.openxmlformats.org/drawingml/2006/picture">
                <pic:pic>
                  <pic:nvPicPr>
                    <pic:cNvPr descr="images/SoilHydrologicGroup_suitability.PNG" id="49" name="Picture"/>
                    <pic:cNvPicPr>
                      <a:picLocks noChangeArrowheads="1" noChangeAspect="1"/>
                    </pic:cNvPicPr>
                  </pic:nvPicPr>
                  <pic:blipFill>
                    <a:blip r:embed="rId47"/>
                    <a:stretch>
                      <a:fillRect/>
                    </a:stretch>
                  </pic:blipFill>
                  <pic:spPr bwMode="auto">
                    <a:xfrm>
                      <a:off x="0" y="0"/>
                      <a:ext cx="5334000" cy="2064939"/>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0"/>
    <w:bookmarkEnd w:id="51"/>
    <w:bookmarkEnd w:id="52"/>
    <w:bookmarkEnd w:id="53"/>
    <w:bookmarkStart w:id="59" w:name="preliminary-results"/>
    <w:p>
      <w:pPr>
        <w:pStyle w:val="Heading2"/>
      </w:pPr>
      <w:r>
        <w:t xml:space="preserve">3 Preliminary Results</w:t>
      </w:r>
    </w:p>
    <w:bookmarkStart w:id="54" w:name="weighting"/>
    <w:p>
      <w:pPr>
        <w:pStyle w:val="Heading3"/>
      </w:pPr>
      <w:r>
        <w:t xml:space="preserve">3.1 Weighting</w:t>
      </w:r>
    </w:p>
    <w:p>
      <w:pPr>
        <w:pStyle w:val="FirstParagraph"/>
      </w:pPr>
      <w:r>
        <w:t xml:space="preserve">Tree Canopy Cover = 20%</w:t>
      </w:r>
      <w:r>
        <w:t xml:space="preserve"> </w:t>
      </w:r>
      <w:r>
        <w:t xml:space="preserve">Vegetation Condition Class = 20%</w:t>
      </w:r>
      <w:r>
        <w:t xml:space="preserve"> </w:t>
      </w:r>
      <w:r>
        <w:t xml:space="preserve">Slope = 20%</w:t>
      </w:r>
      <w:r>
        <w:t xml:space="preserve"> </w:t>
      </w:r>
      <w:r>
        <w:t xml:space="preserve">Aspect = 20%</w:t>
      </w:r>
      <w:r>
        <w:t xml:space="preserve"> </w:t>
      </w:r>
      <w:r>
        <w:t xml:space="preserve">Max Precipitation = 15%</w:t>
      </w:r>
      <w:r>
        <w:t xml:space="preserve"> </w:t>
      </w:r>
      <w:r>
        <w:t xml:space="preserve">Soil Hydrologic Group = 5%</w:t>
      </w:r>
    </w:p>
    <w:bookmarkEnd w:id="54"/>
    <w:bookmarkStart w:id="58" w:name="overall-suitability"/>
    <w:p>
      <w:pPr>
        <w:pStyle w:val="Heading3"/>
      </w:pPr>
      <w:r>
        <w:t xml:space="preserve">3.2 Overall Suitability</w:t>
      </w:r>
    </w:p>
    <w:p>
      <w:pPr>
        <w:pStyle w:val="FirstParagraph"/>
      </w:pPr>
      <w:r>
        <w:drawing>
          <wp:inline>
            <wp:extent cx="5334000" cy="5284935"/>
            <wp:effectExtent b="0" l="0" r="0" t="0"/>
            <wp:docPr descr="" title="" id="56" name="Picture"/>
            <a:graphic>
              <a:graphicData uri="http://schemas.openxmlformats.org/drawingml/2006/picture">
                <pic:pic>
                  <pic:nvPicPr>
                    <pic:cNvPr descr="images/PreliminarySuitabilityMap.PNG" id="57" name="Picture"/>
                    <pic:cNvPicPr>
                      <a:picLocks noChangeArrowheads="1" noChangeAspect="1"/>
                    </pic:cNvPicPr>
                  </pic:nvPicPr>
                  <pic:blipFill>
                    <a:blip r:embed="rId55"/>
                    <a:stretch>
                      <a:fillRect/>
                    </a:stretch>
                  </pic:blipFill>
                  <pic:spPr bwMode="auto">
                    <a:xfrm>
                      <a:off x="0" y="0"/>
                      <a:ext cx="5334000" cy="5284935"/>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Start w:id="63" w:name="questions-for-the-team"/>
    <w:p>
      <w:pPr>
        <w:pStyle w:val="Heading2"/>
      </w:pPr>
      <w:r>
        <w:t xml:space="preserve">4 Questions for the team</w:t>
      </w:r>
    </w:p>
    <w:bookmarkStart w:id="61" w:name="Xe5dbe926b91da1bdce1c6c5b3cffe8d691ed223"/>
    <w:p>
      <w:pPr>
        <w:pStyle w:val="Heading3"/>
      </w:pPr>
      <w:r>
        <w:t xml:space="preserve">4.1 1. Can modeling using Snowpalm, the National Water Model, or SWAT either validate this, or be used to improve the suitability transformations and weighting?</w:t>
      </w:r>
    </w:p>
    <w:bookmarkStart w:id="60" w:name="X192157f044a9cf278f7f9147056a04b525932ec"/>
    <w:p>
      <w:pPr>
        <w:pStyle w:val="Heading4"/>
      </w:pPr>
      <w:r>
        <w:t xml:space="preserve">4.1.1 1.1 What LULC variables do the various models take in? Is Canopy Cover or VCC represented in those models? If so, could we adjust them to simulate thinning and re-run the models to see what happens?</w:t>
      </w:r>
    </w:p>
    <w:bookmarkEnd w:id="60"/>
    <w:bookmarkEnd w:id="61"/>
    <w:bookmarkStart w:id="62" w:name="X8de3c1c5679e38740ece7e0af49a57845114c54"/>
    <w:p>
      <w:pPr>
        <w:pStyle w:val="Heading3"/>
      </w:pPr>
      <w:r>
        <w:t xml:space="preserve">4.2 2. Am I using the right data? Is there better datasets available?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2"/>
    <w:bookmarkEnd w:id="63"/>
    <w:bookmarkStart w:id="64" w:name="conclusion"/>
    <w:p>
      <w:pPr>
        <w:pStyle w:val="Heading2"/>
      </w:pPr>
      <w:r>
        <w:t xml:space="preserve">5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4"/>
    <w:bookmarkStart w:id="15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56" w:name="refs"/>
    <w:bookmarkStart w:id="66"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65">
        <w:r>
          <w:rPr>
            <w:rStyle w:val="Hyperlink"/>
          </w:rPr>
          <w:t xml:space="preserve">https://doi.org/10.1002/eco.233</w:t>
        </w:r>
      </w:hyperlink>
      <w:r>
        <w:t xml:space="preserve">.</w:t>
      </w:r>
    </w:p>
    <w:bookmarkEnd w:id="66"/>
    <w:bookmarkStart w:id="68"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67">
        <w:r>
          <w:rPr>
            <w:rStyle w:val="Hyperlink"/>
          </w:rPr>
          <w:t xml:space="preserve">https://doi.org/10.1890/1051-0761(2002)012[1418:EROSPP]2.0.CO;2</w:t>
        </w:r>
      </w:hyperlink>
      <w:r>
        <w:t xml:space="preserve">.</w:t>
      </w:r>
    </w:p>
    <w:bookmarkEnd w:id="68"/>
    <w:bookmarkStart w:id="70"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69">
        <w:r>
          <w:rPr>
            <w:rStyle w:val="Hyperlink"/>
          </w:rPr>
          <w:t xml:space="preserve">https://doi.org/10.1029/WR022i001p00067</w:t>
        </w:r>
      </w:hyperlink>
      <w:r>
        <w:t xml:space="preserve">.</w:t>
      </w:r>
    </w:p>
    <w:bookmarkEnd w:id="70"/>
    <w:bookmarkStart w:id="72"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71">
        <w:r>
          <w:rPr>
            <w:rStyle w:val="Hyperlink"/>
          </w:rPr>
          <w:t xml:space="preserve">https://doi.org/10.3390/rs13051036</w:t>
        </w:r>
      </w:hyperlink>
      <w:r>
        <w:t xml:space="preserve">.</w:t>
      </w:r>
    </w:p>
    <w:bookmarkEnd w:id="72"/>
    <w:bookmarkStart w:id="74"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73">
        <w:r>
          <w:rPr>
            <w:rStyle w:val="Hyperlink"/>
          </w:rPr>
          <w:t xml:space="preserve">https://doi.org/10.1002/eco.2406</w:t>
        </w:r>
      </w:hyperlink>
      <w:r>
        <w:t xml:space="preserve">.</w:t>
      </w:r>
    </w:p>
    <w:bookmarkEnd w:id="74"/>
    <w:bookmarkStart w:id="76"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75">
        <w:r>
          <w:rPr>
            <w:rStyle w:val="Hyperlink"/>
          </w:rPr>
          <w:t xml:space="preserve">https://doi.org/10.3390/w13070978</w:t>
        </w:r>
      </w:hyperlink>
      <w:r>
        <w:t xml:space="preserve">.</w:t>
      </w:r>
    </w:p>
    <w:bookmarkEnd w:id="76"/>
    <w:bookmarkStart w:id="78"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77">
        <w:r>
          <w:rPr>
            <w:rStyle w:val="Hyperlink"/>
          </w:rPr>
          <w:t xml:space="preserve">https://doi.org/10.1088/1748-9326/aa6f94</w:t>
        </w:r>
      </w:hyperlink>
      <w:r>
        <w:t xml:space="preserve">.</w:t>
      </w:r>
    </w:p>
    <w:bookmarkEnd w:id="78"/>
    <w:bookmarkStart w:id="80"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79">
        <w:r>
          <w:rPr>
            <w:rStyle w:val="Hyperlink"/>
          </w:rPr>
          <w:t xml:space="preserve">https://doi.org/10.1029/2021WR030687</w:t>
        </w:r>
      </w:hyperlink>
      <w:r>
        <w:t xml:space="preserve">.</w:t>
      </w:r>
    </w:p>
    <w:bookmarkEnd w:id="80"/>
    <w:bookmarkStart w:id="82"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81">
        <w:r>
          <w:rPr>
            <w:rStyle w:val="Hyperlink"/>
          </w:rPr>
          <w:t xml:space="preserve">https://doi.org/10.1002/2015WR017401</w:t>
        </w:r>
      </w:hyperlink>
      <w:r>
        <w:t xml:space="preserve">.</w:t>
      </w:r>
    </w:p>
    <w:bookmarkEnd w:id="82"/>
    <w:bookmarkStart w:id="84"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83">
        <w:r>
          <w:rPr>
            <w:rStyle w:val="Hyperlink"/>
          </w:rPr>
          <w:t xml:space="preserve">https://doi.org/10.1016/0022-1694(82)90117-2</w:t>
        </w:r>
      </w:hyperlink>
      <w:r>
        <w:t xml:space="preserve">.</w:t>
      </w:r>
    </w:p>
    <w:bookmarkEnd w:id="84"/>
    <w:bookmarkStart w:id="86"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85">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86"/>
    <w:bookmarkStart w:id="88"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87">
        <w:r>
          <w:rPr>
            <w:rStyle w:val="Hyperlink"/>
          </w:rPr>
          <w:t xml:space="preserve">https://doi.org/10.1111/1752-1688.13147</w:t>
        </w:r>
      </w:hyperlink>
      <w:r>
        <w:t xml:space="preserve">.</w:t>
      </w:r>
    </w:p>
    <w:bookmarkEnd w:id="88"/>
    <w:bookmarkStart w:id="90"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89">
        <w:r>
          <w:rPr>
            <w:rStyle w:val="Hyperlink"/>
          </w:rPr>
          <w:t xml:space="preserve">https://doi.org/10.1002/eco.1792</w:t>
        </w:r>
      </w:hyperlink>
      <w:r>
        <w:t xml:space="preserve">.</w:t>
      </w:r>
    </w:p>
    <w:bookmarkEnd w:id="90"/>
    <w:bookmarkStart w:id="91"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91"/>
    <w:bookmarkStart w:id="93"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92">
        <w:r>
          <w:rPr>
            <w:rStyle w:val="Hyperlink"/>
          </w:rPr>
          <w:t xml:space="preserve">https://doi.org/10.1073/pnas.1815107116</w:t>
        </w:r>
      </w:hyperlink>
      <w:r>
        <w:t xml:space="preserve">.</w:t>
      </w:r>
    </w:p>
    <w:bookmarkEnd w:id="93"/>
    <w:bookmarkStart w:id="95"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94">
        <w:r>
          <w:rPr>
            <w:rStyle w:val="Hyperlink"/>
          </w:rPr>
          <w:t xml:space="preserve">https://doi.org/10.1016/j.foreco.2019.02.020</w:t>
        </w:r>
      </w:hyperlink>
      <w:r>
        <w:t xml:space="preserve">.</w:t>
      </w:r>
    </w:p>
    <w:bookmarkEnd w:id="95"/>
    <w:bookmarkStart w:id="97"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96">
        <w:r>
          <w:rPr>
            <w:rStyle w:val="Hyperlink"/>
          </w:rPr>
          <w:t xml:space="preserve">https://doi.org/10.1016/j.foreco.2022.120324</w:t>
        </w:r>
      </w:hyperlink>
      <w:r>
        <w:t xml:space="preserve">.</w:t>
      </w:r>
    </w:p>
    <w:bookmarkEnd w:id="97"/>
    <w:bookmarkStart w:id="99"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98">
        <w:r>
          <w:rPr>
            <w:rStyle w:val="Hyperlink"/>
          </w:rPr>
          <w:t xml:space="preserve">https://doi.org/10.1016/j.srs.2021.100029</w:t>
        </w:r>
      </w:hyperlink>
      <w:r>
        <w:t xml:space="preserve">.</w:t>
      </w:r>
    </w:p>
    <w:bookmarkEnd w:id="99"/>
    <w:bookmarkStart w:id="101" w:name="ref-dore_recovery_2012"/>
    <w:p>
      <w:pPr>
        <w:pStyle w:val="Bibliography"/>
      </w:pPr>
      <w:r>
        <w:t xml:space="preserve">Dore, Sabina, Mario Montes‐Helu, Stephen C. Hart, Bruce A. Hungate, George W. Koch, John B. Moon, Alex J. Finkral, and Thomas E. Kolb. 2012.</w:t>
      </w:r>
      <w:r>
        <w:t xml:space="preserve"> </w:t>
      </w:r>
      <w:r>
        <w:t xml:space="preserve">“Recovery of Ponderosa Pine Ecosystem Carbon and Water Fluxes from Thinning and Stand‐replacing Fire.”</w:t>
      </w:r>
      <w:r>
        <w:t xml:space="preserve"> </w:t>
      </w:r>
      <w:r>
        <w:rPr>
          <w:i/>
          <w:iCs/>
        </w:rPr>
        <w:t xml:space="preserve">Global Change Biology</w:t>
      </w:r>
      <w:r>
        <w:t xml:space="preserve"> </w:t>
      </w:r>
      <w:r>
        <w:t xml:space="preserve">18 (10): 3171–85.</w:t>
      </w:r>
      <w:r>
        <w:t xml:space="preserve"> </w:t>
      </w:r>
      <w:hyperlink r:id="rId100">
        <w:r>
          <w:rPr>
            <w:rStyle w:val="Hyperlink"/>
          </w:rPr>
          <w:t xml:space="preserve">https://doi.org/10.1111/j.1365-2486.2012.02775.x</w:t>
        </w:r>
      </w:hyperlink>
      <w:r>
        <w:t xml:space="preserve">.</w:t>
      </w:r>
    </w:p>
    <w:bookmarkEnd w:id="101"/>
    <w:bookmarkStart w:id="103"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102">
        <w:r>
          <w:rPr>
            <w:rStyle w:val="Hyperlink"/>
          </w:rPr>
          <w:t xml:space="preserve">https://doi.org/10.3389/frwa.2024.1374961</w:t>
        </w:r>
      </w:hyperlink>
      <w:r>
        <w:t xml:space="preserve">.</w:t>
      </w:r>
    </w:p>
    <w:bookmarkEnd w:id="103"/>
    <w:bookmarkStart w:id="105"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104">
        <w:r>
          <w:rPr>
            <w:rStyle w:val="Hyperlink"/>
          </w:rPr>
          <w:t xml:space="preserve">https://doi.org/10.1093/jofore/fvz069</w:t>
        </w:r>
      </w:hyperlink>
      <w:r>
        <w:t xml:space="preserve">.</w:t>
      </w:r>
    </w:p>
    <w:bookmarkEnd w:id="105"/>
    <w:bookmarkStart w:id="107"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106">
        <w:r>
          <w:rPr>
            <w:rStyle w:val="Hyperlink"/>
          </w:rPr>
          <w:t xml:space="preserve">https://onlinelibrary.wiley.com/doi/abs/10.1111/j.1752-1688.1991.tb01454.x</w:t>
        </w:r>
      </w:hyperlink>
      <w:r>
        <w:t xml:space="preserve">.</w:t>
      </w:r>
    </w:p>
    <w:bookmarkEnd w:id="107"/>
    <w:bookmarkStart w:id="109" w:name="ref-ha_evapotranspiration_2015"/>
    <w:p>
      <w:pPr>
        <w:pStyle w:val="Bibliography"/>
      </w:pPr>
      <w:r>
        <w:t xml:space="preserve">Ha, Wonsook, Thomas E. Kolb, Abraham E. Springer, Sabina Dore, Frances C. O’Donnell, Rodolfo Martinez Morales, Sharon Masek Lopez, and George W. Koch. 2015.</w:t>
      </w:r>
      <w:r>
        <w:t xml:space="preserve"> </w:t>
      </w:r>
      <w:r>
        <w:t xml:space="preserve">“Evapotranspiration Comparisons Between Eddy Covariance Measurements and Meteorological and Remote‐sensing‐based Models in Disturbed Ponderosa Pine Forests.”</w:t>
      </w:r>
      <w:r>
        <w:t xml:space="preserve"> </w:t>
      </w:r>
      <w:r>
        <w:rPr>
          <w:i/>
          <w:iCs/>
        </w:rPr>
        <w:t xml:space="preserve">Ecohydrology</w:t>
      </w:r>
      <w:r>
        <w:t xml:space="preserve"> </w:t>
      </w:r>
      <w:r>
        <w:t xml:space="preserve">8 (7): 1335–50.</w:t>
      </w:r>
      <w:r>
        <w:t xml:space="preserve"> </w:t>
      </w:r>
      <w:hyperlink r:id="rId108">
        <w:r>
          <w:rPr>
            <w:rStyle w:val="Hyperlink"/>
          </w:rPr>
          <w:t xml:space="preserve">https://doi.org/10.1002/eco.1586</w:t>
        </w:r>
      </w:hyperlink>
      <w:r>
        <w:t xml:space="preserve">.</w:t>
      </w:r>
    </w:p>
    <w:bookmarkEnd w:id="109"/>
    <w:bookmarkStart w:id="111"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110">
        <w:r>
          <w:rPr>
            <w:rStyle w:val="Hyperlink"/>
          </w:rPr>
          <w:t xml:space="preserve">https://doi.org/10.1029/2024GL109826</w:t>
        </w:r>
      </w:hyperlink>
      <w:r>
        <w:t xml:space="preserve">.</w:t>
      </w:r>
    </w:p>
    <w:bookmarkEnd w:id="111"/>
    <w:bookmarkStart w:id="113"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112">
        <w:r>
          <w:rPr>
            <w:rStyle w:val="Hyperlink"/>
          </w:rPr>
          <w:t xml:space="preserve">https://doi.org/10.1002/eco.2580</w:t>
        </w:r>
      </w:hyperlink>
      <w:r>
        <w:t xml:space="preserve">.</w:t>
      </w:r>
    </w:p>
    <w:bookmarkEnd w:id="113"/>
    <w:bookmarkStart w:id="115"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114">
        <w:r>
          <w:rPr>
            <w:rStyle w:val="Hyperlink"/>
          </w:rPr>
          <w:t xml:space="preserve">https://doi.org/10.1175/BAMS-D-23-0191.1</w:t>
        </w:r>
      </w:hyperlink>
      <w:r>
        <w:t xml:space="preserve">.</w:t>
      </w:r>
    </w:p>
    <w:bookmarkEnd w:id="115"/>
    <w:bookmarkStart w:id="117"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116">
        <w:r>
          <w:rPr>
            <w:rStyle w:val="Hyperlink"/>
          </w:rPr>
          <w:t xml:space="preserve">https://doi.org/10.1111/1752-1688.12989</w:t>
        </w:r>
      </w:hyperlink>
      <w:r>
        <w:t xml:space="preserve">.</w:t>
      </w:r>
    </w:p>
    <w:bookmarkEnd w:id="117"/>
    <w:bookmarkStart w:id="119"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118">
        <w:r>
          <w:rPr>
            <w:rStyle w:val="Hyperlink"/>
          </w:rPr>
          <w:t xml:space="preserve">https://doi.org/10.1111/j.1752-1688.2005.tb04463.x</w:t>
        </w:r>
      </w:hyperlink>
      <w:r>
        <w:t xml:space="preserve">.</w:t>
      </w:r>
    </w:p>
    <w:bookmarkEnd w:id="119"/>
    <w:bookmarkStart w:id="121"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120">
        <w:r>
          <w:rPr>
            <w:rStyle w:val="Hyperlink"/>
          </w:rPr>
          <w:t xml:space="preserve">https://doi.org/10.5194/hessd-12-10827-2015</w:t>
        </w:r>
      </w:hyperlink>
      <w:r>
        <w:t xml:space="preserve">.</w:t>
      </w:r>
    </w:p>
    <w:bookmarkEnd w:id="121"/>
    <w:bookmarkStart w:id="123"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122">
        <w:r>
          <w:rPr>
            <w:rStyle w:val="Hyperlink"/>
          </w:rPr>
          <w:t xml:space="preserve">https://doi.org/10.1002/hyp.14432</w:t>
        </w:r>
      </w:hyperlink>
      <w:r>
        <w:t xml:space="preserve">.</w:t>
      </w:r>
    </w:p>
    <w:bookmarkEnd w:id="123"/>
    <w:bookmarkStart w:id="125"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24">
        <w:r>
          <w:rPr>
            <w:rStyle w:val="Hyperlink"/>
          </w:rPr>
          <w:t xml:space="preserve">https://doi.org/10.1002/eap.1746</w:t>
        </w:r>
      </w:hyperlink>
      <w:r>
        <w:t xml:space="preserve">.</w:t>
      </w:r>
    </w:p>
    <w:bookmarkEnd w:id="125"/>
    <w:bookmarkStart w:id="127"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26">
        <w:r>
          <w:rPr>
            <w:rStyle w:val="Hyperlink"/>
          </w:rPr>
          <w:t xml:space="preserve">https://doi.org/10.1002/rse2.186</w:t>
        </w:r>
      </w:hyperlink>
      <w:r>
        <w:t xml:space="preserve">.</w:t>
      </w:r>
    </w:p>
    <w:bookmarkEnd w:id="127"/>
    <w:bookmarkStart w:id="129" w:name="ref-sankey_multi-scale_2015"/>
    <w:p>
      <w:pPr>
        <w:pStyle w:val="Bibliography"/>
      </w:pPr>
      <w:r>
        <w:t xml:space="preserve">Sankey, Temuulen, Jonathon Donald, Jason McVay, Mariah Ashley, Frances O’Donnell, Sharon Masek Lopez, and Abraham Springer. 2015.</w:t>
      </w:r>
      <w:r>
        <w:t xml:space="preserve"> </w:t>
      </w:r>
      <w:r>
        <w:t xml:space="preserve">“Multi-Scale Analysis of Snow Dynamics at the Southern Margin of the</w:t>
      </w:r>
      <w:r>
        <w:t xml:space="preserve"> </w:t>
      </w:r>
      <w:r>
        <w:t xml:space="preserve">North</w:t>
      </w:r>
      <w:r>
        <w:t xml:space="preserve"> </w:t>
      </w:r>
      <w:r>
        <w:t xml:space="preserve">American</w:t>
      </w:r>
      <w:r>
        <w:t xml:space="preserve"> </w:t>
      </w:r>
      <w:r>
        <w:t xml:space="preserve">Continental Snow Distribution.”</w:t>
      </w:r>
      <w:r>
        <w:t xml:space="preserve"> </w:t>
      </w:r>
      <w:r>
        <w:rPr>
          <w:i/>
          <w:iCs/>
        </w:rPr>
        <w:t xml:space="preserve">Remote Sensing of Environment</w:t>
      </w:r>
      <w:r>
        <w:t xml:space="preserve"> </w:t>
      </w:r>
      <w:r>
        <w:t xml:space="preserve">169 (November): 307–19.</w:t>
      </w:r>
      <w:r>
        <w:t xml:space="preserve"> </w:t>
      </w:r>
      <w:hyperlink r:id="rId128">
        <w:r>
          <w:rPr>
            <w:rStyle w:val="Hyperlink"/>
          </w:rPr>
          <w:t xml:space="preserve">https://doi.org/10.1016/j.rse.2015.08.028</w:t>
        </w:r>
      </w:hyperlink>
      <w:r>
        <w:t xml:space="preserve">.</w:t>
      </w:r>
    </w:p>
    <w:bookmarkEnd w:id="129"/>
    <w:bookmarkStart w:id="131"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30">
        <w:r>
          <w:rPr>
            <w:rStyle w:val="Hyperlink"/>
          </w:rPr>
          <w:t xml:space="preserve">https://doi.org/10.1038/s41598-022-12982-z</w:t>
        </w:r>
      </w:hyperlink>
      <w:r>
        <w:t xml:space="preserve">.</w:t>
      </w:r>
    </w:p>
    <w:bookmarkEnd w:id="131"/>
    <w:bookmarkStart w:id="133"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32">
        <w:r>
          <w:rPr>
            <w:rStyle w:val="Hyperlink"/>
          </w:rPr>
          <w:t xml:space="preserve">https://doi.org/10.1016/j.ecoleng.2019.105701</w:t>
        </w:r>
      </w:hyperlink>
      <w:r>
        <w:t xml:space="preserve">.</w:t>
      </w:r>
    </w:p>
    <w:bookmarkEnd w:id="133"/>
    <w:bookmarkStart w:id="135"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34">
        <w:r>
          <w:rPr>
            <w:rStyle w:val="Hyperlink"/>
          </w:rPr>
          <w:t xml:space="preserve">https://doi.org/10.5849/jof.11-082</w:t>
        </w:r>
      </w:hyperlink>
      <w:r>
        <w:t xml:space="preserve">.</w:t>
      </w:r>
    </w:p>
    <w:bookmarkEnd w:id="135"/>
    <w:bookmarkStart w:id="137"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36">
        <w:r>
          <w:rPr>
            <w:rStyle w:val="Hyperlink"/>
          </w:rPr>
          <w:t xml:space="preserve">https://doi.org/10.1371/journal.pone.0121596</w:t>
        </w:r>
      </w:hyperlink>
      <w:r>
        <w:t xml:space="preserve">.</w:t>
      </w:r>
    </w:p>
    <w:bookmarkEnd w:id="137"/>
    <w:bookmarkStart w:id="139"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38">
        <w:r>
          <w:rPr>
            <w:rStyle w:val="Hyperlink"/>
          </w:rPr>
          <w:t xml:space="preserve">https://doi.org/10.22230/jem.2009v10n1a409</w:t>
        </w:r>
      </w:hyperlink>
      <w:r>
        <w:t xml:space="preserve">.</w:t>
      </w:r>
    </w:p>
    <w:bookmarkEnd w:id="139"/>
    <w:bookmarkStart w:id="141"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40">
        <w:r>
          <w:rPr>
            <w:rStyle w:val="Hyperlink"/>
          </w:rPr>
          <w:t xml:space="preserve">https://doi.org/10.1111/1752-1688.13234</w:t>
        </w:r>
      </w:hyperlink>
      <w:r>
        <w:t xml:space="preserve">.</w:t>
      </w:r>
    </w:p>
    <w:bookmarkEnd w:id="141"/>
    <w:bookmarkStart w:id="143"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42">
        <w:r>
          <w:rPr>
            <w:rStyle w:val="Hyperlink"/>
          </w:rPr>
          <w:t xml:space="preserve">https://doi.org/10.1002/2016WR019638</w:t>
        </w:r>
      </w:hyperlink>
      <w:r>
        <w:t xml:space="preserve">.</w:t>
      </w:r>
    </w:p>
    <w:bookmarkEnd w:id="143"/>
    <w:bookmarkStart w:id="145"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44">
        <w:r>
          <w:rPr>
            <w:rStyle w:val="Hyperlink"/>
          </w:rPr>
          <w:t xml:space="preserve">https://doi.org/10.1038/s41558-022-01290-z</w:t>
        </w:r>
      </w:hyperlink>
      <w:r>
        <w:t xml:space="preserve">.</w:t>
      </w:r>
    </w:p>
    <w:bookmarkEnd w:id="145"/>
    <w:bookmarkStart w:id="147"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46">
        <w:r>
          <w:rPr>
            <w:rStyle w:val="Hyperlink"/>
          </w:rPr>
          <w:t xml:space="preserve">https://doi.org/10.1111/gwat.12184</w:t>
        </w:r>
      </w:hyperlink>
      <w:r>
        <w:t xml:space="preserve">.</w:t>
      </w:r>
    </w:p>
    <w:bookmarkEnd w:id="147"/>
    <w:bookmarkStart w:id="149"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48">
        <w:r>
          <w:rPr>
            <w:rStyle w:val="Hyperlink"/>
          </w:rPr>
          <w:t xml:space="preserve">https://cdm17192.contentdm.oclc.org/digital/collection/p17192coll1/id/476/rec/3</w:t>
        </w:r>
      </w:hyperlink>
      <w:r>
        <w:t xml:space="preserve">.</w:t>
      </w:r>
    </w:p>
    <w:bookmarkEnd w:id="149"/>
    <w:bookmarkStart w:id="151" w:name="ref-yaseef_ecohydrology_2010"/>
    <w:p>
      <w:pPr>
        <w:pStyle w:val="Bibliography"/>
      </w:pPr>
      <w:r>
        <w:t xml:space="preserve">Yaseef, Naama Raz, Dan Yakir, Eyal Rotenberg, Gabriel Schiller, and Shabtai Cohen. 2010.</w:t>
      </w:r>
      <w:r>
        <w:t xml:space="preserve"> </w:t>
      </w:r>
      <w:r>
        <w:t xml:space="preserve">“Ecohydrology of a Semi‐arid Forest: Partitioning Among Water Balance Components and Its Implications for Predicted Precipitation Changes.”</w:t>
      </w:r>
      <w:r>
        <w:t xml:space="preserve"> </w:t>
      </w:r>
      <w:r>
        <w:rPr>
          <w:i/>
          <w:iCs/>
        </w:rPr>
        <w:t xml:space="preserve">Ecohydrology</w:t>
      </w:r>
      <w:r>
        <w:t xml:space="preserve"> </w:t>
      </w:r>
      <w:r>
        <w:t xml:space="preserve">3 (2): 143–54.</w:t>
      </w:r>
      <w:r>
        <w:t xml:space="preserve"> </w:t>
      </w:r>
      <w:hyperlink r:id="rId150">
        <w:r>
          <w:rPr>
            <w:rStyle w:val="Hyperlink"/>
          </w:rPr>
          <w:t xml:space="preserve">https://doi.org/10.1002/eco.65</w:t>
        </w:r>
      </w:hyperlink>
      <w:r>
        <w:t xml:space="preserve">.</w:t>
      </w:r>
    </w:p>
    <w:bookmarkEnd w:id="151"/>
    <w:bookmarkStart w:id="153" w:name="ref-zhang_response_2001"/>
    <w:p>
      <w:pPr>
        <w:pStyle w:val="Bibliography"/>
      </w:pPr>
      <w:r>
        <w:t xml:space="preserve">Zhang, L., W. R. Dawes, and G. R. Walker. 2001.</w:t>
      </w:r>
      <w:r>
        <w:t xml:space="preserve"> </w:t>
      </w:r>
      <w:r>
        <w:t xml:space="preserve">“Response of Mean Annual Evapotranspiration to Vegetation Changes at Catchment Scale.”</w:t>
      </w:r>
      <w:r>
        <w:t xml:space="preserve"> </w:t>
      </w:r>
      <w:r>
        <w:rPr>
          <w:i/>
          <w:iCs/>
        </w:rPr>
        <w:t xml:space="preserve">Water Resources Research</w:t>
      </w:r>
      <w:r>
        <w:t xml:space="preserve"> </w:t>
      </w:r>
      <w:r>
        <w:t xml:space="preserve">37 (3): 701–8.</w:t>
      </w:r>
      <w:r>
        <w:t xml:space="preserve"> </w:t>
      </w:r>
      <w:hyperlink r:id="rId152">
        <w:r>
          <w:rPr>
            <w:rStyle w:val="Hyperlink"/>
          </w:rPr>
          <w:t xml:space="preserve">https://doi.org/10.1029/2000WR900325</w:t>
        </w:r>
      </w:hyperlink>
      <w:r>
        <w:t xml:space="preserve">.</w:t>
      </w:r>
    </w:p>
    <w:bookmarkEnd w:id="153"/>
    <w:bookmarkStart w:id="155"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54">
        <w:r>
          <w:rPr>
            <w:rStyle w:val="Hyperlink"/>
          </w:rPr>
          <w:t xml:space="preserve">https://doi.org/10.1016/j.foreco.2009.08.005</w:t>
        </w:r>
      </w:hyperlink>
      <w:r>
        <w:t xml:space="preserve">.</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8"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42" Target="https://doi.org/10.1002/2016WR019638" TargetMode="External" /><Relationship Type="http://schemas.openxmlformats.org/officeDocument/2006/relationships/hyperlink" Id="rId124" Target="https://doi.org/10.1002/eap.1746" TargetMode="External" /><Relationship Type="http://schemas.openxmlformats.org/officeDocument/2006/relationships/hyperlink" Id="rId108" Target="https://doi.org/10.1002/eco.158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12" Target="https://doi.org/10.1002/eco.2580" TargetMode="External" /><Relationship Type="http://schemas.openxmlformats.org/officeDocument/2006/relationships/hyperlink" Id="rId150" Target="https://doi.org/10.1002/eco.65" TargetMode="External" /><Relationship Type="http://schemas.openxmlformats.org/officeDocument/2006/relationships/hyperlink" Id="rId122" Target="https://doi.org/10.1002/hyp.14432" TargetMode="External" /><Relationship Type="http://schemas.openxmlformats.org/officeDocument/2006/relationships/hyperlink" Id="rId126"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32" Target="https://doi.org/10.1016/j.ecoleng.2019.105701" TargetMode="External" /><Relationship Type="http://schemas.openxmlformats.org/officeDocument/2006/relationships/hyperlink" Id="rId15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128" Target="https://doi.org/10.1016/j.rse.2015.08.028" TargetMode="External" /><Relationship Type="http://schemas.openxmlformats.org/officeDocument/2006/relationships/hyperlink" Id="rId98" Target="https://doi.org/10.1016/j.srs.2021.100029" TargetMode="External" /><Relationship Type="http://schemas.openxmlformats.org/officeDocument/2006/relationships/hyperlink" Id="rId152" Target="https://doi.org/10.1029/2000WR900325" TargetMode="External" /><Relationship Type="http://schemas.openxmlformats.org/officeDocument/2006/relationships/hyperlink" Id="rId79" Target="https://doi.org/10.1029/2021WR030687" TargetMode="External" /><Relationship Type="http://schemas.openxmlformats.org/officeDocument/2006/relationships/hyperlink" Id="rId110"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44" Target="https://doi.org/10.1038/s41558-022-01290-z" TargetMode="External" /><Relationship Type="http://schemas.openxmlformats.org/officeDocument/2006/relationships/hyperlink" Id="rId130"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4" Target="https://doi.org/10.1093/jofore/fvz069" TargetMode="External" /><Relationship Type="http://schemas.openxmlformats.org/officeDocument/2006/relationships/hyperlink" Id="rId116"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40" Target="https://doi.org/10.1111/1752-1688.13234" TargetMode="External" /><Relationship Type="http://schemas.openxmlformats.org/officeDocument/2006/relationships/hyperlink" Id="rId146" Target="https://doi.org/10.1111/gwat.12184" TargetMode="External" /><Relationship Type="http://schemas.openxmlformats.org/officeDocument/2006/relationships/hyperlink" Id="rId100" Target="https://doi.org/10.1111/j.1365-2486.2012.02775.x" TargetMode="External" /><Relationship Type="http://schemas.openxmlformats.org/officeDocument/2006/relationships/hyperlink" Id="rId118" Target="https://doi.org/10.1111/j.1752-1688.2005.tb04463.x" TargetMode="External" /><Relationship Type="http://schemas.openxmlformats.org/officeDocument/2006/relationships/hyperlink" Id="rId114" Target="https://doi.org/10.1175/BAMS-D-23-0191.1" TargetMode="External" /><Relationship Type="http://schemas.openxmlformats.org/officeDocument/2006/relationships/hyperlink" Id="rId136"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8" Target="https://doi.org/10.22230/jem.2009v10n1a409" TargetMode="External" /><Relationship Type="http://schemas.openxmlformats.org/officeDocument/2006/relationships/hyperlink" Id="rId102"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20" Target="https://doi.org/10.5194/hessd-12-10827-2015" TargetMode="External" /><Relationship Type="http://schemas.openxmlformats.org/officeDocument/2006/relationships/hyperlink" Id="rId134" Target="https://doi.org/10.5849/jof.11-082" TargetMode="External" /><Relationship Type="http://schemas.openxmlformats.org/officeDocument/2006/relationships/hyperlink" Id="rId106"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8"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42" Target="https://doi.org/10.1002/2016WR019638" TargetMode="External" /><Relationship Type="http://schemas.openxmlformats.org/officeDocument/2006/relationships/hyperlink" Id="rId124" Target="https://doi.org/10.1002/eap.1746" TargetMode="External" /><Relationship Type="http://schemas.openxmlformats.org/officeDocument/2006/relationships/hyperlink" Id="rId108" Target="https://doi.org/10.1002/eco.158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12" Target="https://doi.org/10.1002/eco.2580" TargetMode="External" /><Relationship Type="http://schemas.openxmlformats.org/officeDocument/2006/relationships/hyperlink" Id="rId150" Target="https://doi.org/10.1002/eco.65" TargetMode="External" /><Relationship Type="http://schemas.openxmlformats.org/officeDocument/2006/relationships/hyperlink" Id="rId122" Target="https://doi.org/10.1002/hyp.14432" TargetMode="External" /><Relationship Type="http://schemas.openxmlformats.org/officeDocument/2006/relationships/hyperlink" Id="rId126"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32" Target="https://doi.org/10.1016/j.ecoleng.2019.105701" TargetMode="External" /><Relationship Type="http://schemas.openxmlformats.org/officeDocument/2006/relationships/hyperlink" Id="rId15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128" Target="https://doi.org/10.1016/j.rse.2015.08.028" TargetMode="External" /><Relationship Type="http://schemas.openxmlformats.org/officeDocument/2006/relationships/hyperlink" Id="rId98" Target="https://doi.org/10.1016/j.srs.2021.100029" TargetMode="External" /><Relationship Type="http://schemas.openxmlformats.org/officeDocument/2006/relationships/hyperlink" Id="rId152" Target="https://doi.org/10.1029/2000WR900325" TargetMode="External" /><Relationship Type="http://schemas.openxmlformats.org/officeDocument/2006/relationships/hyperlink" Id="rId79" Target="https://doi.org/10.1029/2021WR030687" TargetMode="External" /><Relationship Type="http://schemas.openxmlformats.org/officeDocument/2006/relationships/hyperlink" Id="rId110"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44" Target="https://doi.org/10.1038/s41558-022-01290-z" TargetMode="External" /><Relationship Type="http://schemas.openxmlformats.org/officeDocument/2006/relationships/hyperlink" Id="rId130"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4" Target="https://doi.org/10.1093/jofore/fvz069" TargetMode="External" /><Relationship Type="http://schemas.openxmlformats.org/officeDocument/2006/relationships/hyperlink" Id="rId116"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40" Target="https://doi.org/10.1111/1752-1688.13234" TargetMode="External" /><Relationship Type="http://schemas.openxmlformats.org/officeDocument/2006/relationships/hyperlink" Id="rId146" Target="https://doi.org/10.1111/gwat.12184" TargetMode="External" /><Relationship Type="http://schemas.openxmlformats.org/officeDocument/2006/relationships/hyperlink" Id="rId100" Target="https://doi.org/10.1111/j.1365-2486.2012.02775.x" TargetMode="External" /><Relationship Type="http://schemas.openxmlformats.org/officeDocument/2006/relationships/hyperlink" Id="rId118" Target="https://doi.org/10.1111/j.1752-1688.2005.tb04463.x" TargetMode="External" /><Relationship Type="http://schemas.openxmlformats.org/officeDocument/2006/relationships/hyperlink" Id="rId114" Target="https://doi.org/10.1175/BAMS-D-23-0191.1" TargetMode="External" /><Relationship Type="http://schemas.openxmlformats.org/officeDocument/2006/relationships/hyperlink" Id="rId136"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8" Target="https://doi.org/10.22230/jem.2009v10n1a409" TargetMode="External" /><Relationship Type="http://schemas.openxmlformats.org/officeDocument/2006/relationships/hyperlink" Id="rId102"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20" Target="https://doi.org/10.5194/hessd-12-10827-2015" TargetMode="External" /><Relationship Type="http://schemas.openxmlformats.org/officeDocument/2006/relationships/hyperlink" Id="rId134" Target="https://doi.org/10.5849/jof.11-082" TargetMode="External" /><Relationship Type="http://schemas.openxmlformats.org/officeDocument/2006/relationships/hyperlink" Id="rId106"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landscape suitability for forest thinning to reduce evapotranspiration and enhance groundwater recharge in Arizona</dc:title>
  <dc:creator>Ryan E Lima; Temuulen Tsagaan Sankey; Abraham E Springer</dc:creator>
  <cp:keywords>suitability mapping, forest thinning, water yield, groundwater recharge</cp:keywords>
  <dcterms:created xsi:type="dcterms:W3CDTF">2024-11-21T19:06:30Z</dcterms:created>
  <dcterms:modified xsi:type="dcterms:W3CDTF">2024-11-21T19:06:30Z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review the literature on the effects of forest thinning on water yield throughout Arizona and map areas where mechanical treatment has the highest potential for increasing groundwater recharge. This research synthesizes the myriad studies examining the effects of forest treatment on water 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