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suitability</w:t>
      </w:r>
      <w:r>
        <w:t xml:space="preserve"> </w:t>
      </w:r>
      <w:r>
        <w:t xml:space="preserve">for</w:t>
      </w:r>
      <w:r>
        <w:t xml:space="preserve"> </w:t>
      </w:r>
      <w:r>
        <w:t xml:space="preserve">thinning</w:t>
      </w:r>
      <w:r>
        <w:t xml:space="preserve"> </w:t>
      </w:r>
      <w:r>
        <w:t xml:space="preserve">to</w:t>
      </w:r>
      <w:r>
        <w:t xml:space="preserve"> </w:t>
      </w:r>
      <w:r>
        <w:t xml:space="preserve">reduce</w:t>
      </w:r>
      <w:r>
        <w:t xml:space="preserve"> </w:t>
      </w:r>
      <w:r>
        <w:t xml:space="preserve">atmospheric</w:t>
      </w:r>
      <w:r>
        <w:t xml:space="preserve"> </w:t>
      </w:r>
      <w:r>
        <w:t xml:space="preserve">losses</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2024-10-18</w:t>
      </w:r>
    </w:p>
    <w:p>
      <w:pPr>
        <w:pStyle w:val="AbstractTitle"/>
      </w:pPr>
      <w:r>
        <w:t xml:space="preserve">Abstract</w:t>
      </w:r>
    </w:p>
    <w:p>
      <w:pPr>
        <w:pStyle w:val="Abstract"/>
      </w:pPr>
      <w:r>
        <w:t xml:space="preserve">In</w:t>
      </w:r>
      <w:r>
        <w:t xml:space="preserve"> </w:t>
      </w:r>
      <w:r>
        <w:t xml:space="preserve">semi-arid</w:t>
      </w:r>
      <w:r>
        <w:t xml:space="preserve"> </w:t>
      </w:r>
      <w:r>
        <w:t xml:space="preserve">forests</w:t>
      </w:r>
      <w:r>
        <w:t xml:space="preserve"> </w:t>
      </w:r>
      <w:r>
        <w:t xml:space="preserve">such</w:t>
      </w:r>
      <w:r>
        <w:t xml:space="preserve"> </w:t>
      </w:r>
      <w:r>
        <w:t xml:space="preserve">as</w:t>
      </w:r>
      <w:r>
        <w:t xml:space="preserve"> </w:t>
      </w:r>
      <w:r>
        <w:t xml:space="preserve">Arizona,</w:t>
      </w:r>
      <w:r>
        <w:t xml:space="preserve"> </w:t>
      </w:r>
      <w:r>
        <w:t xml:space="preserve">over</w:t>
      </w:r>
      <w:r>
        <w:t xml:space="preserve"> </w:t>
      </w:r>
      <w:r>
        <w:t xml:space="preserve">90%</w:t>
      </w:r>
      <w:r>
        <w:t xml:space="preserve"> </w:t>
      </w:r>
      <w:r>
        <w:t xml:space="preserve">of</w:t>
      </w:r>
      <w:r>
        <w:t xml:space="preserve"> </w:t>
      </w:r>
      <w:r>
        <w:t xml:space="preserve">annual</w:t>
      </w:r>
      <w:r>
        <w:t xml:space="preserve"> </w:t>
      </w:r>
      <w:r>
        <w:t xml:space="preserve">precipitation</w:t>
      </w:r>
      <w:r>
        <w:t xml:space="preserve"> </w:t>
      </w:r>
      <w:r>
        <w:t xml:space="preserve">may</w:t>
      </w:r>
      <w:r>
        <w:t xml:space="preserve"> </w:t>
      </w:r>
      <w:r>
        <w:t xml:space="preserve">be</w:t>
      </w:r>
      <w:r>
        <w:t xml:space="preserve"> </w:t>
      </w:r>
      <w:r>
        <w:t xml:space="preserve">lost</w:t>
      </w:r>
      <w:r>
        <w:t xml:space="preserve"> </w:t>
      </w:r>
      <w:r>
        <w:t xml:space="preserve">to</w:t>
      </w:r>
      <w:r>
        <w:t xml:space="preserve"> </w:t>
      </w:r>
      <w:r>
        <w:t xml:space="preserve">evapotranspiration.</w:t>
      </w:r>
      <w:r>
        <w:t xml:space="preserve"> </w:t>
      </w:r>
      <w:r>
        <w:t xml:space="preserve">Forest</w:t>
      </w:r>
      <w:r>
        <w:t xml:space="preserve"> </w:t>
      </w:r>
      <w:r>
        <w:t xml:space="preserve">structure</w:t>
      </w:r>
      <w:r>
        <w:t xml:space="preserve"> </w:t>
      </w:r>
      <w:r>
        <w:t xml:space="preserve">has</w:t>
      </w:r>
      <w:r>
        <w:t xml:space="preserve"> </w:t>
      </w:r>
      <w:r>
        <w:t xml:space="preserve">changed</w:t>
      </w:r>
      <w:r>
        <w:t xml:space="preserve"> </w:t>
      </w:r>
      <w:r>
        <w:t xml:space="preserve">significantly</w:t>
      </w:r>
      <w:r>
        <w:t xml:space="preserve"> </w:t>
      </w:r>
      <w:r>
        <w:t xml:space="preserve">post-Euro-American</w:t>
      </w:r>
      <w:r>
        <w:t xml:space="preserve"> </w:t>
      </w:r>
      <w:r>
        <w:t xml:space="preserve">settlement</w:t>
      </w:r>
      <w:r>
        <w:t xml:space="preserve"> </w:t>
      </w:r>
      <w:r>
        <w:t xml:space="preserve">due</w:t>
      </w:r>
      <w:r>
        <w:t xml:space="preserve"> </w:t>
      </w:r>
      <w:r>
        <w:t xml:space="preserve">to</w:t>
      </w:r>
      <w:r>
        <w:t xml:space="preserve"> </w:t>
      </w:r>
      <w:r>
        <w:t xml:space="preserve">various</w:t>
      </w:r>
      <w:r>
        <w:t xml:space="preserve"> </w:t>
      </w:r>
      <w:r>
        <w:t xml:space="preserve">factors,</w:t>
      </w:r>
      <w:r>
        <w:t xml:space="preserve"> </w:t>
      </w:r>
      <w:r>
        <w:t xml:space="preserve">including</w:t>
      </w:r>
      <w:r>
        <w:t xml:space="preserve"> </w:t>
      </w:r>
      <w:r>
        <w:t xml:space="preserve">grazing,</w:t>
      </w:r>
      <w:r>
        <w:t xml:space="preserve"> </w:t>
      </w:r>
      <w:r>
        <w:t xml:space="preserve">logging,</w:t>
      </w:r>
      <w:r>
        <w:t xml:space="preserve"> </w:t>
      </w:r>
      <w:r>
        <w:t xml:space="preserve">and</w:t>
      </w:r>
      <w:r>
        <w:t xml:space="preserve"> </w:t>
      </w:r>
      <w:r>
        <w:t xml:space="preserve">wildfire</w:t>
      </w:r>
      <w:r>
        <w:t xml:space="preserve"> </w:t>
      </w:r>
      <w:r>
        <w:t xml:space="preserve">exclusion.</w:t>
      </w:r>
      <w:r>
        <w:t xml:space="preserve"> </w:t>
      </w:r>
      <w:r>
        <w:t xml:space="preserve">As</w:t>
      </w:r>
      <w:r>
        <w:t xml:space="preserve"> </w:t>
      </w:r>
      <w:r>
        <w:t xml:space="preserve">a</w:t>
      </w:r>
      <w:r>
        <w:t xml:space="preserve"> </w:t>
      </w:r>
      <w:r>
        <w:t xml:space="preserve">result,</w:t>
      </w:r>
      <w:r>
        <w:t xml:space="preserve"> </w:t>
      </w:r>
      <w:r>
        <w:t xml:space="preserve">many</w:t>
      </w:r>
      <w:r>
        <w:t xml:space="preserve"> </w:t>
      </w:r>
      <w:r>
        <w:t xml:space="preserve">forests</w:t>
      </w:r>
      <w:r>
        <w:t xml:space="preserve"> </w:t>
      </w:r>
      <w:r>
        <w:t xml:space="preserve">in</w:t>
      </w:r>
      <w:r>
        <w:t xml:space="preserve"> </w:t>
      </w:r>
      <w:r>
        <w:t xml:space="preserve">Arizona</w:t>
      </w:r>
      <w:r>
        <w:t xml:space="preserve"> </w:t>
      </w:r>
      <w:r>
        <w:t xml:space="preserve">are</w:t>
      </w:r>
      <w:r>
        <w:t xml:space="preserve"> </w:t>
      </w:r>
      <w:r>
        <w:t xml:space="preserve">overstocked</w:t>
      </w:r>
      <w:r>
        <w:t xml:space="preserve"> </w:t>
      </w:r>
      <w:r>
        <w:t xml:space="preserve">relative</w:t>
      </w:r>
      <w:r>
        <w:t xml:space="preserve"> </w:t>
      </w:r>
      <w:r>
        <w:t xml:space="preserve">to</w:t>
      </w:r>
      <w:r>
        <w:t xml:space="preserve"> </w:t>
      </w:r>
      <w:r>
        <w:t xml:space="preserve">pre-settlement</w:t>
      </w:r>
      <w:r>
        <w:t xml:space="preserve"> </w:t>
      </w:r>
      <w:r>
        <w:t xml:space="preserve">conditions,</w:t>
      </w:r>
      <w:r>
        <w:t xml:space="preserve"> </w:t>
      </w:r>
      <w:r>
        <w:t xml:space="preserve">increasing</w:t>
      </w:r>
      <w:r>
        <w:t xml:space="preserve"> </w:t>
      </w:r>
      <w:r>
        <w:t xml:space="preserve">the</w:t>
      </w:r>
      <w:r>
        <w:t xml:space="preserve"> </w:t>
      </w:r>
      <w:r>
        <w:t xml:space="preserve">risk</w:t>
      </w:r>
      <w:r>
        <w:t xml:space="preserve"> </w:t>
      </w:r>
      <w:r>
        <w:t xml:space="preserve">of</w:t>
      </w:r>
      <w:r>
        <w:t xml:space="preserve"> </w:t>
      </w:r>
      <w:r>
        <w:t xml:space="preserve">catastrophic</w:t>
      </w:r>
      <w:r>
        <w:t xml:space="preserve"> </w:t>
      </w:r>
      <w:r>
        <w:t xml:space="preserve">wildfire.</w:t>
      </w:r>
      <w:r>
        <w:t xml:space="preserve"> </w:t>
      </w:r>
      <w:r>
        <w:t xml:space="preserve">In</w:t>
      </w:r>
      <w:r>
        <w:t xml:space="preserve"> </w:t>
      </w:r>
      <w:r>
        <w:t xml:space="preserve">recent</w:t>
      </w:r>
      <w:r>
        <w:t xml:space="preserve"> </w:t>
      </w:r>
      <w:r>
        <w:t xml:space="preserve">years,</w:t>
      </w:r>
      <w:r>
        <w:t xml:space="preserve"> </w:t>
      </w:r>
      <w:r>
        <w:t xml:space="preserve">the</w:t>
      </w:r>
      <w:r>
        <w:t xml:space="preserve"> </w:t>
      </w:r>
      <w:r>
        <w:t xml:space="preserve">growing</w:t>
      </w:r>
      <w:r>
        <w:t xml:space="preserve"> </w:t>
      </w:r>
      <w:r>
        <w:t xml:space="preserve">frequency</w:t>
      </w:r>
      <w:r>
        <w:t xml:space="preserve"> </w:t>
      </w:r>
      <w:r>
        <w:t xml:space="preserve">and</w:t>
      </w:r>
      <w:r>
        <w:t xml:space="preserve"> </w:t>
      </w:r>
      <w:r>
        <w:t xml:space="preserve">severity</w:t>
      </w:r>
      <w:r>
        <w:t xml:space="preserve"> </w:t>
      </w:r>
      <w:r>
        <w:t xml:space="preserve">of</w:t>
      </w:r>
      <w:r>
        <w:t xml:space="preserve"> </w:t>
      </w:r>
      <w:r>
        <w:t xml:space="preserve">drought</w:t>
      </w:r>
      <w:r>
        <w:t xml:space="preserve"> </w:t>
      </w:r>
      <w:r>
        <w:t xml:space="preserve">and</w:t>
      </w:r>
      <w:r>
        <w:t xml:space="preserve"> </w:t>
      </w:r>
      <w:r>
        <w:t xml:space="preserve">wildfires</w:t>
      </w:r>
      <w:r>
        <w:t xml:space="preserve"> </w:t>
      </w:r>
      <w:r>
        <w:t xml:space="preserve">have</w:t>
      </w:r>
      <w:r>
        <w:t xml:space="preserve"> </w:t>
      </w:r>
      <w:r>
        <w:t xml:space="preserve">resulted</w:t>
      </w:r>
      <w:r>
        <w:t xml:space="preserve"> </w:t>
      </w:r>
      <w:r>
        <w:t xml:space="preserve">from</w:t>
      </w:r>
      <w:r>
        <w:t xml:space="preserve"> </w:t>
      </w:r>
      <w:r>
        <w:t xml:space="preserve">warming</w:t>
      </w:r>
      <w:r>
        <w:t xml:space="preserve"> </w:t>
      </w:r>
      <w:r>
        <w:t xml:space="preserve">associated</w:t>
      </w:r>
      <w:r>
        <w:t xml:space="preserve"> </w:t>
      </w:r>
      <w:r>
        <w:t xml:space="preserve">with</w:t>
      </w:r>
      <w:r>
        <w:t xml:space="preserve"> </w:t>
      </w:r>
      <w:r>
        <w:t xml:space="preserve">anthropogenic</w:t>
      </w:r>
      <w:r>
        <w:t xml:space="preserve"> </w:t>
      </w:r>
      <w:r>
        <w:t xml:space="preserve">climate</w:t>
      </w:r>
      <w:r>
        <w:t xml:space="preserve"> </w:t>
      </w:r>
      <w:r>
        <w:t xml:space="preserve">change.</w:t>
      </w:r>
      <w:r>
        <w:t xml:space="preserve"> </w:t>
      </w:r>
      <w:r>
        <w:t xml:space="preserve">Landscape-scale</w:t>
      </w:r>
      <w:r>
        <w:t xml:space="preserve"> </w:t>
      </w:r>
      <w:r>
        <w:t xml:space="preserve">efforts</w:t>
      </w:r>
      <w:r>
        <w:t xml:space="preserve"> </w:t>
      </w:r>
      <w:r>
        <w:t xml:space="preserve">to</w:t>
      </w:r>
      <w:r>
        <w:t xml:space="preserve"> </w:t>
      </w:r>
      <w:r>
        <w:t xml:space="preserve">restore</w:t>
      </w:r>
      <w:r>
        <w:t xml:space="preserve"> </w:t>
      </w:r>
      <w:r>
        <w:t xml:space="preserve">forests</w:t>
      </w:r>
      <w:r>
        <w:t xml:space="preserve"> </w:t>
      </w:r>
      <w:r>
        <w:t xml:space="preserve">to</w:t>
      </w:r>
      <w:r>
        <w:t xml:space="preserve"> </w:t>
      </w:r>
      <w:r>
        <w:t xml:space="preserve">near</w:t>
      </w:r>
      <w:r>
        <w:t xml:space="preserve"> </w:t>
      </w:r>
      <w:r>
        <w:t xml:space="preserve">historic</w:t>
      </w:r>
      <w:r>
        <w:t xml:space="preserve"> </w:t>
      </w:r>
      <w:r>
        <w:t xml:space="preserve">densities</w:t>
      </w:r>
      <w:r>
        <w:t xml:space="preserve"> </w:t>
      </w:r>
      <w:r>
        <w:t xml:space="preserve">are</w:t>
      </w:r>
      <w:r>
        <w:t xml:space="preserve"> </w:t>
      </w:r>
      <w:r>
        <w:t xml:space="preserve">underway</w:t>
      </w:r>
      <w:r>
        <w:t xml:space="preserve"> </w:t>
      </w:r>
      <w:r>
        <w:t xml:space="preserve">throughout</w:t>
      </w:r>
      <w:r>
        <w:t xml:space="preserve"> </w:t>
      </w:r>
      <w:r>
        <w:t xml:space="preserve">Arizona.</w:t>
      </w:r>
      <w:r>
        <w:t xml:space="preserve"> </w:t>
      </w:r>
      <w:r>
        <w:t xml:space="preserve">Mechanical</w:t>
      </w:r>
      <w:r>
        <w:t xml:space="preserve"> </w:t>
      </w:r>
      <w:r>
        <w:t xml:space="preserve">thinning</w:t>
      </w:r>
      <w:r>
        <w:t xml:space="preserve"> </w:t>
      </w:r>
      <w:r>
        <w:t xml:space="preserve">has</w:t>
      </w:r>
      <w:r>
        <w:t xml:space="preserve"> </w:t>
      </w:r>
      <w:r>
        <w:t xml:space="preserve">increased</w:t>
      </w:r>
      <w:r>
        <w:t xml:space="preserve"> </w:t>
      </w:r>
      <w:r>
        <w:t xml:space="preserve">water</w:t>
      </w:r>
      <w:r>
        <w:t xml:space="preserve"> </w:t>
      </w:r>
      <w:r>
        <w:t xml:space="preserve">yield</w:t>
      </w:r>
      <w:r>
        <w:t xml:space="preserve"> </w:t>
      </w:r>
      <w:r>
        <w:t xml:space="preserve">for</w:t>
      </w:r>
      <w:r>
        <w:t xml:space="preserve"> </w:t>
      </w:r>
      <w:r>
        <w:t xml:space="preserve">several</w:t>
      </w:r>
      <w:r>
        <w:t xml:space="preserve"> </w:t>
      </w:r>
      <w:r>
        <w:t xml:space="preserve">years</w:t>
      </w:r>
      <w:r>
        <w:t xml:space="preserve"> </w:t>
      </w:r>
      <w:r>
        <w:t xml:space="preserve">following</w:t>
      </w:r>
      <w:r>
        <w:t xml:space="preserve"> </w:t>
      </w:r>
      <w:r>
        <w:t xml:space="preserve">treatment</w:t>
      </w:r>
      <w:r>
        <w:t xml:space="preserve"> </w:t>
      </w:r>
      <w:r>
        <w:t xml:space="preserve">in</w:t>
      </w:r>
      <w:r>
        <w:t xml:space="preserve"> </w:t>
      </w:r>
      <w:r>
        <w:t xml:space="preserve">some</w:t>
      </w:r>
      <w:r>
        <w:t xml:space="preserve"> </w:t>
      </w:r>
      <w:r>
        <w:t xml:space="preserve">forests.</w:t>
      </w:r>
      <w:r>
        <w:t xml:space="preserve"> </w:t>
      </w:r>
      <w:r>
        <w:t xml:space="preserve">However,</w:t>
      </w:r>
      <w:r>
        <w:t xml:space="preserve"> </w:t>
      </w:r>
      <w:r>
        <w:t xml:space="preserve">the</w:t>
      </w:r>
      <w:r>
        <w:t xml:space="preserve"> </w:t>
      </w:r>
      <w:r>
        <w:t xml:space="preserve">response</w:t>
      </w:r>
      <w:r>
        <w:t xml:space="preserve"> </w:t>
      </w:r>
      <w:r>
        <w:t xml:space="preserve">of</w:t>
      </w:r>
      <w:r>
        <w:t xml:space="preserve"> </w:t>
      </w:r>
      <w:r>
        <w:t xml:space="preserve">forests</w:t>
      </w:r>
      <w:r>
        <w:t xml:space="preserve"> </w:t>
      </w:r>
      <w:r>
        <w:t xml:space="preserve">to</w:t>
      </w:r>
      <w:r>
        <w:t xml:space="preserve"> </w:t>
      </w:r>
      <w:r>
        <w:t xml:space="preserve">treatments</w:t>
      </w:r>
      <w:r>
        <w:t xml:space="preserve"> </w:t>
      </w:r>
      <w:r>
        <w:t xml:space="preserve">is</w:t>
      </w:r>
      <w:r>
        <w:t xml:space="preserve"> </w:t>
      </w:r>
      <w:r>
        <w:t xml:space="preserve">complex,</w:t>
      </w:r>
      <w:r>
        <w:t xml:space="preserve"> </w:t>
      </w:r>
      <w:r>
        <w:t xml:space="preserve">site-specific,</w:t>
      </w:r>
      <w:r>
        <w:t xml:space="preserve"> </w:t>
      </w:r>
      <w:r>
        <w:t xml:space="preserve">and</w:t>
      </w:r>
      <w:r>
        <w:t xml:space="preserve"> </w:t>
      </w:r>
      <w:r>
        <w:t xml:space="preserve">varies</w:t>
      </w:r>
      <w:r>
        <w:t xml:space="preserve"> </w:t>
      </w:r>
      <w:r>
        <w:t xml:space="preserve">with</w:t>
      </w:r>
      <w:r>
        <w:t xml:space="preserve"> </w:t>
      </w:r>
      <w:r>
        <w:t xml:space="preserve">elevation,</w:t>
      </w:r>
      <w:r>
        <w:t xml:space="preserve"> </w:t>
      </w:r>
      <w:r>
        <w:t xml:space="preserve">aspect,</w:t>
      </w:r>
      <w:r>
        <w:t xml:space="preserve"> </w:t>
      </w:r>
      <w:r>
        <w:t xml:space="preserve">treatment</w:t>
      </w:r>
      <w:r>
        <w:t xml:space="preserve"> </w:t>
      </w:r>
      <w:r>
        <w:t xml:space="preserve">level,</w:t>
      </w:r>
      <w:r>
        <w:t xml:space="preserve"> </w:t>
      </w:r>
      <w:r>
        <w:t xml:space="preserve">and</w:t>
      </w:r>
      <w:r>
        <w:t xml:space="preserve"> </w:t>
      </w:r>
      <w:r>
        <w:t xml:space="preserve">climatic</w:t>
      </w:r>
      <w:r>
        <w:t xml:space="preserve"> </w:t>
      </w:r>
      <w:r>
        <w:t xml:space="preserve">conditions.</w:t>
      </w:r>
      <w:r>
        <w:t xml:space="preserve"> </w:t>
      </w:r>
      <w:r>
        <w:t xml:space="preserve">As</w:t>
      </w:r>
      <w:r>
        <w:t xml:space="preserve"> </w:t>
      </w:r>
      <w:r>
        <w:t xml:space="preserve">Arizona</w:t>
      </w:r>
      <w:r>
        <w:t xml:space="preserve"> </w:t>
      </w:r>
      <w:r>
        <w:t xml:space="preserve">grapples</w:t>
      </w:r>
      <w:r>
        <w:t xml:space="preserve"> </w:t>
      </w:r>
      <w:r>
        <w:t xml:space="preserve">with</w:t>
      </w:r>
      <w:r>
        <w:t xml:space="preserve"> </w:t>
      </w:r>
      <w:r>
        <w:t xml:space="preserve">increasing</w:t>
      </w:r>
      <w:r>
        <w:t xml:space="preserve"> </w:t>
      </w:r>
      <w:r>
        <w:t xml:space="preserve">water</w:t>
      </w:r>
      <w:r>
        <w:t xml:space="preserve"> </w:t>
      </w:r>
      <w:r>
        <w:t xml:space="preserve">insecurity</w:t>
      </w:r>
      <w:r>
        <w:t xml:space="preserve"> </w:t>
      </w:r>
      <w:r>
        <w:t xml:space="preserve">due</w:t>
      </w:r>
      <w:r>
        <w:t xml:space="preserve"> </w:t>
      </w:r>
      <w:r>
        <w:t xml:space="preserve">to</w:t>
      </w:r>
      <w:r>
        <w:t xml:space="preserve"> </w:t>
      </w:r>
      <w:r>
        <w:t xml:space="preserve">historic</w:t>
      </w:r>
      <w:r>
        <w:t xml:space="preserve"> </w:t>
      </w:r>
      <w:r>
        <w:t xml:space="preserve">drought,</w:t>
      </w:r>
      <w:r>
        <w:t xml:space="preserve"> </w:t>
      </w:r>
      <w:r>
        <w:t xml:space="preserve">demographic</w:t>
      </w:r>
      <w:r>
        <w:t xml:space="preserve"> </w:t>
      </w:r>
      <w:r>
        <w:t xml:space="preserve">changes,</w:t>
      </w:r>
      <w:r>
        <w:t xml:space="preserve"> </w:t>
      </w:r>
      <w:r>
        <w:t xml:space="preserve">and</w:t>
      </w:r>
      <w:r>
        <w:t xml:space="preserve"> </w:t>
      </w:r>
      <w:r>
        <w:t xml:space="preserve">increased</w:t>
      </w:r>
      <w:r>
        <w:t xml:space="preserve"> </w:t>
      </w:r>
      <w:r>
        <w:t xml:space="preserve">hydroclimatic</w:t>
      </w:r>
      <w:r>
        <w:t xml:space="preserve"> </w:t>
      </w:r>
      <w:r>
        <w:t xml:space="preserve">variability,</w:t>
      </w:r>
      <w:r>
        <w:t xml:space="preserve"> </w:t>
      </w:r>
      <w:r>
        <w:t xml:space="preserve">policymakers</w:t>
      </w:r>
      <w:r>
        <w:t xml:space="preserve"> </w:t>
      </w:r>
      <w:r>
        <w:t xml:space="preserve">are</w:t>
      </w:r>
      <w:r>
        <w:t xml:space="preserve"> </w:t>
      </w:r>
      <w:r>
        <w:t xml:space="preserve">searching</w:t>
      </w:r>
      <w:r>
        <w:t xml:space="preserve"> </w:t>
      </w:r>
      <w:r>
        <w:t xml:space="preserve">for</w:t>
      </w:r>
      <w:r>
        <w:t xml:space="preserve"> </w:t>
      </w:r>
      <w:r>
        <w:t xml:space="preserve">ways</w:t>
      </w:r>
      <w:r>
        <w:t xml:space="preserve"> </w:t>
      </w:r>
      <w:r>
        <w:t xml:space="preserve">to</w:t>
      </w:r>
      <w:r>
        <w:t xml:space="preserve"> </w:t>
      </w:r>
      <w:r>
        <w:t xml:space="preserve">bolster</w:t>
      </w:r>
      <w:r>
        <w:t xml:space="preserve"> </w:t>
      </w:r>
      <w:r>
        <w:t xml:space="preserve">water</w:t>
      </w:r>
      <w:r>
        <w:t xml:space="preserve"> </w:t>
      </w:r>
      <w:r>
        <w:t xml:space="preserve">supplies</w:t>
      </w:r>
      <w:r>
        <w:t xml:space="preserve"> </w:t>
      </w:r>
      <w:r>
        <w:t xml:space="preserve">statewide,</w:t>
      </w:r>
      <w:r>
        <w:t xml:space="preserve"> </w:t>
      </w:r>
      <w:r>
        <w:t xml:space="preserve">particularly</w:t>
      </w:r>
      <w:r>
        <w:t xml:space="preserve"> </w:t>
      </w:r>
      <w:r>
        <w:t xml:space="preserve">groundwater,</w:t>
      </w:r>
      <w:r>
        <w:t xml:space="preserve"> </w:t>
      </w:r>
      <w:r>
        <w:t xml:space="preserve">which</w:t>
      </w:r>
      <w:r>
        <w:t xml:space="preserve"> </w:t>
      </w:r>
      <w:r>
        <w:t xml:space="preserve">has</w:t>
      </w:r>
      <w:r>
        <w:t xml:space="preserve"> </w:t>
      </w:r>
      <w:r>
        <w:t xml:space="preserve">been</w:t>
      </w:r>
      <w:r>
        <w:t xml:space="preserve"> </w:t>
      </w:r>
      <w:r>
        <w:t xml:space="preserve">declining</w:t>
      </w:r>
      <w:r>
        <w:t xml:space="preserve"> </w:t>
      </w:r>
      <w:r>
        <w:t xml:space="preserve">across</w:t>
      </w:r>
      <w:r>
        <w:t xml:space="preserve"> </w:t>
      </w:r>
      <w:r>
        <w:t xml:space="preserve">much</w:t>
      </w:r>
      <w:r>
        <w:t xml:space="preserve"> </w:t>
      </w:r>
      <w:r>
        <w:t xml:space="preserve">of</w:t>
      </w:r>
      <w:r>
        <w:t xml:space="preserve"> </w:t>
      </w:r>
      <w:r>
        <w:t xml:space="preserve">the</w:t>
      </w:r>
      <w:r>
        <w:t xml:space="preserve"> </w:t>
      </w:r>
      <w:r>
        <w:t xml:space="preserve">state.</w:t>
      </w:r>
      <w:r>
        <w:t xml:space="preserve"> </w:t>
      </w: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p>
    <w:bookmarkStart w:id="26" w:name="introduction"/>
    <w:p>
      <w:pPr>
        <w:pStyle w:val="Heading2"/>
      </w:pPr>
      <w:r>
        <w:t xml:space="preserve">1 Introduction</w:t>
      </w:r>
    </w:p>
    <w:p>
      <w:pPr>
        <w:pStyle w:val="FirstParagraph"/>
      </w:pPr>
      <w:r>
        <w:t xml:space="preserve">This research synthesizes the myriad studies examining the effects of forest treatment on water yield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w:t>
      </w:r>
    </w:p>
    <w:p>
      <w:pPr>
        <w:pStyle w:val="BodyText"/>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 (</w:t>
      </w:r>
      <w:r>
        <w:rPr>
          <w:b/>
          <w:bCs/>
        </w:rPr>
        <w:t xml:space="preserve">CITATION</w:t>
      </w:r>
      <w:r>
        <w:t xml:space="preserve">). The</w:t>
      </w:r>
      <w:r>
        <w:t xml:space="preserve"> </w:t>
      </w:r>
      <w:r>
        <w:rPr>
          <w:i/>
          <w:iCs/>
        </w:rPr>
        <w:t xml:space="preserve">Arizona Tri-Univeristy Recharge and Water Reliability Project</w:t>
      </w:r>
      <w:r>
        <w:t xml:space="preserve"> </w:t>
      </w:r>
      <w:r>
        <w:t xml:space="preserve">(ATUR-WRP) has been tasked with identifying ways to protect water supplies and enhance recharge by identifying where landscape management practices can reduce atmospheric losses.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 This increased risk of wildfire and forest loss is driven by climate and overstocked conditions resulting from over a century of forest management practices since euro-american settlement (</w:t>
      </w:r>
      <w:r>
        <w:rPr>
          <w:b/>
          <w:bCs/>
        </w:rPr>
        <w:t xml:space="preserve">Citation</w:t>
      </w:r>
      <w:r>
        <w:t xml:space="preserve">).</w:t>
      </w:r>
    </w:p>
    <w:p>
      <w:pPr>
        <w:pStyle w:val="BodyText"/>
      </w:pPr>
      <w:r>
        <w:t xml:space="preserve">Landscape-scale forest restoration efforts have been planned or implemented across much of Arizona (</w:t>
      </w:r>
      <w:r>
        <w:rPr>
          <w:b/>
          <w:bCs/>
        </w:rPr>
        <w:t xml:space="preserve">Citation</w:t>
      </w:r>
      <w:r>
        <w:t xml:space="preserve">). For example, the Four Forest Restoration Initiative (4FRI) includes plans for restoration across over 2.5 million acres of Arizona’s forests. The primary goal of restoration efforts is to reduce wildfire risk. However, numerous studies have linked forest treatments to increased water yields and have emphasized the role of forest restoration in improving hydrologic services and increasing water supplies (</w:t>
      </w:r>
      <w:r>
        <w:rPr>
          <w:b/>
          <w:bCs/>
        </w:rPr>
        <w:t xml:space="preserve">Citations</w:t>
      </w:r>
      <w:r>
        <w:t xml:space="preserve">). Forest treatments such as thinning and burning can significantly impact the hydrologic cycle of forests</w:t>
      </w:r>
      <w:r>
        <w:t xml:space="preserve"> </w:t>
      </w:r>
      <w:r>
        <w:t xml:space="preserve">(Del Campo et al. 2022)</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justification"/>
    <w:p>
      <w:pPr>
        <w:pStyle w:val="Heading3"/>
      </w:pPr>
      <w:r>
        <w:t xml:space="preserve">1.1 Justification</w:t>
      </w:r>
    </w:p>
    <w:p>
      <w:pPr>
        <w:numPr>
          <w:ilvl w:val="0"/>
          <w:numId w:val="1001"/>
        </w:numPr>
      </w:pPr>
      <w:r>
        <w:t xml:space="preserve">regional studies are the best predictor of hydrologic response to thinning in Arizona forests</w:t>
      </w:r>
      <w:r>
        <w:t xml:space="preserve"> </w:t>
      </w:r>
      <w:r>
        <w:t xml:space="preserve">(Wyatt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effected by thining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smei-arid forests around the mediterraniean increased antecedant soil moisture and belowground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be effective at monitoring groundwater recharge affects in aridlands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water table can generally be expeted following forest thinning in all forested landscapes</w:t>
      </w:r>
      <w:r>
        <w:t xml:space="preserve"> </w:t>
      </w:r>
      <w:r>
        <w:t xml:space="preserve">(Smerdon, Redding, and Beckers 2009)</w:t>
      </w:r>
      <w:r>
        <w:t xml:space="preserve">.</w:t>
      </w:r>
    </w:p>
    <w:bookmarkStart w:id="21" w:name="snow-retention"/>
    <w:p>
      <w:pPr>
        <w:pStyle w:val="Heading4"/>
      </w:pPr>
      <w:r>
        <w:t xml:space="preserve">1.1.1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 can significantly impact streamflow by altering snowmelt timing, with reduce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persistance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persistance</w:t>
      </w:r>
      <w:r>
        <w:t xml:space="preserve"> </w:t>
      </w:r>
      <w:r>
        <w:t xml:space="preserve">(Donager et al. 2021)</w:t>
      </w:r>
      <w:r>
        <w:t xml:space="preserve">.</w:t>
      </w:r>
    </w:p>
    <w:bookmarkEnd w:id="21"/>
    <w:bookmarkStart w:id="22" w:name="thresholds-in-literature"/>
    <w:p>
      <w:pPr>
        <w:pStyle w:val="Heading4"/>
      </w:pPr>
      <w:r>
        <w:t xml:space="preserve">1.1.2 Thresholds in literature</w:t>
      </w:r>
    </w:p>
    <w:p>
      <w:pPr>
        <w:numPr>
          <w:ilvl w:val="0"/>
          <w:numId w:val="1003"/>
        </w:numPr>
      </w:pPr>
      <w:r>
        <w:t xml:space="preserve">A review of 94 catchment studies showed that significant changes in water yield are correlated to forest growth in forests that recive 600-1200 mm of mean annual precipitation Bosch and Hewlett, 1982 The caveat being there were not many confierous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hypotheized that where annual precipitaiton exceeds ~500 mm</w:t>
      </w:r>
      <w:r>
        <w:t xml:space="preserve"> </w:t>
      </w:r>
      <w:r>
        <w:t xml:space="preserve">or water yield is dominated by snowmelt, watershed will experience significantly decreased evapotranspiration and increased flows if canopy cover is reduced by over 20%, however their recent observations suggest that in dry forests water 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distrubance will have positive inpacts on streamflow for a minimum of several years following disturbance in areas where mean annual precipitation exceeds ~500mm. “Presumably because below 500 mm, most precipitation is evaporated regardless of forest condition (Hibbert, 1979)[@]</w:t>
      </w:r>
    </w:p>
    <w:bookmarkEnd w:id="22"/>
    <w:bookmarkEnd w:id="23"/>
    <w:bookmarkStart w:id="25" w:name="X6ca773827f43062c0f5b8cfcb0f9cbf1b5a6a88"/>
    <w:p>
      <w:pPr>
        <w:pStyle w:val="Heading3"/>
      </w:pPr>
      <w:r>
        <w:t xml:space="preserve">1.2 thinning decreases ET in some circumstances</w:t>
      </w:r>
    </w:p>
    <w:p>
      <w:pPr>
        <w:numPr>
          <w:ilvl w:val="0"/>
          <w:numId w:val="1004"/>
        </w:numPr>
      </w:pPr>
      <w:r>
        <w:t xml:space="preserve">Reductions of canopy cover can increase ET of existing trees, and solar radiation increasing ET</w:t>
      </w:r>
      <w:r>
        <w:t xml:space="preserve"> </w:t>
      </w:r>
      <w:hyperlink r:id="rId24">
        <w:r>
          <w:rPr>
            <w:rStyle w:val="Hyperlink"/>
          </w:rPr>
          <w:t xml:space="preserve">Biederman et al. (2015)</w:t>
        </w:r>
      </w:hyperlink>
    </w:p>
    <w:p>
      <w:pPr>
        <w:numPr>
          <w:ilvl w:val="0"/>
          <w:numId w:val="1004"/>
        </w:numPr>
      </w:pPr>
      <w:r>
        <w:t xml:space="preserve">Decreases in post-disturbance ET may be offsett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 replacing disturbances and found that post-distrubance streamflow may increase, not change, or even decrease. Nonstand replacing fires—because of increased evaporation from higher subcanopy radiation and increased transpiration from rapid post-disturbance growth can decrease water availability in some cases.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bookmarkEnd w:id="26"/>
    <w:bookmarkStart w:id="40" w:name="sec-data-methods"/>
    <w:p>
      <w:pPr>
        <w:pStyle w:val="Heading2"/>
      </w:pPr>
      <w:r>
        <w:t xml:space="preserve">2 Data &amp; Methods</w:t>
      </w:r>
    </w:p>
    <w:bookmarkStart w:id="34" w:name="weighted-suitability-workflow"/>
    <w:p>
      <w:pPr>
        <w:pStyle w:val="Heading3"/>
      </w:pPr>
      <w:r>
        <w:t xml:space="preserve">2.1 2.2 Weighted Suitability Workflow</w:t>
      </w:r>
    </w:p>
    <w:bookmarkStart w:id="28" w:name="define"/>
    <w:p>
      <w:pPr>
        <w:pStyle w:val="Heading4"/>
      </w:pPr>
      <w:r>
        <w:t xml:space="preserve">2.1.1 2.2.1 Define</w:t>
      </w:r>
    </w:p>
    <w:p>
      <w:pPr>
        <w:pStyle w:val="BlockText"/>
      </w:pPr>
      <w:r>
        <w:t xml:space="preserve">“</w:t>
      </w:r>
      <w:r>
        <w:t xml:space="preserve">define the goal, supporting criteria, and evaluation metrics for the weighted suitability model</w:t>
      </w:r>
      <w:r>
        <w:t xml:space="preserve">”</w:t>
      </w:r>
    </w:p>
    <w:bookmarkStart w:id="27" w:name="criteria"/>
    <w:p>
      <w:pPr>
        <w:pStyle w:val="Heading5"/>
      </w:pPr>
      <w:r>
        <w:t xml:space="preserve">2.1.1.1</w:t>
      </w:r>
      <w:r>
        <w:t xml:space="preserve"> </w:t>
      </w:r>
      <w:r>
        <w:rPr>
          <w:b/>
          <w:bCs/>
        </w:rPr>
        <w:t xml:space="preserve">Criteria</w:t>
      </w:r>
    </w:p>
    <w:p>
      <w:pPr>
        <w:pStyle w:val="FirstParagraph"/>
      </w:pPr>
      <w:r>
        <w:rPr>
          <w:b/>
          <w:bCs/>
        </w:rPr>
        <w:t xml:space="preserve">Aspect</w:t>
      </w:r>
    </w:p>
    <w:p>
      <w:pPr>
        <w:pStyle w:val="BlockText"/>
      </w:pPr>
      <w:r>
        <w:t xml:space="preserve">Closer to 0 or 360 is desired</w:t>
      </w:r>
    </w:p>
    <w:p>
      <w:pPr>
        <w:pStyle w:val="FirstParagraph"/>
      </w:pPr>
      <w:r>
        <w:rPr>
          <w:b/>
          <w:bCs/>
        </w:rPr>
        <w:t xml:space="preserve">Elevation</w:t>
      </w:r>
    </w:p>
    <w:p>
      <w:pPr>
        <w:pStyle w:val="BlockText"/>
      </w:pPr>
      <w:r>
        <w:t xml:space="preserve">higher elevation is better; higher percentage of precipitation is snow, higher precipitation</w:t>
      </w:r>
    </w:p>
    <w:p>
      <w:pPr>
        <w:pStyle w:val="FirstParagraph"/>
      </w:pPr>
      <w:r>
        <w:rPr>
          <w:b/>
          <w:bCs/>
        </w:rPr>
        <w:t xml:space="preserve">Precipitation</w:t>
      </w:r>
    </w:p>
    <w:p>
      <w:pPr>
        <w:pStyle w:val="BlockText"/>
      </w:pPr>
      <w:r>
        <w:t xml:space="preserve">Max precipitation must be higher than 450, mean precipitation should be higher than 400</w:t>
      </w:r>
    </w:p>
    <w:p>
      <w:pPr>
        <w:pStyle w:val="FirstParagraph"/>
      </w:pPr>
      <w:r>
        <w:rPr>
          <w:b/>
          <w:bCs/>
        </w:rPr>
        <w:t xml:space="preserve">Vegetation Characteristics</w:t>
      </w:r>
    </w:p>
    <w:p>
      <w:pPr>
        <w:pStyle w:val="BlockText"/>
      </w:pPr>
      <w:r>
        <w:t xml:space="preserve">higher vegetation density, when thinned will yield more water, focus on areas of high vegetation density or high departure from historic conditions.</w:t>
      </w:r>
    </w:p>
    <w:bookmarkEnd w:id="27"/>
    <w:bookmarkEnd w:id="28"/>
    <w:bookmarkStart w:id="29" w:name="derive"/>
    <w:p>
      <w:pPr>
        <w:pStyle w:val="Heading4"/>
      </w:pPr>
      <w:r>
        <w:t xml:space="preserve">2.1.2 2.2.2 Derive</w:t>
      </w:r>
    </w:p>
    <w:p>
      <w:pPr>
        <w:pStyle w:val="BlockText"/>
      </w:pPr>
      <w:r>
        <w:t xml:space="preserve">“</w:t>
      </w:r>
      <w:r>
        <w:t xml:space="preserve">Derive data that represents the model variables that are defined by the criteria. In this example, the criterion Far distances from streets defines distance from streets as a model variable. A raster that represents distance from streets is derived from street centerlines by using a geoprocessing tool.</w:t>
      </w:r>
      <w:r>
        <w:t xml:space="preserve">”</w:t>
      </w:r>
    </w:p>
    <w:bookmarkEnd w:id="29"/>
    <w:bookmarkStart w:id="30" w:name="transform"/>
    <w:p>
      <w:pPr>
        <w:pStyle w:val="Heading4"/>
      </w:pPr>
      <w:r>
        <w:t xml:space="preserve">2.1.3 2.2.3 Transform</w:t>
      </w:r>
    </w:p>
    <w:p>
      <w:pPr>
        <w:pStyle w:val="BlockText"/>
      </w:pPr>
      <w:r>
        <w:t xml:space="preserve">“</w:t>
      </w:r>
      <w:r>
        <w:t xml:space="preserve">Transform the values in each derived dataset into a common suitability scale by assigning each cell in the surface a suitability score (value on the suitability scale). For each dataset, assign the highest suitability scores to the variable values that are most preferred according to the associated criterion. In this example, the distance-from-streets raster is transformed into a 1-to-5 suitability scale. To represent the criterion Far distances from streets, the locations closest to streets are assigned a value of 1 (lowest preference) and the locations farthest from streets are assigned a value of 5 (highest preference).</w:t>
      </w:r>
      <w:r>
        <w:t xml:space="preserve">”</w:t>
      </w:r>
    </w:p>
    <w:bookmarkEnd w:id="30"/>
    <w:bookmarkStart w:id="31" w:name="weight-and-combine"/>
    <w:p>
      <w:pPr>
        <w:pStyle w:val="Heading4"/>
      </w:pPr>
      <w:r>
        <w:t xml:space="preserve">2.1.4 2.2.4 Weight and combine</w:t>
      </w:r>
    </w:p>
    <w:p>
      <w:pPr>
        <w:pStyle w:val="BlockText"/>
      </w:pPr>
      <w:r>
        <w:t xml:space="preserve">“</w:t>
      </w:r>
      <w:r>
        <w:t xml:space="preserve">Weight and combine the transformed data, which represents the model criteria, into a single suitability surface that meets the model goal. In this example, three transformed rasters are combined to create the suitability surface.</w:t>
      </w:r>
      <w:r>
        <w:t xml:space="preserve">”</w:t>
      </w:r>
    </w:p>
    <w:bookmarkEnd w:id="31"/>
    <w:bookmarkStart w:id="32" w:name="locate"/>
    <w:p>
      <w:pPr>
        <w:pStyle w:val="Heading4"/>
      </w:pPr>
      <w:r>
        <w:t xml:space="preserve">2.1.5 2.2.5 Locate</w:t>
      </w:r>
    </w:p>
    <w:p>
      <w:pPr>
        <w:pStyle w:val="BlockText"/>
      </w:pPr>
      <w:r>
        <w:t xml:space="preserve">“</w:t>
      </w:r>
      <w:r>
        <w:t xml:space="preserve">Locate the phenomenon by using the suitability surface. In this example, a region that has the highest average suitability is identified.</w:t>
      </w:r>
      <w:r>
        <w:t xml:space="preserve">”</w:t>
      </w:r>
    </w:p>
    <w:bookmarkEnd w:id="32"/>
    <w:bookmarkStart w:id="33" w:name="analyze"/>
    <w:p>
      <w:pPr>
        <w:pStyle w:val="Heading4"/>
      </w:pPr>
      <w:r>
        <w:t xml:space="preserve">2.1.6 2.2.6 Analyze</w:t>
      </w:r>
    </w:p>
    <w:p>
      <w:pPr>
        <w:pStyle w:val="BlockText"/>
      </w:pPr>
      <w:r>
        <w:t xml:space="preserve">“</w:t>
      </w:r>
      <w:r>
        <w:t xml:space="preserve">Analyze the result by visually evaluating the suitability surface and regions to ensure that the model goal has been met. Optionally, perform sensitivity and error analysis.</w:t>
      </w:r>
      <w:r>
        <w:t xml:space="preserve">”</w:t>
      </w:r>
    </w:p>
    <w:bookmarkEnd w:id="33"/>
    <w:bookmarkEnd w:id="34"/>
    <w:bookmarkStart w:id="39" w:name="environments"/>
    <w:p>
      <w:pPr>
        <w:pStyle w:val="Heading3"/>
      </w:pPr>
      <w:r>
        <w:t xml:space="preserve">2.2 Environments:</w:t>
      </w:r>
    </w:p>
    <w:p>
      <w:pPr>
        <w:pStyle w:val="Compact"/>
        <w:numPr>
          <w:ilvl w:val="0"/>
          <w:numId w:val="1005"/>
        </w:numPr>
      </w:pPr>
      <w:r>
        <w:t xml:space="preserve">ArcGIS Pro 3.3</w:t>
      </w:r>
    </w:p>
    <w:bookmarkStart w:id="37" w:name="unsuitable"/>
    <w:p>
      <w:pPr>
        <w:pStyle w:val="Heading4"/>
      </w:pPr>
      <w:r>
        <w:t xml:space="preserve">2.2.1</w:t>
      </w:r>
      <w:r>
        <w:t xml:space="preserve"> </w:t>
      </w:r>
      <w:r>
        <w:rPr>
          <w:b/>
          <w:bCs/>
        </w:rPr>
        <w:t xml:space="preserve">Unsuitable</w:t>
      </w:r>
    </w:p>
    <w:p>
      <w:pPr>
        <w:numPr>
          <w:ilvl w:val="0"/>
          <w:numId w:val="1006"/>
        </w:numPr>
      </w:pPr>
      <w:r>
        <w:t xml:space="preserve">Max Precipitation &lt; 450mm</w:t>
      </w:r>
    </w:p>
    <w:p>
      <w:pPr>
        <w:numPr>
          <w:ilvl w:val="0"/>
          <w:numId w:val="1006"/>
        </w:numPr>
      </w:pPr>
      <w:r>
        <w:t xml:space="preserve">Mean Precipitation &lt; 450mm with low IAV interannual variability in precipitation</w:t>
      </w:r>
    </w:p>
    <w:p>
      <w:pPr>
        <w:numPr>
          <w:ilvl w:val="0"/>
          <w:numId w:val="1006"/>
        </w:numPr>
      </w:pPr>
      <w:r>
        <w:t xml:space="preserve">Forest Cover Trees per Acre &lt; 30</w:t>
      </w:r>
    </w:p>
    <w:p>
      <w:pPr>
        <w:numPr>
          <w:ilvl w:val="0"/>
          <w:numId w:val="1006"/>
        </w:numPr>
      </w:pPr>
      <w:r>
        <w:t xml:space="preserve">Elevation &lt; 900m</w:t>
      </w:r>
    </w:p>
    <w:p>
      <w:pPr>
        <w:numPr>
          <w:ilvl w:val="0"/>
          <w:numId w:val="1006"/>
        </w:numPr>
      </w:pPr>
      <w:r>
        <w:t xml:space="preserve">EVC - Excisting vegetation cover Landfire 2023: exclude values:</w:t>
      </w:r>
    </w:p>
    <w:p>
      <w:pPr>
        <w:pStyle w:val="BlockText"/>
      </w:pPr>
      <w:r>
        <w:t xml:space="preserve">-9999: No data</w:t>
      </w:r>
    </w:p>
    <w:p>
      <w:pPr>
        <w:pStyle w:val="BlockText"/>
      </w:pPr>
      <w:r>
        <w:t xml:space="preserve">11-100: Open Water, Snow/Ice, Developed all, Barren, Cultivated, Sparse vegetation</w:t>
      </w:r>
    </w:p>
    <w:p>
      <w:pPr>
        <w:pStyle w:val="BlockText"/>
      </w:pPr>
      <w:r>
        <w:t xml:space="preserve">310 + (herb cover)</w:t>
      </w:r>
    </w:p>
    <w:p>
      <w:pPr>
        <w:pStyle w:val="BlockText"/>
      </w:pPr>
      <w:r>
        <w:t xml:space="preserve">Existing vegetation cover Tree Cover &lt; 30% 110 - 129</w:t>
      </w:r>
    </w:p>
    <w:p>
      <w:pPr>
        <w:pStyle w:val="BlockText"/>
      </w:pPr>
      <w:r>
        <w:t xml:space="preserve">Existing Vegetation Cover Shrub Cover &lt; 30% 210 - 230</w:t>
      </w:r>
    </w:p>
    <w:p>
      <w:pPr>
        <w:pStyle w:val="Compact"/>
        <w:numPr>
          <w:ilvl w:val="0"/>
          <w:numId w:val="1007"/>
        </w:numPr>
      </w:pPr>
      <w:r>
        <w:t xml:space="preserve">VCC - Vegetation Condition Class from Land Fire 2022</w:t>
      </w:r>
    </w:p>
    <w:p>
      <w:pPr>
        <w:pStyle w:val="FirstParagraph"/>
      </w:pPr>
      <w:r>
        <w:t xml:space="preserve">Vegetation Condition Class (VCC) represents a simple categorization of the associated Vegetation Departure (VDep) and is a derivative of the VDep layer. It indicates the general level to which current vegetation is different from the estimated modeled vegetation based on past reference conditions. VDep and VCC are based upon methods originally described in the Interagency Fire Regime Condition Class Guidebook, but are not identical to those methods and should not be considered as a replacement data set. Full descriptions of the methods used can be found in the VDep product description. Note that the LANDFIRE (LF) team feels it is very important for users to review the VDep methods before comparing VDep or VCC values across LF versions.</w:t>
      </w:r>
      <w:r>
        <w:t xml:space="preserve"> </w:t>
      </w:r>
      <w:hyperlink r:id="rId35">
        <w:r>
          <w:rPr>
            <w:rStyle w:val="Hyperlink"/>
          </w:rPr>
          <w:t xml:space="preserve">info</w:t>
        </w:r>
      </w:hyperlink>
      <w:r>
        <w:t xml:space="preserve"> </w:t>
      </w:r>
      <w:hyperlink r:id="rId36">
        <w:r>
          <w:rPr>
            <w:rStyle w:val="Hyperlink"/>
          </w:rPr>
          <w:t xml:space="preserve">PDF</w:t>
        </w:r>
      </w:hyperlink>
    </w:p>
    <w:p>
      <w:pPr>
        <w:pStyle w:val="BodyText"/>
      </w:pPr>
      <w:r>
        <w:rPr>
          <w:b/>
          <w:bCs/>
        </w:rPr>
        <w:t xml:space="preserve">Reclass_LF23_VCC_1_6</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VCC Value 2022</w:t>
            </w:r>
          </w:p>
        </w:tc>
        <w:tc>
          <w:tcPr/>
          <w:p>
            <w:pPr>
              <w:pStyle w:val="Compact"/>
              <w:jc w:val="left"/>
            </w:pPr>
            <w:r>
              <w:t xml:space="preserve">New Class</w:t>
            </w:r>
          </w:p>
        </w:tc>
      </w:tr>
      <w:tr>
        <w:tc>
          <w:tcPr/>
          <w:p>
            <w:pPr>
              <w:pStyle w:val="Compact"/>
              <w:jc w:val="left"/>
            </w:pPr>
            <w:r>
              <w:t xml:space="preserve">Fill-NoData</w:t>
            </w:r>
          </w:p>
        </w:tc>
        <w:tc>
          <w:tcPr/>
          <w:p>
            <w:pPr>
              <w:pStyle w:val="Compact"/>
              <w:jc w:val="left"/>
            </w:pPr>
            <w:r>
              <w:t xml:space="preserve">NODATA</w:t>
            </w:r>
          </w:p>
        </w:tc>
      </w:tr>
      <w:tr>
        <w:tc>
          <w:tcPr/>
          <w:p>
            <w:pPr>
              <w:pStyle w:val="Compact"/>
              <w:jc w:val="left"/>
            </w:pPr>
            <w:r>
              <w:t xml:space="preserve">Fill-Not Mapped</w:t>
            </w:r>
          </w:p>
        </w:tc>
        <w:tc>
          <w:tcPr/>
          <w:p>
            <w:pPr>
              <w:pStyle w:val="Compact"/>
              <w:jc w:val="left"/>
            </w:pPr>
            <w:r>
              <w:t xml:space="preserve">NODATA</w:t>
            </w:r>
          </w:p>
        </w:tc>
      </w:tr>
      <w:tr>
        <w:tc>
          <w:tcPr/>
          <w:p>
            <w:pPr>
              <w:pStyle w:val="Compact"/>
              <w:jc w:val="left"/>
            </w:pPr>
            <w:r>
              <w:t xml:space="preserve">Veg Condition Class I, A</w:t>
            </w:r>
          </w:p>
        </w:tc>
        <w:tc>
          <w:tcPr/>
          <w:p>
            <w:pPr>
              <w:pStyle w:val="Compact"/>
              <w:jc w:val="left"/>
            </w:pPr>
            <w:r>
              <w:t xml:space="preserve">1</w:t>
            </w:r>
          </w:p>
        </w:tc>
      </w:tr>
      <w:tr>
        <w:tc>
          <w:tcPr/>
          <w:p>
            <w:pPr>
              <w:pStyle w:val="Compact"/>
              <w:jc w:val="left"/>
            </w:pPr>
            <w:r>
              <w:t xml:space="preserve">Vegetation Condition Class I, B</w:t>
            </w:r>
          </w:p>
        </w:tc>
        <w:tc>
          <w:tcPr/>
          <w:p>
            <w:pPr>
              <w:pStyle w:val="Compact"/>
              <w:jc w:val="left"/>
            </w:pPr>
            <w:r>
              <w:t xml:space="preserve">2</w:t>
            </w:r>
          </w:p>
        </w:tc>
      </w:tr>
      <w:tr>
        <w:tc>
          <w:tcPr/>
          <w:p>
            <w:pPr>
              <w:pStyle w:val="Compact"/>
              <w:jc w:val="left"/>
            </w:pPr>
            <w:r>
              <w:t xml:space="preserve">Vegetation Condition Class II, A</w:t>
            </w:r>
          </w:p>
        </w:tc>
        <w:tc>
          <w:tcPr/>
          <w:p>
            <w:pPr>
              <w:pStyle w:val="Compact"/>
              <w:jc w:val="left"/>
            </w:pPr>
            <w:r>
              <w:t xml:space="preserve">3</w:t>
            </w:r>
          </w:p>
        </w:tc>
      </w:tr>
      <w:tr>
        <w:tc>
          <w:tcPr/>
          <w:p>
            <w:pPr>
              <w:pStyle w:val="Compact"/>
              <w:jc w:val="left"/>
            </w:pPr>
            <w:r>
              <w:t xml:space="preserve">Vegetation Condition Class II, B</w:t>
            </w:r>
          </w:p>
        </w:tc>
        <w:tc>
          <w:tcPr/>
          <w:p>
            <w:pPr>
              <w:pStyle w:val="Compact"/>
              <w:jc w:val="left"/>
            </w:pPr>
            <w:r>
              <w:t xml:space="preserve">4</w:t>
            </w:r>
          </w:p>
        </w:tc>
      </w:tr>
      <w:tr>
        <w:tc>
          <w:tcPr/>
          <w:p>
            <w:pPr>
              <w:pStyle w:val="Compact"/>
              <w:jc w:val="left"/>
            </w:pPr>
            <w:r>
              <w:t xml:space="preserve">Vegetation Condition Class III, A</w:t>
            </w:r>
          </w:p>
        </w:tc>
        <w:tc>
          <w:tcPr/>
          <w:p>
            <w:pPr>
              <w:pStyle w:val="Compact"/>
              <w:jc w:val="left"/>
            </w:pPr>
            <w:r>
              <w:t xml:space="preserve">5</w:t>
            </w:r>
          </w:p>
        </w:tc>
      </w:tr>
      <w:tr>
        <w:tc>
          <w:tcPr/>
          <w:p>
            <w:pPr>
              <w:pStyle w:val="Compact"/>
              <w:jc w:val="left"/>
            </w:pPr>
            <w:r>
              <w:t xml:space="preserve">Vegetation Condition Class III, B</w:t>
            </w:r>
          </w:p>
        </w:tc>
        <w:tc>
          <w:tcPr/>
          <w:p>
            <w:pPr>
              <w:pStyle w:val="Compact"/>
              <w:jc w:val="left"/>
            </w:pPr>
            <w:r>
              <w:t xml:space="preserve">6</w:t>
            </w:r>
          </w:p>
        </w:tc>
      </w:tr>
      <w:tr>
        <w:tc>
          <w:tcPr/>
          <w:p>
            <w:pPr>
              <w:pStyle w:val="Compact"/>
              <w:jc w:val="left"/>
            </w:pPr>
            <w:r>
              <w:t xml:space="preserve">Water</w:t>
            </w:r>
          </w:p>
        </w:tc>
        <w:tc>
          <w:tcPr/>
          <w:p>
            <w:pPr>
              <w:pStyle w:val="Compact"/>
              <w:jc w:val="left"/>
            </w:pPr>
            <w:r>
              <w:t xml:space="preserve">NODATA</w:t>
            </w:r>
          </w:p>
        </w:tc>
      </w:tr>
      <w:tr>
        <w:tc>
          <w:tcPr/>
          <w:p>
            <w:pPr>
              <w:pStyle w:val="Compact"/>
              <w:jc w:val="left"/>
            </w:pPr>
            <w:r>
              <w:t xml:space="preserve">Developed</w:t>
            </w:r>
          </w:p>
        </w:tc>
        <w:tc>
          <w:tcPr/>
          <w:p>
            <w:pPr>
              <w:pStyle w:val="Compact"/>
              <w:jc w:val="left"/>
            </w:pPr>
            <w:r>
              <w:t xml:space="preserve">NODATA</w:t>
            </w:r>
          </w:p>
        </w:tc>
      </w:tr>
      <w:tr>
        <w:tc>
          <w:tcPr/>
          <w:p>
            <w:pPr>
              <w:pStyle w:val="Compact"/>
              <w:jc w:val="left"/>
            </w:pPr>
            <w:r>
              <w:t xml:space="preserve">Barren or Sparse</w:t>
            </w:r>
          </w:p>
        </w:tc>
        <w:tc>
          <w:tcPr/>
          <w:p>
            <w:pPr>
              <w:pStyle w:val="Compact"/>
              <w:jc w:val="left"/>
            </w:pPr>
            <w:r>
              <w:t xml:space="preserve">NODATA</w:t>
            </w:r>
          </w:p>
        </w:tc>
      </w:tr>
      <w:tr>
        <w:tc>
          <w:tcPr/>
          <w:p>
            <w:pPr>
              <w:pStyle w:val="Compact"/>
              <w:jc w:val="left"/>
            </w:pPr>
            <w:r>
              <w:t xml:space="preserve">Agriculture</w:t>
            </w:r>
          </w:p>
        </w:tc>
        <w:tc>
          <w:tcPr/>
          <w:p>
            <w:pPr>
              <w:pStyle w:val="Compact"/>
              <w:jc w:val="left"/>
            </w:pPr>
            <w:r>
              <w:t xml:space="preserve">NODATA</w:t>
            </w:r>
          </w:p>
        </w:tc>
      </w:tr>
      <w:tr>
        <w:tc>
          <w:tcPr/>
          <w:p>
            <w:pPr>
              <w:pStyle w:val="Compact"/>
              <w:jc w:val="left"/>
            </w:pPr>
            <w:r>
              <w:t xml:space="preserve">NODATA</w:t>
            </w:r>
          </w:p>
        </w:tc>
        <w:tc>
          <w:tcPr/>
          <w:p>
            <w:pPr>
              <w:pStyle w:val="Compact"/>
              <w:jc w:val="left"/>
            </w:pPr>
            <w:r>
              <w:t xml:space="preserve">NODATA</w:t>
            </w:r>
          </w:p>
        </w:tc>
      </w:tr>
    </w:tbl>
    <w:p>
      <w:pPr>
        <w:pStyle w:val="BodyText"/>
      </w:pPr>
      <w:r>
        <w:t xml:space="preserve">Higher numbers indicate departure from historical conditions, and indicate a need for forest restoration (CITATION NEEDED)</w:t>
      </w:r>
    </w:p>
    <w:bookmarkEnd w:id="37"/>
    <w:bookmarkStart w:id="38" w:name="suitability-criteria"/>
    <w:p>
      <w:pPr>
        <w:pStyle w:val="Heading4"/>
      </w:pPr>
      <w:r>
        <w:t xml:space="preserve">2.2.2</w:t>
      </w:r>
      <w:r>
        <w:t xml:space="preserve"> </w:t>
      </w:r>
      <w:r>
        <w:rPr>
          <w:b/>
          <w:bCs/>
        </w:rPr>
        <w:t xml:space="preserve">Suitability Criteria</w:t>
      </w:r>
    </w:p>
    <w:p>
      <w:pPr>
        <w:pStyle w:val="FirstParagraph"/>
      </w:pPr>
      <w:r>
        <w:rPr>
          <w:b/>
          <w:bCs/>
        </w:rPr>
        <w:t xml:space="preserve">Aspect</w:t>
      </w:r>
    </w:p>
    <w:p>
      <w:pPr>
        <w:pStyle w:val="BlockText"/>
      </w:pPr>
      <w:r>
        <w:t xml:space="preserve">Closer to 0 or 360 is desired</w:t>
      </w:r>
    </w:p>
    <w:p>
      <w:pPr>
        <w:pStyle w:val="FirstParagraph"/>
      </w:pPr>
      <w:r>
        <w:rPr>
          <w:b/>
          <w:bCs/>
        </w:rPr>
        <w:t xml:space="preserve">Elevation</w:t>
      </w:r>
    </w:p>
    <w:p>
      <w:pPr>
        <w:pStyle w:val="BlockText"/>
      </w:pPr>
      <w:r>
        <w:t xml:space="preserve">higher elevation is better</w:t>
      </w:r>
    </w:p>
    <w:p>
      <w:pPr>
        <w:pStyle w:val="FirstParagraph"/>
      </w:pPr>
      <w:r>
        <w:rPr>
          <w:b/>
          <w:bCs/>
        </w:rPr>
        <w:t xml:space="preserve">Vegetation Characteristics</w:t>
      </w:r>
    </w:p>
    <w:p>
      <w:pPr>
        <w:pStyle w:val="BodyText"/>
      </w:pPr>
      <w:r>
        <w:t xml:space="preserve">Landfire 2022 VCC Higher is better 67-100 preferred</w:t>
      </w:r>
      <w:r>
        <w:t xml:space="preserve"> </w:t>
      </w:r>
      <w:r>
        <w:t xml:space="preserve">Class II &amp; III; A &amp; B</w:t>
      </w:r>
    </w:p>
    <w:p>
      <w:pPr>
        <w:pStyle w:val="BodyText"/>
      </w:pPr>
      <w:r>
        <w:t xml:space="preserve">Landfire EVC tree cover higher is better</w:t>
      </w:r>
    </w:p>
    <w:p>
      <w:pPr>
        <w:pStyle w:val="BodyText"/>
      </w:pPr>
      <w:r>
        <w:t xml:space="preserve">Precipitation Higher is better</w:t>
      </w:r>
    </w:p>
    <w:p>
      <w:pPr>
        <w:pStyle w:val="BodyText"/>
      </w:pPr>
      <w:r>
        <w:t xml:space="preserve">Wildfire Hazard POtential V2023 Higher is better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8"/>
    <w:bookmarkEnd w:id="39"/>
    <w:bookmarkEnd w:id="40"/>
    <w:bookmarkStart w:id="41" w:name="conclusion"/>
    <w:p>
      <w:pPr>
        <w:pStyle w:val="Heading2"/>
      </w:pPr>
      <w:r>
        <w:t xml:space="preserve">3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1"/>
    <w:bookmarkStart w:id="105"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04" w:name="refs"/>
    <w:bookmarkStart w:id="43"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42">
        <w:r>
          <w:rPr>
            <w:rStyle w:val="Hyperlink"/>
          </w:rPr>
          <w:t xml:space="preserve">https://doi.org/10.1002/eco.233</w:t>
        </w:r>
      </w:hyperlink>
      <w:r>
        <w:t xml:space="preserve">.</w:t>
      </w:r>
    </w:p>
    <w:bookmarkEnd w:id="43"/>
    <w:bookmarkStart w:id="45"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44">
        <w:r>
          <w:rPr>
            <w:rStyle w:val="Hyperlink"/>
          </w:rPr>
          <w:t xml:space="preserve">https://doi.org/10.3390/rs13051036</w:t>
        </w:r>
      </w:hyperlink>
      <w:r>
        <w:t xml:space="preserve">.</w:t>
      </w:r>
    </w:p>
    <w:bookmarkEnd w:id="45"/>
    <w:bookmarkStart w:id="47"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46">
        <w:r>
          <w:rPr>
            <w:rStyle w:val="Hyperlink"/>
          </w:rPr>
          <w:t xml:space="preserve">https://doi.org/10.1002/eco.2406</w:t>
        </w:r>
      </w:hyperlink>
      <w:r>
        <w:t xml:space="preserve">.</w:t>
      </w:r>
    </w:p>
    <w:bookmarkEnd w:id="47"/>
    <w:bookmarkStart w:id="49"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48">
        <w:r>
          <w:rPr>
            <w:rStyle w:val="Hyperlink"/>
          </w:rPr>
          <w:t xml:space="preserve">https://doi.org/10.3390/w13070978</w:t>
        </w:r>
      </w:hyperlink>
      <w:r>
        <w:t xml:space="preserve">.</w:t>
      </w:r>
    </w:p>
    <w:bookmarkEnd w:id="49"/>
    <w:bookmarkStart w:id="51"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50">
        <w:r>
          <w:rPr>
            <w:rStyle w:val="Hyperlink"/>
          </w:rPr>
          <w:t xml:space="preserve">https://doi.org/10.1088/1748-9326/aa6f94</w:t>
        </w:r>
      </w:hyperlink>
      <w:r>
        <w:t xml:space="preserve">.</w:t>
      </w:r>
    </w:p>
    <w:bookmarkEnd w:id="51"/>
    <w:bookmarkStart w:id="53"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52">
        <w:r>
          <w:rPr>
            <w:rStyle w:val="Hyperlink"/>
          </w:rPr>
          <w:t xml:space="preserve">https://doi.org/10.1029/2021WR030687</w:t>
        </w:r>
      </w:hyperlink>
      <w:r>
        <w:t xml:space="preserve">.</w:t>
      </w:r>
    </w:p>
    <w:bookmarkEnd w:id="53"/>
    <w:bookmarkStart w:id="55" w:name="ref-biederman_recent_2015"/>
    <w:p>
      <w:pPr>
        <w:pStyle w:val="Bibliography"/>
      </w:pPr>
      <w:r>
        <w:t xml:space="preserve">Biederman, Joel A., Andrew J. Somor, Adrian A. Harpold, Ethan D. Gutmann, David D. Breshears, Peter A. Troch, David J. Gochis, Russell L. Scott, Arjan J. H. Meddens, and Paul D. Brooks. 2015.</w:t>
      </w:r>
      <w:r>
        <w:t xml:space="preserve"> </w:t>
      </w:r>
      <w:r>
        <w:t xml:space="preserve">“Recent Tree Die‐off Has Little Effect on Streamflow in Contrast to Expected Increases from Historical Studies.”</w:t>
      </w:r>
      <w:r>
        <w:t xml:space="preserve"> </w:t>
      </w:r>
      <w:r>
        <w:rPr>
          <w:i/>
          <w:iCs/>
        </w:rPr>
        <w:t xml:space="preserve">Water Resources Research</w:t>
      </w:r>
      <w:r>
        <w:t xml:space="preserve"> </w:t>
      </w:r>
      <w:r>
        <w:t xml:space="preserve">51 (12): 9775–89.</w:t>
      </w:r>
      <w:r>
        <w:t xml:space="preserve"> </w:t>
      </w:r>
      <w:hyperlink r:id="rId54">
        <w:r>
          <w:rPr>
            <w:rStyle w:val="Hyperlink"/>
          </w:rPr>
          <w:t xml:space="preserve">https://doi.org/10.1002/2015WR017401</w:t>
        </w:r>
      </w:hyperlink>
      <w:r>
        <w:t xml:space="preserve">.</w:t>
      </w:r>
    </w:p>
    <w:bookmarkEnd w:id="55"/>
    <w:bookmarkStart w:id="57"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56">
        <w:r>
          <w:rPr>
            <w:rStyle w:val="Hyperlink"/>
          </w:rPr>
          <w:t xml:space="preserve">https://doi.org/10.1016/0022-1694(82)90117-2</w:t>
        </w:r>
      </w:hyperlink>
      <w:r>
        <w:t xml:space="preserve">.</w:t>
      </w:r>
    </w:p>
    <w:bookmarkEnd w:id="57"/>
    <w:bookmarkStart w:id="59"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58">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59"/>
    <w:bookmarkStart w:id="61"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60">
        <w:r>
          <w:rPr>
            <w:rStyle w:val="Hyperlink"/>
          </w:rPr>
          <w:t xml:space="preserve">https://doi.org/10.1111/1752-1688.13147</w:t>
        </w:r>
      </w:hyperlink>
      <w:r>
        <w:t xml:space="preserve">.</w:t>
      </w:r>
    </w:p>
    <w:bookmarkEnd w:id="61"/>
    <w:bookmarkStart w:id="63"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62">
        <w:r>
          <w:rPr>
            <w:rStyle w:val="Hyperlink"/>
          </w:rPr>
          <w:t xml:space="preserve">https://doi.org/10.1002/eco.1792</w:t>
        </w:r>
      </w:hyperlink>
      <w:r>
        <w:t xml:space="preserve">.</w:t>
      </w:r>
    </w:p>
    <w:bookmarkEnd w:id="63"/>
    <w:bookmarkStart w:id="65"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64">
        <w:r>
          <w:rPr>
            <w:rStyle w:val="Hyperlink"/>
          </w:rPr>
          <w:t xml:space="preserve">https://doi.org/10.1073/pnas.1815107116</w:t>
        </w:r>
      </w:hyperlink>
      <w:r>
        <w:t xml:space="preserve">.</w:t>
      </w:r>
    </w:p>
    <w:bookmarkEnd w:id="65"/>
    <w:bookmarkStart w:id="67"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66">
        <w:r>
          <w:rPr>
            <w:rStyle w:val="Hyperlink"/>
          </w:rPr>
          <w:t xml:space="preserve">https://doi.org/10.1016/j.foreco.2019.02.020</w:t>
        </w:r>
      </w:hyperlink>
      <w:r>
        <w:t xml:space="preserve">.</w:t>
      </w:r>
    </w:p>
    <w:bookmarkEnd w:id="67"/>
    <w:bookmarkStart w:id="69"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68">
        <w:r>
          <w:rPr>
            <w:rStyle w:val="Hyperlink"/>
          </w:rPr>
          <w:t xml:space="preserve">https://doi.org/10.1016/j.foreco.2022.120324</w:t>
        </w:r>
      </w:hyperlink>
      <w:r>
        <w:t xml:space="preserve">.</w:t>
      </w:r>
    </w:p>
    <w:bookmarkEnd w:id="69"/>
    <w:bookmarkStart w:id="71"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70">
        <w:r>
          <w:rPr>
            <w:rStyle w:val="Hyperlink"/>
          </w:rPr>
          <w:t xml:space="preserve">https://doi.org/10.1016/j.srs.2021.100029</w:t>
        </w:r>
      </w:hyperlink>
      <w:r>
        <w:t xml:space="preserve">.</w:t>
      </w:r>
    </w:p>
    <w:bookmarkEnd w:id="71"/>
    <w:bookmarkStart w:id="73"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72">
        <w:r>
          <w:rPr>
            <w:rStyle w:val="Hyperlink"/>
          </w:rPr>
          <w:t xml:space="preserve">https://doi.org/10.3389/frwa.2024.1374961</w:t>
        </w:r>
      </w:hyperlink>
      <w:r>
        <w:t xml:space="preserve">.</w:t>
      </w:r>
    </w:p>
    <w:bookmarkEnd w:id="73"/>
    <w:bookmarkStart w:id="75"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74">
        <w:r>
          <w:rPr>
            <w:rStyle w:val="Hyperlink"/>
          </w:rPr>
          <w:t xml:space="preserve">https://doi.org/10.1093/jofore/fvz069</w:t>
        </w:r>
      </w:hyperlink>
      <w:r>
        <w:t xml:space="preserve">.</w:t>
      </w:r>
    </w:p>
    <w:bookmarkEnd w:id="75"/>
    <w:bookmarkStart w:id="77"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76">
        <w:r>
          <w:rPr>
            <w:rStyle w:val="Hyperlink"/>
          </w:rPr>
          <w:t xml:space="preserve">https://doi.org/10.1029/2024GL109826</w:t>
        </w:r>
      </w:hyperlink>
      <w:r>
        <w:t xml:space="preserve">.</w:t>
      </w:r>
    </w:p>
    <w:bookmarkEnd w:id="77"/>
    <w:bookmarkStart w:id="79"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78">
        <w:r>
          <w:rPr>
            <w:rStyle w:val="Hyperlink"/>
          </w:rPr>
          <w:t xml:space="preserve">https://doi.org/10.1002/eco.2580</w:t>
        </w:r>
      </w:hyperlink>
      <w:r>
        <w:t xml:space="preserve">.</w:t>
      </w:r>
    </w:p>
    <w:bookmarkEnd w:id="79"/>
    <w:bookmarkStart w:id="81"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80">
        <w:r>
          <w:rPr>
            <w:rStyle w:val="Hyperlink"/>
          </w:rPr>
          <w:t xml:space="preserve">https://doi.org/10.1175/BAMS-D-23-0191.1</w:t>
        </w:r>
      </w:hyperlink>
      <w:r>
        <w:t xml:space="preserve">.</w:t>
      </w:r>
    </w:p>
    <w:bookmarkEnd w:id="81"/>
    <w:bookmarkStart w:id="83"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82">
        <w:r>
          <w:rPr>
            <w:rStyle w:val="Hyperlink"/>
          </w:rPr>
          <w:t xml:space="preserve">https://doi.org/10.1111/1752-1688.12989</w:t>
        </w:r>
      </w:hyperlink>
      <w:r>
        <w:t xml:space="preserve">.</w:t>
      </w:r>
    </w:p>
    <w:bookmarkEnd w:id="83"/>
    <w:bookmarkStart w:id="85"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84">
        <w:r>
          <w:rPr>
            <w:rStyle w:val="Hyperlink"/>
          </w:rPr>
          <w:t xml:space="preserve">https://doi.org/10.1111/j.1752-1688.2005.tb04463.x</w:t>
        </w:r>
      </w:hyperlink>
      <w:r>
        <w:t xml:space="preserve">.</w:t>
      </w:r>
    </w:p>
    <w:bookmarkEnd w:id="85"/>
    <w:bookmarkStart w:id="87"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86">
        <w:r>
          <w:rPr>
            <w:rStyle w:val="Hyperlink"/>
          </w:rPr>
          <w:t xml:space="preserve">https://doi.org/10.1002/hyp.14432</w:t>
        </w:r>
      </w:hyperlink>
      <w:r>
        <w:t xml:space="preserve">.</w:t>
      </w:r>
    </w:p>
    <w:bookmarkEnd w:id="87"/>
    <w:bookmarkStart w:id="89"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88">
        <w:r>
          <w:rPr>
            <w:rStyle w:val="Hyperlink"/>
          </w:rPr>
          <w:t xml:space="preserve">https://doi.org/10.1002/rse2.186</w:t>
        </w:r>
      </w:hyperlink>
      <w:r>
        <w:t xml:space="preserve">.</w:t>
      </w:r>
    </w:p>
    <w:bookmarkEnd w:id="89"/>
    <w:bookmarkStart w:id="91"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90">
        <w:r>
          <w:rPr>
            <w:rStyle w:val="Hyperlink"/>
          </w:rPr>
          <w:t xml:space="preserve">https://doi.org/10.1038/s41598-022-12982-z</w:t>
        </w:r>
      </w:hyperlink>
      <w:r>
        <w:t xml:space="preserve">.</w:t>
      </w:r>
    </w:p>
    <w:bookmarkEnd w:id="91"/>
    <w:bookmarkStart w:id="93"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92">
        <w:r>
          <w:rPr>
            <w:rStyle w:val="Hyperlink"/>
          </w:rPr>
          <w:t xml:space="preserve">https://doi.org/10.1016/j.ecoleng.2019.105701</w:t>
        </w:r>
      </w:hyperlink>
      <w:r>
        <w:t xml:space="preserve">.</w:t>
      </w:r>
    </w:p>
    <w:bookmarkEnd w:id="93"/>
    <w:bookmarkStart w:id="95"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94">
        <w:r>
          <w:rPr>
            <w:rStyle w:val="Hyperlink"/>
          </w:rPr>
          <w:t xml:space="preserve">https://doi.org/10.22230/jem.2009v10n1a409</w:t>
        </w:r>
      </w:hyperlink>
      <w:r>
        <w:t xml:space="preserve">.</w:t>
      </w:r>
    </w:p>
    <w:bookmarkEnd w:id="95"/>
    <w:bookmarkStart w:id="97"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96">
        <w:r>
          <w:rPr>
            <w:rStyle w:val="Hyperlink"/>
          </w:rPr>
          <w:t xml:space="preserve">https://doi.org/10.1002/2016WR019638</w:t>
        </w:r>
      </w:hyperlink>
      <w:r>
        <w:t xml:space="preserve">.</w:t>
      </w:r>
    </w:p>
    <w:bookmarkEnd w:id="97"/>
    <w:bookmarkStart w:id="99"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98">
        <w:r>
          <w:rPr>
            <w:rStyle w:val="Hyperlink"/>
          </w:rPr>
          <w:t xml:space="preserve">https://doi.org/10.1038/s41558-022-01290-z</w:t>
        </w:r>
      </w:hyperlink>
      <w:r>
        <w:t xml:space="preserve">.</w:t>
      </w:r>
    </w:p>
    <w:bookmarkEnd w:id="99"/>
    <w:bookmarkStart w:id="101"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00">
        <w:r>
          <w:rPr>
            <w:rStyle w:val="Hyperlink"/>
          </w:rPr>
          <w:t xml:space="preserve">https://cdm17192.contentdm.oclc.org/digital/collection/p17192coll1/id/476/rec/3</w:t>
        </w:r>
      </w:hyperlink>
      <w:r>
        <w:t xml:space="preserve">.</w:t>
      </w:r>
    </w:p>
    <w:bookmarkEnd w:id="101"/>
    <w:bookmarkStart w:id="103"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02">
        <w:r>
          <w:rPr>
            <w:rStyle w:val="Hyperlink"/>
          </w:rPr>
          <w:t xml:space="preserve">https://doi.org/10.1016/j.foreco.2009.08.005</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hen%20et%20al.,%202005;%20Bennett%20et%20al.,%202018" TargetMode="External" /><Relationship Type="http://schemas.openxmlformats.org/officeDocument/2006/relationships/hyperlink" Id="rId36"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00" Target="https://cdm17192.contentdm.oclc.org/digital/collection/p17192coll1/id/476/rec/3" TargetMode="External" /><Relationship Type="http://schemas.openxmlformats.org/officeDocument/2006/relationships/hyperlink" Id="rId54" Target="https://doi.org/10.1002/2015WR017401" TargetMode="External" /><Relationship Type="http://schemas.openxmlformats.org/officeDocument/2006/relationships/hyperlink" Id="rId96" Target="https://doi.org/10.1002/2016WR019638" TargetMode="External" /><Relationship Type="http://schemas.openxmlformats.org/officeDocument/2006/relationships/hyperlink" Id="rId62" Target="https://doi.org/10.1002/eco.1792" TargetMode="External" /><Relationship Type="http://schemas.openxmlformats.org/officeDocument/2006/relationships/hyperlink" Id="rId42" Target="https://doi.org/10.1002/eco.233" TargetMode="External" /><Relationship Type="http://schemas.openxmlformats.org/officeDocument/2006/relationships/hyperlink" Id="rId46" Target="https://doi.org/10.1002/eco.2406" TargetMode="External" /><Relationship Type="http://schemas.openxmlformats.org/officeDocument/2006/relationships/hyperlink" Id="rId78" Target="https://doi.org/10.1002/eco.2580" TargetMode="External" /><Relationship Type="http://schemas.openxmlformats.org/officeDocument/2006/relationships/hyperlink" Id="rId86" Target="https://doi.org/10.1002/hyp.14432" TargetMode="External" /><Relationship Type="http://schemas.openxmlformats.org/officeDocument/2006/relationships/hyperlink" Id="rId88" Target="https://doi.org/10.1002/rse2.186" TargetMode="External" /><Relationship Type="http://schemas.openxmlformats.org/officeDocument/2006/relationships/hyperlink" Id="rId56" Target="https://doi.org/10.1016/0022-1694(82)90117-2" TargetMode="External" /><Relationship Type="http://schemas.openxmlformats.org/officeDocument/2006/relationships/hyperlink" Id="rId92" Target="https://doi.org/10.1016/j.ecoleng.2019.105701" TargetMode="External" /><Relationship Type="http://schemas.openxmlformats.org/officeDocument/2006/relationships/hyperlink" Id="rId102" Target="https://doi.org/10.1016/j.foreco.2009.08.005" TargetMode="External" /><Relationship Type="http://schemas.openxmlformats.org/officeDocument/2006/relationships/hyperlink" Id="rId66" Target="https://doi.org/10.1016/j.foreco.2019.02.020" TargetMode="External" /><Relationship Type="http://schemas.openxmlformats.org/officeDocument/2006/relationships/hyperlink" Id="rId68" Target="https://doi.org/10.1016/j.foreco.2022.120324" TargetMode="External" /><Relationship Type="http://schemas.openxmlformats.org/officeDocument/2006/relationships/hyperlink" Id="rId70" Target="https://doi.org/10.1016/j.srs.2021.100029" TargetMode="External" /><Relationship Type="http://schemas.openxmlformats.org/officeDocument/2006/relationships/hyperlink" Id="rId52" Target="https://doi.org/10.1029/2021WR030687" TargetMode="External" /><Relationship Type="http://schemas.openxmlformats.org/officeDocument/2006/relationships/hyperlink" Id="rId76" Target="https://doi.org/10.1029/2024GL109826" TargetMode="External" /><Relationship Type="http://schemas.openxmlformats.org/officeDocument/2006/relationships/hyperlink" Id="rId98" Target="https://doi.org/10.1038/s41558-022-01290-z" TargetMode="External" /><Relationship Type="http://schemas.openxmlformats.org/officeDocument/2006/relationships/hyperlink" Id="rId90" Target="https://doi.org/10.1038/s41598-022-12982-z" TargetMode="External" /><Relationship Type="http://schemas.openxmlformats.org/officeDocument/2006/relationships/hyperlink" Id="rId64" Target="https://doi.org/10.1073/pnas.1815107116" TargetMode="External" /><Relationship Type="http://schemas.openxmlformats.org/officeDocument/2006/relationships/hyperlink" Id="rId50" Target="https://doi.org/10.1088/1748-9326/aa6f94" TargetMode="External" /><Relationship Type="http://schemas.openxmlformats.org/officeDocument/2006/relationships/hyperlink" Id="rId74" Target="https://doi.org/10.1093/jofore/fvz069" TargetMode="External" /><Relationship Type="http://schemas.openxmlformats.org/officeDocument/2006/relationships/hyperlink" Id="rId82" Target="https://doi.org/10.1111/1752-1688.12989" TargetMode="External" /><Relationship Type="http://schemas.openxmlformats.org/officeDocument/2006/relationships/hyperlink" Id="rId60" Target="https://doi.org/10.1111/1752-1688.13147" TargetMode="External" /><Relationship Type="http://schemas.openxmlformats.org/officeDocument/2006/relationships/hyperlink" Id="rId84" Target="https://doi.org/10.1111/j.1752-1688.2005.tb04463.x" TargetMode="External" /><Relationship Type="http://schemas.openxmlformats.org/officeDocument/2006/relationships/hyperlink" Id="rId80" Target="https://doi.org/10.1175/BAMS-D-23-0191.1" TargetMode="External" /><Relationship Type="http://schemas.openxmlformats.org/officeDocument/2006/relationships/hyperlink" Id="rId94" Target="https://doi.org/10.22230/jem.2009v10n1a409" TargetMode="External" /><Relationship Type="http://schemas.openxmlformats.org/officeDocument/2006/relationships/hyperlink" Id="rId72" Target="https://doi.org/10.3389/frwa.2024.1374961" TargetMode="External" /><Relationship Type="http://schemas.openxmlformats.org/officeDocument/2006/relationships/hyperlink" Id="rId44" Target="https://doi.org/10.3390/rs13051036" TargetMode="External" /><Relationship Type="http://schemas.openxmlformats.org/officeDocument/2006/relationships/hyperlink" Id="rId48" Target="https://doi.org/10.3390/w13070978" TargetMode="External" /><Relationship Type="http://schemas.openxmlformats.org/officeDocument/2006/relationships/hyperlink" Id="rId35" Target="https://www.landfire.gov/vegetation/vcc" TargetMode="External" /><Relationship Type="http://schemas.openxmlformats.org/officeDocument/2006/relationships/hyperlink" Id="rId58"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4" Target="Chen%20et%20al.,%202005;%20Bennett%20et%20al.,%202018" TargetMode="External" /><Relationship Type="http://schemas.openxmlformats.org/officeDocument/2006/relationships/hyperlink" Id="rId36"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00" Target="https://cdm17192.contentdm.oclc.org/digital/collection/p17192coll1/id/476/rec/3" TargetMode="External" /><Relationship Type="http://schemas.openxmlformats.org/officeDocument/2006/relationships/hyperlink" Id="rId54" Target="https://doi.org/10.1002/2015WR017401" TargetMode="External" /><Relationship Type="http://schemas.openxmlformats.org/officeDocument/2006/relationships/hyperlink" Id="rId96" Target="https://doi.org/10.1002/2016WR019638" TargetMode="External" /><Relationship Type="http://schemas.openxmlformats.org/officeDocument/2006/relationships/hyperlink" Id="rId62" Target="https://doi.org/10.1002/eco.1792" TargetMode="External" /><Relationship Type="http://schemas.openxmlformats.org/officeDocument/2006/relationships/hyperlink" Id="rId42" Target="https://doi.org/10.1002/eco.233" TargetMode="External" /><Relationship Type="http://schemas.openxmlformats.org/officeDocument/2006/relationships/hyperlink" Id="rId46" Target="https://doi.org/10.1002/eco.2406" TargetMode="External" /><Relationship Type="http://schemas.openxmlformats.org/officeDocument/2006/relationships/hyperlink" Id="rId78" Target="https://doi.org/10.1002/eco.2580" TargetMode="External" /><Relationship Type="http://schemas.openxmlformats.org/officeDocument/2006/relationships/hyperlink" Id="rId86" Target="https://doi.org/10.1002/hyp.14432" TargetMode="External" /><Relationship Type="http://schemas.openxmlformats.org/officeDocument/2006/relationships/hyperlink" Id="rId88" Target="https://doi.org/10.1002/rse2.186" TargetMode="External" /><Relationship Type="http://schemas.openxmlformats.org/officeDocument/2006/relationships/hyperlink" Id="rId56" Target="https://doi.org/10.1016/0022-1694(82)90117-2" TargetMode="External" /><Relationship Type="http://schemas.openxmlformats.org/officeDocument/2006/relationships/hyperlink" Id="rId92" Target="https://doi.org/10.1016/j.ecoleng.2019.105701" TargetMode="External" /><Relationship Type="http://schemas.openxmlformats.org/officeDocument/2006/relationships/hyperlink" Id="rId102" Target="https://doi.org/10.1016/j.foreco.2009.08.005" TargetMode="External" /><Relationship Type="http://schemas.openxmlformats.org/officeDocument/2006/relationships/hyperlink" Id="rId66" Target="https://doi.org/10.1016/j.foreco.2019.02.020" TargetMode="External" /><Relationship Type="http://schemas.openxmlformats.org/officeDocument/2006/relationships/hyperlink" Id="rId68" Target="https://doi.org/10.1016/j.foreco.2022.120324" TargetMode="External" /><Relationship Type="http://schemas.openxmlformats.org/officeDocument/2006/relationships/hyperlink" Id="rId70" Target="https://doi.org/10.1016/j.srs.2021.100029" TargetMode="External" /><Relationship Type="http://schemas.openxmlformats.org/officeDocument/2006/relationships/hyperlink" Id="rId52" Target="https://doi.org/10.1029/2021WR030687" TargetMode="External" /><Relationship Type="http://schemas.openxmlformats.org/officeDocument/2006/relationships/hyperlink" Id="rId76" Target="https://doi.org/10.1029/2024GL109826" TargetMode="External" /><Relationship Type="http://schemas.openxmlformats.org/officeDocument/2006/relationships/hyperlink" Id="rId98" Target="https://doi.org/10.1038/s41558-022-01290-z" TargetMode="External" /><Relationship Type="http://schemas.openxmlformats.org/officeDocument/2006/relationships/hyperlink" Id="rId90" Target="https://doi.org/10.1038/s41598-022-12982-z" TargetMode="External" /><Relationship Type="http://schemas.openxmlformats.org/officeDocument/2006/relationships/hyperlink" Id="rId64" Target="https://doi.org/10.1073/pnas.1815107116" TargetMode="External" /><Relationship Type="http://schemas.openxmlformats.org/officeDocument/2006/relationships/hyperlink" Id="rId50" Target="https://doi.org/10.1088/1748-9326/aa6f94" TargetMode="External" /><Relationship Type="http://schemas.openxmlformats.org/officeDocument/2006/relationships/hyperlink" Id="rId74" Target="https://doi.org/10.1093/jofore/fvz069" TargetMode="External" /><Relationship Type="http://schemas.openxmlformats.org/officeDocument/2006/relationships/hyperlink" Id="rId82" Target="https://doi.org/10.1111/1752-1688.12989" TargetMode="External" /><Relationship Type="http://schemas.openxmlformats.org/officeDocument/2006/relationships/hyperlink" Id="rId60" Target="https://doi.org/10.1111/1752-1688.13147" TargetMode="External" /><Relationship Type="http://schemas.openxmlformats.org/officeDocument/2006/relationships/hyperlink" Id="rId84" Target="https://doi.org/10.1111/j.1752-1688.2005.tb04463.x" TargetMode="External" /><Relationship Type="http://schemas.openxmlformats.org/officeDocument/2006/relationships/hyperlink" Id="rId80" Target="https://doi.org/10.1175/BAMS-D-23-0191.1" TargetMode="External" /><Relationship Type="http://schemas.openxmlformats.org/officeDocument/2006/relationships/hyperlink" Id="rId94" Target="https://doi.org/10.22230/jem.2009v10n1a409" TargetMode="External" /><Relationship Type="http://schemas.openxmlformats.org/officeDocument/2006/relationships/hyperlink" Id="rId72" Target="https://doi.org/10.3389/frwa.2024.1374961" TargetMode="External" /><Relationship Type="http://schemas.openxmlformats.org/officeDocument/2006/relationships/hyperlink" Id="rId44" Target="https://doi.org/10.3390/rs13051036" TargetMode="External" /><Relationship Type="http://schemas.openxmlformats.org/officeDocument/2006/relationships/hyperlink" Id="rId48" Target="https://doi.org/10.3390/w13070978" TargetMode="External" /><Relationship Type="http://schemas.openxmlformats.org/officeDocument/2006/relationships/hyperlink" Id="rId35" Target="https://www.landfire.gov/vegetation/vcc" TargetMode="External" /><Relationship Type="http://schemas.openxmlformats.org/officeDocument/2006/relationships/hyperlink" Id="rId58"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suitability for thinning to reduce atmospheric losses and enhance groundwater recharge in Arizona</dc:title>
  <dc:creator>Ryan E Lima; Temuulen Tsagaan Sankey; Abraham E Springer</dc:creator>
  <cp:keywords>suitability mapping, forest thinning, water yield, groundwater recharge</cp:keywords>
  <dcterms:created xsi:type="dcterms:W3CDTF">2024-10-18T15:19:10Z</dcterms:created>
  <dcterms:modified xsi:type="dcterms:W3CDTF">2024-10-18T15:19:10Z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semi-arid forests such as Arizona, over 90% of annual precipitation may be lost to evapotranspiration. Forest structure has changed significantly post-Euro-American settlement due to various factors, including grazing, logging, and wildfire exclusion. As a result, many forests in Arizona are overstocked relative to pre-settlement conditions, increasing the risk of catastrophic wildfire. In recent years, the growing frequency and severity of drought and wildfires have resulted from warming associated with anthropogenic climate change. Landscape-scale efforts to restore forests to near historic densities are underway throughout Arizona. Mechanical thinning has increased water yield for several years following treatment in some forests. However, the response of forests to treatments is complex, site-specific, and varies with elevation, aspect, treatment level, and climatic conditions. As Arizona grapples with increasing water insecurity due to historic drought, demographic changes, and increased hydroclimatic variability, policymakers are searching for ways to bolster water supplies statewide, particularly groundwater, which has been declining across much of the state. Here, we review the literature on the effects of forest thinning on water yield throughout Arizona and map areas where mechanical treatment has the highest potential for increasing groundwater recharge.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