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Enhacement</w:t>
      </w:r>
      <w:r>
        <w:t xml:space="preserve"> </w:t>
      </w:r>
      <w:r>
        <w:t xml:space="preserve">-</w:t>
      </w:r>
      <w:r>
        <w:t xml:space="preserve"> </w:t>
      </w: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state-wide</w:t>
      </w:r>
      <w:r>
        <w:t xml:space="preserve"> </w:t>
      </w:r>
      <w:r>
        <w:t xml:space="preserve">suitability</w:t>
      </w:r>
      <w:r>
        <w:t xml:space="preserve"> </w:t>
      </w:r>
      <w:r>
        <w:t xml:space="preserve">mapping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Neha</w:t>
      </w:r>
      <w:r>
        <w:t xml:space="preserve"> </w:t>
      </w:r>
      <w:r>
        <w:t xml:space="preserve">Gupta</w:t>
      </w:r>
    </w:p>
    <w:bookmarkStart w:id="21" w:name="sec-intro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conclusions"/>
    <w:p>
      <w:pPr>
        <w:pStyle w:val="Heading2"/>
      </w:pPr>
      <w:r>
        <w:t xml:space="preserve">2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ORE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ORE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Opportunistic Recharge Enhacement - an analysis of state-wide suitability mapping in Arizona</dc:title>
  <dc:creator>Ryan E. Lima; Neha Gupta</dc:creator>
  <cp:keywords/>
  <dcterms:created xsi:type="dcterms:W3CDTF">2024-09-26T20:49:51Z</dcterms:created>
  <dcterms:modified xsi:type="dcterms:W3CDTF">2024-09-26T20:49:51Z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