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7365D"/>
          <w:sz w:val="50"/>
        </w:rPr>
        <w:t>Data Universe Parcel Mapping</w:t>
      </w:r>
    </w:p>
    <w:p>
      <w:pPr>
        <w:spacing w:after="240"/>
      </w:pPr>
      <w:r>
        <w:rPr>
          <w:color w:val="596779"/>
          <w:sz w:val="24"/>
        </w:rPr>
        <w:t>User guide for data_universe_prop_id_candidates and data_universe_master_map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660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Database</w:t>
            </w:r>
          </w:p>
        </w:tc>
        <w:tc>
          <w:tcPr>
            <w:tcW w:type="dxa" w:w="66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banner17_master</w:t>
            </w:r>
          </w:p>
        </w:tc>
      </w:tr>
      <w:tr>
        <w:tc>
          <w:tcPr>
            <w:tcW w:type="dxa" w:w="27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Schema</w:t>
            </w:r>
          </w:p>
        </w:tc>
        <w:tc>
          <w:tcPr>
            <w:tcW w:type="dxa" w:w="666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propdb_staging</w:t>
            </w:r>
          </w:p>
        </w:tc>
      </w:tr>
      <w:tr>
        <w:tc>
          <w:tcPr>
            <w:tcW w:type="dxa" w:w="27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Rule version</w:t>
            </w:r>
          </w:p>
        </w:tc>
        <w:tc>
          <w:tcPr>
            <w:tcW w:type="dxa" w:w="66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Four-step rule, June 2026 inclusive</w:t>
            </w:r>
          </w:p>
        </w:tc>
      </w:tr>
      <w:tr>
        <w:tc>
          <w:tcPr>
            <w:tcW w:type="dxa" w:w="27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Companion dictionary</w:t>
            </w:r>
          </w:p>
        </w:tc>
        <w:tc>
          <w:tcPr>
            <w:tcW w:type="dxa" w:w="666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data_universe_mapping_data_dictionary_v2.xlsx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c>
          <w:tcPr>
            <w:tcW w:type="dxa" w:w="9360"/>
            <w:shd w:fill="FFF2C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>Primary definition</w:t>
            </w:r>
          </w:p>
          <w:p>
            <w:pPr>
              <w:spacing w:after="0" w:line="276" w:lineRule="auto"/>
            </w:pPr>
            <w:r>
              <w:t>primary_prop_id is the preferred identifier for this project's downstream mapping. It is selected only by the ordered rules in this document; it is not a legal declaration that another NSW parcel ID has expired.</w:t>
            </w:r>
          </w:p>
        </w:tc>
      </w:tr>
    </w:tbl>
    <w:p>
      <w:pPr>
        <w:spacing w:after="40"/>
      </w:pPr>
    </w:p>
    <w:p>
      <w:pPr>
        <w:pStyle w:val="Heading1"/>
      </w:pPr>
      <w:r>
        <w:t>1. Purpose and objects</w:t>
      </w:r>
    </w:p>
    <w:p>
      <w:r>
        <w:t>The mapping layer resolves multiple prop_ids that share a parcel-level address while retaining evidence and routing ambiguous cases to review.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3600"/>
        <w:gridCol w:w="1500"/>
        <w:gridCol w:w="4260"/>
      </w:tblGrid>
      <w:tr>
        <w:trPr>
          <w:tblHeader w:val="true"/>
        </w:trPr>
        <w:tc>
          <w:tcPr>
            <w:tcW w:type="dxa" w:w="360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Object</w:t>
            </w:r>
          </w:p>
        </w:tc>
        <w:tc>
          <w:tcPr>
            <w:tcW w:type="dxa" w:w="150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Rows</w:t>
            </w:r>
          </w:p>
        </w:tc>
        <w:tc>
          <w:tcPr>
            <w:tcW w:type="dxa" w:w="42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6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data_universe_prop_id_candidates</w:t>
            </w:r>
          </w:p>
        </w:tc>
        <w:tc>
          <w:tcPr>
            <w:tcW w:type="dxa" w:w="15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3,848,493</w:t>
            </w:r>
          </w:p>
        </w:tc>
        <w:tc>
          <w:tcPr>
            <w:tcW w:type="dxa" w:w="42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Source evidence and one non-unit parcel-address candidate per prop_id</w:t>
            </w:r>
          </w:p>
        </w:tc>
      </w:tr>
      <w:tr>
        <w:tc>
          <w:tcPr>
            <w:tcW w:type="dxa" w:w="36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data_universe_master_map</w:t>
            </w:r>
          </w:p>
        </w:tc>
        <w:tc>
          <w:tcPr>
            <w:tcW w:type="dxa" w:w="15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3,848,493</w:t>
            </w:r>
          </w:p>
        </w:tc>
        <w:tc>
          <w:tcPr>
            <w:tcW w:type="dxa" w:w="426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Four-step primary decision per prop_id</w:t>
            </w:r>
          </w:p>
        </w:tc>
      </w:tr>
      <w:tr>
        <w:tc>
          <w:tcPr>
            <w:tcW w:type="dxa" w:w="36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data_universe_mapping_review</w:t>
            </w:r>
          </w:p>
        </w:tc>
        <w:tc>
          <w:tcPr>
            <w:tcW w:type="dxa" w:w="15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1,058,930</w:t>
            </w:r>
          </w:p>
        </w:tc>
        <w:tc>
          <w:tcPr>
            <w:tcW w:type="dxa" w:w="42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Every row where primary_prop_id is null</w:t>
            </w:r>
          </w:p>
        </w:tc>
      </w:tr>
    </w:tbl>
    <w:p>
      <w:pPr>
        <w:spacing w:after="40"/>
      </w:pPr>
    </w:p>
    <w:p>
      <w:pPr>
        <w:pStyle w:val="Heading1"/>
      </w:pPr>
      <w:r>
        <w:t>2. Unit-address handling</w:t>
      </w:r>
    </w:p>
    <w:p>
      <w:r>
        <w:t>Each source address with a leading slash-style unit prefix is excluded before parcel-address grouping. The unit number is not simply removed and treated as a parcel address.</w:t>
      </w:r>
    </w:p>
    <w:p>
      <w:pPr>
        <w:pStyle w:val="ListBullet"/>
        <w:spacing w:after="80"/>
        <w:ind w:left="540" w:hanging="271"/>
      </w:pPr>
      <w:r>
        <w:t>A prop_id can still participate when another source provides a genuine non-unit address.</w:t>
      </w:r>
    </w:p>
    <w:p>
      <w:pPr>
        <w:pStyle w:val="ListBullet"/>
        <w:spacing w:after="80"/>
        <w:ind w:left="540" w:hanging="271"/>
      </w:pPr>
      <w:r>
        <w:t>For apartment parcel 4158520, the non-unit address remains 1 AVON ROAD PYMBLE even though property_source also contains many unit-level addresses.</w:t>
      </w:r>
    </w:p>
    <w:p>
      <w:pPr>
        <w:pStyle w:val="ListBullet"/>
        <w:spacing w:after="80"/>
        <w:ind w:left="540" w:hanging="271"/>
      </w:pPr>
      <w:r>
        <w:t>845,468 rows currently have ignored_unit_address because no usable non-unit parcel address remains.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c>
          <w:tcPr>
            <w:tcW w:type="dxa" w:w="9360"/>
            <w:shd w:fill="EAF3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>Detection limit</w:t>
            </w:r>
          </w:p>
          <w:p>
            <w:pPr>
              <w:spacing w:after="0" w:line="276" w:lineRule="auto"/>
            </w:pPr>
            <w:r>
              <w:t>The current detector recognizes an address beginning with text followed by '/'. Unit formats without a slash may require a later parser enhancement.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Primary_prop_id decision logic</w:t>
      </w:r>
    </w:p>
    <w:p>
      <w:r>
        <w:t>Rules are evaluated in order. A later step runs only if the earlier step did not produce exactly one primary prop_id.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850"/>
        <w:gridCol w:w="2200"/>
        <w:gridCol w:w="4380"/>
        <w:gridCol w:w="1930"/>
      </w:tblGrid>
      <w:tr>
        <w:trPr>
          <w:tblHeader w:val="true"/>
        </w:trPr>
        <w:tc>
          <w:tcPr>
            <w:tcW w:type="dxa" w:w="85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20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438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Selection condition</w:t>
            </w:r>
          </w:p>
        </w:tc>
        <w:tc>
          <w:tcPr>
            <w:tcW w:type="dxa" w:w="193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Current result</w:t>
            </w:r>
          </w:p>
        </w:tc>
      </w:tr>
      <w:tr>
        <w:tc>
          <w:tcPr>
            <w:tcW w:type="dxa" w:w="85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1</w:t>
            </w:r>
          </w:p>
        </w:tc>
        <w:tc>
          <w:tcPr>
            <w:tcW w:type="dxa" w:w="22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Ignore unit addresses</w:t>
            </w:r>
          </w:p>
        </w:tc>
        <w:tc>
          <w:tcPr>
            <w:tcW w:type="dxa" w:w="43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Exclude unit-level source addresses before grouping.</w:t>
            </w:r>
          </w:p>
        </w:tc>
        <w:tc>
          <w:tcPr>
            <w:tcW w:type="dxa" w:w="193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845,468 unit-only rows ignored</w:t>
            </w:r>
          </w:p>
        </w:tc>
      </w:tr>
      <w:tr>
        <w:tc>
          <w:tcPr>
            <w:tcW w:type="dxa" w:w="85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2</w:t>
            </w:r>
          </w:p>
        </w:tc>
        <w:tc>
          <w:tcPr>
            <w:tcW w:type="dxa" w:w="22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Historical sales + Land Valuer</w:t>
            </w:r>
          </w:p>
        </w:tc>
        <w:tc>
          <w:tcPr>
            <w:tcW w:type="dxa" w:w="438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Select when exactly one eligible prop_id at the address appears in both historical sales and Land Valuer.</w:t>
            </w:r>
          </w:p>
        </w:tc>
        <w:tc>
          <w:tcPr>
            <w:tcW w:type="dxa" w:w="193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6,223 addresses still have multiple candidates</w:t>
            </w:r>
          </w:p>
        </w:tc>
      </w:tr>
      <w:tr>
        <w:tc>
          <w:tcPr>
            <w:tcW w:type="dxa" w:w="85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3</w:t>
            </w:r>
          </w:p>
        </w:tc>
        <w:tc>
          <w:tcPr>
            <w:tcW w:type="dxa" w:w="22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Land Valuer fallback</w:t>
            </w:r>
          </w:p>
        </w:tc>
        <w:tc>
          <w:tcPr>
            <w:tcW w:type="dxa" w:w="43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If step 2 did not select, choose exactly one eligible Land Valuer prop_id.</w:t>
            </w:r>
          </w:p>
        </w:tc>
        <w:tc>
          <w:tcPr>
            <w:tcW w:type="dxa" w:w="193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14,636 addresses still have multiple candidates after step 2</w:t>
            </w:r>
          </w:p>
        </w:tc>
      </w:tr>
      <w:tr>
        <w:tc>
          <w:tcPr>
            <w:tcW w:type="dxa" w:w="85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4</w:t>
            </w:r>
          </w:p>
        </w:tc>
        <w:tc>
          <w:tcPr>
            <w:tcW w:type="dxa" w:w="22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Latest recent-import sale</w:t>
            </w:r>
          </w:p>
        </w:tc>
        <w:tc>
          <w:tcPr>
            <w:tcW w:type="dxa" w:w="438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For a duplicated unresolved address, consider prop_ids with imported_at &gt;= 2026-06-01 and select the unique latest sale_date.</w:t>
            </w:r>
          </w:p>
        </w:tc>
        <w:tc>
          <w:tcPr>
            <w:tcW w:type="dxa" w:w="193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1,931 resolved; 146 latest-date ties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c>
          <w:tcPr>
            <w:tcW w:type="dxa" w:w="9360"/>
            <w:shd w:fill="FFF2C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>June is included</w:t>
            </w:r>
          </w:p>
          <w:p>
            <w:pPr>
              <w:spacing w:after="0" w:line="276" w:lineRule="auto"/>
            </w:pPr>
            <w:r>
              <w:t>The step 4 import threshold is imported_at &gt;= 1 June 2026. Records imported on any date in June 2026 are eligible.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c>
          <w:tcPr>
            <w:tcW w:type="dxa" w:w="9360"/>
            <w:shd w:fill="FCE4D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>Ties remain unresolved</w:t>
            </w:r>
          </w:p>
          <w:p>
            <w:pPr>
              <w:spacing w:after="0" w:line="276" w:lineRule="auto"/>
            </w:pPr>
            <w:r>
              <w:t>When two or more eligible prop_ids share the latest sale_date, primary_prop_id remains null. The model does not use the smaller prop_id or row order as a tiebreaker.</w:t>
            </w:r>
          </w:p>
        </w:tc>
      </w:tr>
    </w:tbl>
    <w:p>
      <w:pPr>
        <w:spacing w:after="40"/>
      </w:pPr>
    </w:p>
    <w:p>
      <w:pPr>
        <w:pStyle w:val="Heading1"/>
      </w:pPr>
      <w:r>
        <w:t>4. Duplicate checks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550"/>
        <w:gridCol w:w="1600"/>
        <w:gridCol w:w="2800"/>
        <w:gridCol w:w="2410"/>
      </w:tblGrid>
      <w:tr>
        <w:trPr>
          <w:tblHeader w:val="true"/>
        </w:trPr>
        <w:tc>
          <w:tcPr>
            <w:tcW w:type="dxa" w:w="255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160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Distinct addresses</w:t>
            </w:r>
          </w:p>
        </w:tc>
        <w:tc>
          <w:tcPr>
            <w:tcW w:type="dxa" w:w="280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241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55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All duplicates after unit exclusion</w:t>
            </w:r>
          </w:p>
        </w:tc>
        <w:tc>
          <w:tcPr>
            <w:tcW w:type="dxa" w:w="16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130,383</w:t>
            </w:r>
          </w:p>
        </w:tc>
        <w:tc>
          <w:tcPr>
            <w:tcW w:type="dxa" w:w="28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One canonical address has more than one eligible prop_id</w:t>
            </w:r>
          </w:p>
        </w:tc>
        <w:tc>
          <w:tcPr>
            <w:tcW w:type="dxa" w:w="241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Requires ordered evidence rules</w:t>
            </w:r>
          </w:p>
        </w:tc>
      </w:tr>
      <w:tr>
        <w:tc>
          <w:tcPr>
            <w:tcW w:type="dxa" w:w="255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Step 2 duplicates</w:t>
            </w:r>
          </w:p>
        </w:tc>
        <w:tc>
          <w:tcPr>
            <w:tcW w:type="dxa" w:w="16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6,223</w:t>
            </w:r>
          </w:p>
        </w:tc>
        <w:tc>
          <w:tcPr>
            <w:tcW w:type="dxa" w:w="28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KINKUNA CRESCENT WORROWING HEIGHTS</w:t>
            </w:r>
          </w:p>
        </w:tc>
        <w:tc>
          <w:tcPr>
            <w:tcW w:type="dxa" w:w="241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Multiple prop_ids occur in both sources</w:t>
            </w:r>
          </w:p>
        </w:tc>
      </w:tr>
      <w:tr>
        <w:tc>
          <w:tcPr>
            <w:tcW w:type="dxa" w:w="255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Step 3 duplicates after step 2</w:t>
            </w:r>
          </w:p>
        </w:tc>
        <w:tc>
          <w:tcPr>
            <w:tcW w:type="dxa" w:w="16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14,636</w:t>
            </w:r>
          </w:p>
        </w:tc>
        <w:tc>
          <w:tcPr>
            <w:tcW w:type="dxa" w:w="28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THE RIDGEWAY NORTH ARM COVE</w:t>
            </w:r>
          </w:p>
        </w:tc>
        <w:tc>
          <w:tcPr>
            <w:tcW w:type="dxa" w:w="241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Multiple Land Valuer prop_ids remain</w:t>
            </w:r>
          </w:p>
        </w:tc>
      </w:tr>
      <w:tr>
        <w:tc>
          <w:tcPr>
            <w:tcW w:type="dxa" w:w="255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Step 4 latest-date ties</w:t>
            </w:r>
          </w:p>
        </w:tc>
        <w:tc>
          <w:tcPr>
            <w:tcW w:type="dxa" w:w="16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146</w:t>
            </w:r>
          </w:p>
        </w:tc>
        <w:tc>
          <w:tcPr>
            <w:tcW w:type="dxa" w:w="28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117 TUMBLONG ROAD TUMBLONG</w:t>
            </w:r>
          </w:p>
        </w:tc>
        <w:tc>
          <w:tcPr>
            <w:tcW w:type="dxa" w:w="241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Two prop_ids share the latest sale date</w:t>
            </w:r>
          </w:p>
        </w:tc>
      </w:tr>
      <w:tr>
        <w:tc>
          <w:tcPr>
            <w:tcW w:type="dxa" w:w="255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Unresolved duplicates after all steps</w:t>
            </w:r>
          </w:p>
        </w:tc>
        <w:tc>
          <w:tcPr>
            <w:tcW w:type="dxa" w:w="16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25,053</w:t>
            </w:r>
          </w:p>
        </w:tc>
        <w:tc>
          <w:tcPr>
            <w:tcW w:type="dxa" w:w="28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Review queue</w:t>
            </w:r>
          </w:p>
        </w:tc>
        <w:tc>
          <w:tcPr>
            <w:tcW w:type="dxa" w:w="241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No rule produced one unique primary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Status interpretation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4300"/>
        <w:gridCol w:w="1300"/>
        <w:gridCol w:w="3760"/>
      </w:tblGrid>
      <w:tr>
        <w:trPr>
          <w:tblHeader w:val="true"/>
        </w:trPr>
        <w:tc>
          <w:tcPr>
            <w:tcW w:type="dxa" w:w="430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mapping_status</w:t>
            </w:r>
          </w:p>
        </w:tc>
        <w:tc>
          <w:tcPr>
            <w:tcW w:type="dxa" w:w="130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Rows</w:t>
            </w:r>
          </w:p>
        </w:tc>
        <w:tc>
          <w:tcPr>
            <w:tcW w:type="dxa" w:w="37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3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primary_sales_and_land_valuation</w:t>
            </w:r>
          </w:p>
        </w:tc>
        <w:tc>
          <w:tcPr>
            <w:tcW w:type="dxa" w:w="13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1,806,936</w:t>
            </w:r>
          </w:p>
        </w:tc>
        <w:tc>
          <w:tcPr>
            <w:tcW w:type="dxa" w:w="37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Step 2 primary; high confidence</w:t>
            </w:r>
          </w:p>
        </w:tc>
      </w:tr>
      <w:tr>
        <w:tc>
          <w:tcPr>
            <w:tcW w:type="dxa" w:w="43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primary_land_valuation_only</w:t>
            </w:r>
          </w:p>
        </w:tc>
        <w:tc>
          <w:tcPr>
            <w:tcW w:type="dxa" w:w="13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827,307</w:t>
            </w:r>
          </w:p>
        </w:tc>
        <w:tc>
          <w:tcPr>
            <w:tcW w:type="dxa" w:w="376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Step 3 primary; medium confidence</w:t>
            </w:r>
          </w:p>
        </w:tc>
      </w:tr>
      <w:tr>
        <w:tc>
          <w:tcPr>
            <w:tcW w:type="dxa" w:w="43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primary_latest_recent_sale</w:t>
            </w:r>
          </w:p>
        </w:tc>
        <w:tc>
          <w:tcPr>
            <w:tcW w:type="dxa" w:w="13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1,931</w:t>
            </w:r>
          </w:p>
        </w:tc>
        <w:tc>
          <w:tcPr>
            <w:tcW w:type="dxa" w:w="37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Step 4 primary; medium confidence</w:t>
            </w:r>
          </w:p>
        </w:tc>
      </w:tr>
      <w:tr>
        <w:tc>
          <w:tcPr>
            <w:tcW w:type="dxa" w:w="43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obsolete_candidate</w:t>
            </w:r>
          </w:p>
        </w:tc>
        <w:tc>
          <w:tcPr>
            <w:tcW w:type="dxa" w:w="13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153,389</w:t>
            </w:r>
          </w:p>
        </w:tc>
        <w:tc>
          <w:tcPr>
            <w:tcW w:type="dxa" w:w="376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Maps to another selected primary; inferred alias, not confirmed expiry</w:t>
            </w:r>
          </w:p>
        </w:tc>
      </w:tr>
      <w:tr>
        <w:tc>
          <w:tcPr>
            <w:tcW w:type="dxa" w:w="43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ignored_unit_address</w:t>
            </w:r>
          </w:p>
        </w:tc>
        <w:tc>
          <w:tcPr>
            <w:tcW w:type="dxa" w:w="13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845,468</w:t>
            </w:r>
          </w:p>
        </w:tc>
        <w:tc>
          <w:tcPr>
            <w:tcW w:type="dxa" w:w="37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No usable non-unit address</w:t>
            </w:r>
          </w:p>
        </w:tc>
      </w:tr>
      <w:tr>
        <w:tc>
          <w:tcPr>
            <w:tcW w:type="dxa" w:w="43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review_latest_sale_date_tie</w:t>
            </w:r>
          </w:p>
        </w:tc>
        <w:tc>
          <w:tcPr>
            <w:tcW w:type="dxa" w:w="13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1,248</w:t>
            </w:r>
          </w:p>
        </w:tc>
        <w:tc>
          <w:tcPr>
            <w:tcW w:type="dxa" w:w="376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Step 4 latest date is shared by multiple prop_ids</w:t>
            </w:r>
          </w:p>
        </w:tc>
      </w:tr>
      <w:tr>
        <w:tc>
          <w:tcPr>
            <w:tcW w:type="dxa" w:w="43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Other review statuses</w:t>
            </w:r>
          </w:p>
        </w:tc>
        <w:tc>
          <w:tcPr>
            <w:tcW w:type="dxa" w:w="13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212,214</w:t>
            </w:r>
          </w:p>
        </w:tc>
        <w:tc>
          <w:tcPr>
            <w:tcW w:type="dxa" w:w="37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Blank, conflicting, multiple-candidate, or insufficient evidence</w:t>
            </w:r>
          </w:p>
        </w:tc>
      </w:tr>
    </w:tbl>
    <w:p>
      <w:pPr>
        <w:spacing w:after="40"/>
      </w:pPr>
    </w:p>
    <w:p>
      <w:pPr>
        <w:pStyle w:val="Heading1"/>
      </w:pPr>
      <w:r>
        <w:t>6. Worked examples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050"/>
        <w:gridCol w:w="2600"/>
        <w:gridCol w:w="1400"/>
        <w:gridCol w:w="1500"/>
        <w:gridCol w:w="2810"/>
      </w:tblGrid>
      <w:tr>
        <w:trPr>
          <w:tblHeader w:val="true"/>
        </w:trPr>
        <w:tc>
          <w:tcPr>
            <w:tcW w:type="dxa" w:w="105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prop_id</w:t>
            </w:r>
          </w:p>
        </w:tc>
        <w:tc>
          <w:tcPr>
            <w:tcW w:type="dxa" w:w="260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140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Latest sale</w:t>
            </w:r>
          </w:p>
        </w:tc>
        <w:tc>
          <w:tcPr>
            <w:tcW w:type="dxa" w:w="150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primary_prop_id</w:t>
            </w:r>
          </w:p>
        </w:tc>
        <w:tc>
          <w:tcPr>
            <w:tcW w:type="dxa" w:w="281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Status / reason</w:t>
            </w:r>
          </w:p>
        </w:tc>
      </w:tr>
      <w:tr>
        <w:tc>
          <w:tcPr>
            <w:tcW w:type="dxa" w:w="105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4158520</w:t>
            </w:r>
          </w:p>
        </w:tc>
        <w:tc>
          <w:tcPr>
            <w:tcW w:type="dxa" w:w="26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1 AVON ROAD PYMBLE</w:t>
            </w:r>
          </w:p>
        </w:tc>
        <w:tc>
          <w:tcPr>
            <w:tcW w:type="dxa" w:w="14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2026-04-02</w:t>
            </w:r>
          </w:p>
        </w:tc>
        <w:tc>
          <w:tcPr>
            <w:tcW w:type="dxa" w:w="15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4158520</w:t>
            </w:r>
          </w:p>
        </w:tc>
        <w:tc>
          <w:tcPr>
            <w:tcW w:type="dxa" w:w="281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Unique prop_id in both historical sales and Land Valuer</w:t>
            </w:r>
          </w:p>
        </w:tc>
      </w:tr>
      <w:tr>
        <w:tc>
          <w:tcPr>
            <w:tcW w:type="dxa" w:w="105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684589</w:t>
            </w:r>
          </w:p>
        </w:tc>
        <w:tc>
          <w:tcPr>
            <w:tcW w:type="dxa" w:w="26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1 AVON ROAD PYMBLE</w:t>
            </w:r>
          </w:p>
        </w:tc>
        <w:tc>
          <w:tcPr>
            <w:tcW w:type="dxa" w:w="14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2014-12-02</w:t>
            </w:r>
          </w:p>
        </w:tc>
        <w:tc>
          <w:tcPr>
            <w:tcW w:type="dxa" w:w="15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4158520</w:t>
            </w:r>
          </w:p>
        </w:tc>
        <w:tc>
          <w:tcPr>
            <w:tcW w:type="dxa" w:w="281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Older alternative linked to the step 2 primary</w:t>
            </w:r>
          </w:p>
        </w:tc>
      </w:tr>
      <w:tr>
        <w:tc>
          <w:tcPr>
            <w:tcW w:type="dxa" w:w="105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4158689</w:t>
            </w:r>
          </w:p>
        </w:tc>
        <w:tc>
          <w:tcPr>
            <w:tcW w:type="dxa" w:w="26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1 AVON ROAD PYMBLE</w:t>
            </w:r>
          </w:p>
        </w:tc>
        <w:tc>
          <w:tcPr>
            <w:tcW w:type="dxa" w:w="14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2018-10-16</w:t>
            </w:r>
          </w:p>
        </w:tc>
        <w:tc>
          <w:tcPr>
            <w:tcW w:type="dxa" w:w="15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4158520</w:t>
            </w:r>
          </w:p>
        </w:tc>
        <w:tc>
          <w:tcPr>
            <w:tcW w:type="dxa" w:w="281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Alternative linked to the step 2 primary</w:t>
            </w:r>
          </w:p>
        </w:tc>
      </w:tr>
      <w:tr>
        <w:tc>
          <w:tcPr>
            <w:tcW w:type="dxa" w:w="105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4482896</w:t>
            </w:r>
          </w:p>
        </w:tc>
        <w:tc>
          <w:tcPr>
            <w:tcW w:type="dxa" w:w="26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IRONMUNGIE ROAD MAFFRA</w:t>
            </w:r>
          </w:p>
        </w:tc>
        <w:tc>
          <w:tcPr>
            <w:tcW w:type="dxa" w:w="14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2026-06-29</w:t>
            </w:r>
          </w:p>
        </w:tc>
        <w:tc>
          <w:tcPr>
            <w:tcW w:type="dxa" w:w="15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4482896</w:t>
            </w:r>
          </w:p>
        </w:tc>
        <w:tc>
          <w:tcPr>
            <w:tcW w:type="dxa" w:w="281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Step 4 unique latest sale; imported 2026-07-07</w:t>
            </w:r>
          </w:p>
        </w:tc>
      </w:tr>
      <w:tr>
        <w:tc>
          <w:tcPr>
            <w:tcW w:type="dxa" w:w="105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441355</w:t>
            </w:r>
          </w:p>
        </w:tc>
        <w:tc>
          <w:tcPr>
            <w:tcW w:type="dxa" w:w="26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IRONMUNGIE ROAD MAFFRA</w:t>
            </w:r>
          </w:p>
        </w:tc>
        <w:tc>
          <w:tcPr>
            <w:tcW w:type="dxa" w:w="14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2003-07-02</w:t>
            </w:r>
          </w:p>
        </w:tc>
        <w:tc>
          <w:tcPr>
            <w:tcW w:type="dxa" w:w="15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4482896</w:t>
            </w:r>
          </w:p>
        </w:tc>
        <w:tc>
          <w:tcPr>
            <w:tcW w:type="dxa" w:w="281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Ancient sale noise linked to the 2026 primary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Key fields for downstream users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4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39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primary_prop_id</w:t>
            </w:r>
          </w:p>
        </w:tc>
        <w:tc>
          <w:tcPr>
            <w:tcW w:type="dxa" w:w="54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Preferred mapping ID. Null means unresolved.</w:t>
            </w:r>
          </w:p>
        </w:tc>
      </w:tr>
      <w:tr>
        <w:tc>
          <w:tcPr>
            <w:tcW w:type="dxa" w:w="39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primary_selection_rule</w:t>
            </w:r>
          </w:p>
        </w:tc>
        <w:tc>
          <w:tcPr>
            <w:tcW w:type="dxa" w:w="546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Shows which ordered rule selected the address primary.</w:t>
            </w:r>
          </w:p>
        </w:tc>
      </w:tr>
      <w:tr>
        <w:tc>
          <w:tcPr>
            <w:tcW w:type="dxa" w:w="39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mapping_status</w:t>
            </w:r>
          </w:p>
        </w:tc>
        <w:tc>
          <w:tcPr>
            <w:tcW w:type="dxa" w:w="54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Row-level primary, linked/obsolete, ignored, or review outcome.</w:t>
            </w:r>
          </w:p>
        </w:tc>
      </w:tr>
      <w:tr>
        <w:tc>
          <w:tcPr>
            <w:tcW w:type="dxa" w:w="39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sales_and_land_valuation_prop_ids_at_address</w:t>
            </w:r>
          </w:p>
        </w:tc>
        <w:tc>
          <w:tcPr>
            <w:tcW w:type="dxa" w:w="546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Step 2 candidate count.</w:t>
            </w:r>
          </w:p>
        </w:tc>
      </w:tr>
      <w:tr>
        <w:tc>
          <w:tcPr>
            <w:tcW w:type="dxa" w:w="39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land_valuation_prop_ids_at_address</w:t>
            </w:r>
          </w:p>
        </w:tc>
        <w:tc>
          <w:tcPr>
            <w:tcW w:type="dxa" w:w="54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Step 3 candidate count.</w:t>
            </w:r>
          </w:p>
        </w:tc>
      </w:tr>
      <w:tr>
        <w:tc>
          <w:tcPr>
            <w:tcW w:type="dxa" w:w="39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recent_historical_sale_prop_ids_at_address</w:t>
            </w:r>
          </w:p>
        </w:tc>
        <w:tc>
          <w:tcPr>
            <w:tcW w:type="dxa" w:w="546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Step 4 candidate count after the June 2026 import threshold.</w:t>
            </w:r>
          </w:p>
        </w:tc>
      </w:tr>
      <w:tr>
        <w:tc>
          <w:tcPr>
            <w:tcW w:type="dxa" w:w="39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latest_recent_sale_date_at_address</w:t>
            </w:r>
          </w:p>
        </w:tc>
        <w:tc>
          <w:tcPr>
            <w:tcW w:type="dxa" w:w="54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The sale date used by step 4.</w:t>
            </w:r>
          </w:p>
        </w:tc>
      </w:tr>
      <w:tr>
        <w:tc>
          <w:tcPr>
            <w:tcW w:type="dxa" w:w="39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latest_recent_import_at</w:t>
            </w:r>
          </w:p>
        </w:tc>
        <w:tc>
          <w:tcPr>
            <w:tcW w:type="dxa" w:w="546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Evidence that the prop_id meets the June 2026 import threshold.</w:t>
            </w:r>
          </w:p>
        </w:tc>
      </w:tr>
    </w:tbl>
    <w:p>
      <w:pPr>
        <w:spacing w:after="40"/>
      </w:pPr>
    </w:p>
    <w:p>
      <w:pPr>
        <w:pStyle w:val="Heading1"/>
      </w:pPr>
      <w:r>
        <w:t>8. Recommended SQL use</w:t>
      </w:r>
    </w:p>
    <w:p>
      <w:r>
        <w:t>Preserve the original prop_id whenever no primary has been selected.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Courier New" w:hAnsi="Courier New"/>
                <w:sz w:val="17"/>
              </w:rPr>
              <w:t>SELECT</w:t>
              <w:br/>
              <w:t xml:space="preserve">    prop_id,</w:t>
              <w:br/>
              <w:t xml:space="preserve">    COALESCE(primary_prop_id, prop_id) AS usable_prop_id,</w:t>
              <w:br/>
              <w:t xml:space="preserve">    primary_selection_rule,</w:t>
              <w:br/>
              <w:t xml:space="preserve">    mapping_status</w:t>
              <w:br/>
              <w:t>FROM propdb_staging.data_universe_master_map;</w:t>
            </w:r>
          </w:p>
        </w:tc>
      </w:tr>
    </w:tbl>
    <w:p>
      <w:pPr>
        <w:spacing w:after="60"/>
      </w:pPr>
    </w:p>
    <w:p>
      <w:r>
        <w:t>Audit only the step 4 decisions: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Courier New" w:hAnsi="Courier New"/>
                <w:sz w:val="17"/>
              </w:rPr>
              <w:t>SELECT prop_id, canonical_address, primary_prop_id,</w:t>
              <w:br/>
              <w:t xml:space="preserve">       latest_sale_date, latest_recent_import_at</w:t>
              <w:br/>
              <w:t>FROM propdb_staging.data_universe_master_map</w:t>
              <w:br/>
              <w:t>WHERE primary_selection_rule = 'recent_historical_sales_latest_sale';</w:t>
            </w:r>
          </w:p>
        </w:tc>
      </w:tr>
    </w:tbl>
    <w:p>
      <w:pPr>
        <w:spacing w:after="60"/>
      </w:pPr>
    </w:p>
    <w:p>
      <w:pPr>
        <w:pStyle w:val="Heading1"/>
      </w:pPr>
      <w:r>
        <w:t>9. Known limitations and governance</w:t>
      </w:r>
    </w:p>
    <w:p>
      <w:pPr>
        <w:pStyle w:val="ListBullet"/>
        <w:spacing w:after="80"/>
        <w:ind w:left="540" w:hanging="271"/>
      </w:pPr>
      <w:r>
        <w:t>Locality-only addresses and street-only addresses can group unrelated parcels. Examples include CONDOBOLIN and roads without a street number.</w:t>
      </w:r>
    </w:p>
    <w:p>
      <w:pPr>
        <w:pStyle w:val="ListBullet"/>
        <w:spacing w:after="80"/>
        <w:ind w:left="540" w:hanging="271"/>
      </w:pPr>
      <w:r>
        <w:t>One address can legitimately contain multiple parcels, lots, strata entities or multi-lot holdings.</w:t>
      </w:r>
    </w:p>
    <w:p>
      <w:pPr>
        <w:pStyle w:val="ListBullet"/>
        <w:spacing w:after="80"/>
        <w:ind w:left="540" w:hanging="271"/>
      </w:pPr>
      <w:r>
        <w:t>The June 2026 threshold is a project rule, not a source-system definition of property activity.</w:t>
      </w:r>
    </w:p>
    <w:p>
      <w:pPr>
        <w:pStyle w:val="ListBullet"/>
        <w:spacing w:after="80"/>
        <w:ind w:left="540" w:hanging="271"/>
      </w:pPr>
      <w:r>
        <w:t>A newer sale date is evidence of relevance, but it does not by itself prove that every older prop_id has legally expired.</w:t>
      </w:r>
    </w:p>
    <w:p>
      <w:pPr>
        <w:pStyle w:val="ListBullet"/>
        <w:spacing w:after="80"/>
        <w:ind w:left="540" w:hanging="271"/>
      </w:pPr>
      <w:r>
        <w:t>Rebuild the two mapping tables together so candidate evidence, counts and primary decisions stay consistent.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779"/>
        <w:sz w:val="17"/>
      </w:rPr>
      <w:t>Rebuilt 18 July 2026 | propdb_staging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6779"/>
        <w:sz w:val="18"/>
      </w:rPr>
      <w:t>NSW Data Universe Mapping | Technical Guide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F7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