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65D"/>
          <w:sz w:val="50"/>
        </w:rPr>
        <w:t>Banner Address ID (BAID)</w:t>
      </w:r>
    </w:p>
    <w:p>
      <w:pPr>
        <w:spacing w:after="240"/>
      </w:pPr>
      <w:r>
        <w:rPr>
          <w:color w:val="596779"/>
          <w:sz w:val="24"/>
        </w:rPr>
        <w:t>Address-centric master mapping for the NSW data universe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900"/>
        <w:gridCol w:w="6460"/>
      </w:tblGrid>
      <w:tr>
        <w:trPr>
          <w:tblHeader w:val="1"/>
        </w:trPr>
        <w:tc>
          <w:tcPr>
            <w:tcW w:type="dxa" w:w="290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Document item</w:t>
            </w:r>
          </w:p>
        </w:tc>
        <w:tc>
          <w:tcPr>
            <w:tcW w:type="dxa" w:w="6460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Database / schema</w:t>
            </w:r>
          </w:p>
        </w:tc>
        <w:tc>
          <w:tcPr>
            <w:tcW w:type="dxa" w:w="6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banner17_master / propdb_staging</w:t>
            </w:r>
          </w:p>
        </w:tc>
      </w:tr>
      <w:tr>
        <w:tc>
          <w:tcPr>
            <w:tcW w:type="dxa" w:w="29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Master table</w:t>
            </w:r>
          </w:p>
        </w:tc>
        <w:tc>
          <w:tcPr>
            <w:tcW w:type="dxa" w:w="64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</w:t>
            </w:r>
          </w:p>
        </w:tc>
      </w:tr>
      <w:tr>
        <w:tc>
          <w:tcPr>
            <w:tcW w:type="dxa" w:w="2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Unit-address table</w:t>
            </w:r>
          </w:p>
        </w:tc>
        <w:tc>
          <w:tcPr>
            <w:tcW w:type="dxa" w:w="6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banner_address_unit</w:t>
            </w:r>
          </w:p>
        </w:tc>
      </w:tr>
      <w:tr>
        <w:tc>
          <w:tcPr>
            <w:tcW w:type="dxa" w:w="29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PropID relationship table</w:t>
            </w:r>
          </w:p>
        </w:tc>
        <w:tc>
          <w:tcPr>
            <w:tcW w:type="dxa" w:w="64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banner_address_prop_id_map</w:t>
            </w:r>
          </w:p>
        </w:tc>
      </w:tr>
      <w:tr>
        <w:tc>
          <w:tcPr>
            <w:tcW w:type="dxa" w:w="29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Companion dictionary</w:t>
            </w:r>
          </w:p>
        </w:tc>
        <w:tc>
          <w:tcPr>
            <w:tcW w:type="dxa" w:w="64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banner_address_data_dictionary.xlsx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E2F0D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Key principle</w:t>
            </w:r>
          </w:p>
          <w:p>
            <w:pPr>
              <w:spacing w:after="0" w:line="269" w:lineRule="auto"/>
            </w:pPr>
            <w:r>
              <w:t>BAID identifies an address. It does not identify a preferred PropID. Every PropID associated with the address is retained because different PropIDs can represent valid parcels, buildings or towers at the same street address.</w:t>
            </w:r>
          </w:p>
        </w:tc>
      </w:tr>
    </w:tbl>
    <w:p>
      <w:pPr>
        <w:spacing w:after="60"/>
      </w:pPr>
    </w:p>
    <w:p>
      <w:pPr>
        <w:pStyle w:val="Heading1"/>
      </w:pPr>
      <w:r>
        <w:t>1. Purpose</w:t>
      </w:r>
    </w:p>
    <w:p>
      <w:r>
        <w:t>The BAID layer gives downstream systems one reusable address key while preserving the many-to-many reality between addresses and NSW property identifiers. It replaces the earlier primary_prop_id and obsolete-candidate approach.</w:t>
      </w:r>
    </w:p>
    <w:p>
      <w:pPr>
        <w:pStyle w:val="ListBullet"/>
        <w:spacing w:after="60"/>
        <w:ind w:left="504" w:hanging="259"/>
      </w:pPr>
      <w:r>
        <w:t>Use BAID when joining or grouping data by normalized address.</w:t>
      </w:r>
    </w:p>
    <w:p>
      <w:pPr>
        <w:pStyle w:val="ListBullet"/>
        <w:spacing w:after="60"/>
        <w:ind w:left="504" w:hanging="259"/>
      </w:pPr>
      <w:r>
        <w:t>Use the mapping table to retrieve every PropID associated with a BAID.</w:t>
      </w:r>
    </w:p>
    <w:p>
      <w:pPr>
        <w:pStyle w:val="ListBullet"/>
        <w:spacing w:after="60"/>
        <w:ind w:left="504" w:hanging="259"/>
      </w:pPr>
      <w:r>
        <w:t>Use the unit table when apartment or suite detail must be retained separately from the base address.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FF2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Do not infer expiry</w:t>
            </w:r>
          </w:p>
          <w:p>
            <w:pPr>
              <w:spacing w:after="0" w:line="269" w:lineRule="auto"/>
            </w:pPr>
            <w:r>
              <w:t>A non-selected or older PropID is not treated as obsolete. The BAID model contains no primary_prop_id, mapping_status or obsolete_candidate field.</w:t>
            </w:r>
          </w:p>
        </w:tc>
      </w:tr>
    </w:tbl>
    <w:p>
      <w:pPr>
        <w:spacing w:after="60"/>
      </w:pPr>
    </w:p>
    <w:p>
      <w:pPr>
        <w:pStyle w:val="Heading1"/>
      </w:pPr>
      <w:r>
        <w:t>2. Data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750"/>
        <w:gridCol w:w="2200"/>
        <w:gridCol w:w="1250"/>
        <w:gridCol w:w="3160"/>
      </w:tblGrid>
      <w:tr>
        <w:trPr>
          <w:tblHeader w:val="1"/>
        </w:trPr>
        <w:tc>
          <w:tcPr>
            <w:tcW w:type="dxa" w:w="27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2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Grain</w:t>
            </w:r>
          </w:p>
        </w:tc>
        <w:tc>
          <w:tcPr>
            <w:tcW w:type="dxa" w:w="12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Current rows</w:t>
            </w:r>
          </w:p>
        </w:tc>
        <w:tc>
          <w:tcPr>
            <w:tcW w:type="dxa" w:w="31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7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</w:t>
            </w:r>
          </w:p>
        </w:tc>
        <w:tc>
          <w:tcPr>
            <w:tcW w:type="dxa" w:w="22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One normalized base address</w:t>
            </w:r>
          </w:p>
        </w:tc>
        <w:tc>
          <w:tcPr>
            <w:tcW w:type="dxa" w:w="12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2,796,093</w:t>
            </w:r>
          </w:p>
        </w:tc>
        <w:tc>
          <w:tcPr>
            <w:tcW w:type="dxa" w:w="31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Master BAID and summary counts</w:t>
            </w:r>
          </w:p>
        </w:tc>
      </w:tr>
      <w:tr>
        <w:tc>
          <w:tcPr>
            <w:tcW w:type="dxa" w:w="27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banner_address_unit</w:t>
            </w:r>
          </w:p>
        </w:tc>
        <w:tc>
          <w:tcPr>
            <w:tcW w:type="dxa" w:w="22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One normalized unit address</w:t>
            </w:r>
          </w:p>
        </w:tc>
        <w:tc>
          <w:tcPr>
            <w:tcW w:type="dxa" w:w="12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830,318</w:t>
            </w:r>
          </w:p>
        </w:tc>
        <w:tc>
          <w:tcPr>
            <w:tcW w:type="dxa" w:w="31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Unit child linked to a base BAID</w:t>
            </w:r>
          </w:p>
        </w:tc>
      </w:tr>
      <w:tr>
        <w:tc>
          <w:tcPr>
            <w:tcW w:type="dxa" w:w="27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banner_address_prop_id_map</w:t>
            </w:r>
          </w:p>
        </w:tc>
        <w:tc>
          <w:tcPr>
            <w:tcW w:type="dxa" w:w="22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One BAID + PropID</w:t>
            </w:r>
          </w:p>
        </w:tc>
        <w:tc>
          <w:tcPr>
            <w:tcW w:type="dxa" w:w="12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3,846,452</w:t>
            </w:r>
          </w:p>
        </w:tc>
        <w:tc>
          <w:tcPr>
            <w:tcW w:type="dxa" w:w="31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All address-to-PropID relationships</w:t>
            </w:r>
          </w:p>
        </w:tc>
      </w:tr>
    </w:tbl>
    <w:p>
      <w:pPr>
        <w:spacing w:after="40"/>
      </w:pPr>
    </w:p>
    <w:p>
      <w:r>
        <w:t>The current build contains 196,844 base addresses linked to more than one PropID and 85,828 base addresses with one or more unit children. 2,041 data_universe rows have no usable address and are excluded.</w:t>
      </w:r>
    </w:p>
    <w:p>
      <w:r>
        <w:br w:type="page"/>
      </w:r>
    </w:p>
    <w:p>
      <w:pPr>
        <w:pStyle w:val="Heading1"/>
      </w:pPr>
      <w:r>
        <w:t>3. Relationship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550"/>
        <w:gridCol w:w="1650"/>
        <w:gridCol w:w="4160"/>
      </w:tblGrid>
      <w:tr>
        <w:trPr>
          <w:tblHeader w:val="1"/>
        </w:trPr>
        <w:tc>
          <w:tcPr>
            <w:tcW w:type="dxa" w:w="35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16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41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5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 -&gt; banner_address_unit</w:t>
            </w:r>
          </w:p>
        </w:tc>
        <w:tc>
          <w:tcPr>
            <w:tcW w:type="dxa" w:w="16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 to 0..many</w:t>
            </w:r>
          </w:p>
        </w:tc>
        <w:tc>
          <w:tcPr>
            <w:tcW w:type="dxa" w:w="41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 base street address can own many unit addresses.</w:t>
            </w:r>
          </w:p>
        </w:tc>
      </w:tr>
      <w:tr>
        <w:tc>
          <w:tcPr>
            <w:tcW w:type="dxa" w:w="35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 -&gt; banner_address_prop_id_map</w:t>
            </w:r>
          </w:p>
        </w:tc>
        <w:tc>
          <w:tcPr>
            <w:tcW w:type="dxa" w:w="16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 to 1..many</w:t>
            </w:r>
          </w:p>
        </w:tc>
        <w:tc>
          <w:tcPr>
            <w:tcW w:type="dxa" w:w="41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 BAID can retain multiple valid PropIDs.</w:t>
            </w:r>
          </w:p>
        </w:tc>
      </w:tr>
      <w:tr>
        <w:tc>
          <w:tcPr>
            <w:tcW w:type="dxa" w:w="35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banner_address_unit -&gt; banner_address_prop_id_map</w:t>
            </w:r>
          </w:p>
        </w:tc>
        <w:tc>
          <w:tcPr>
            <w:tcW w:type="dxa" w:w="16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 to 0..many</w:t>
            </w:r>
          </w:p>
        </w:tc>
        <w:tc>
          <w:tcPr>
            <w:tcW w:type="dxa" w:w="41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Unit-level map rows reference an exact unit child.</w:t>
            </w:r>
          </w:p>
        </w:tc>
      </w:tr>
    </w:tbl>
    <w:p>
      <w:pPr>
        <w:spacing w:after="40"/>
      </w:pPr>
    </w:p>
    <w:p>
      <w:r>
        <w:t>The mapping table uses (baid, prop_id) as its primary key. The unit_address_id is nullable: it is populated for slash-style unit addresses and remains null for base-address records.</w:t>
      </w:r>
    </w:p>
    <w:p>
      <w:pPr>
        <w:pStyle w:val="Heading1"/>
      </w:pPr>
      <w:r>
        <w:t>4. Unit-address handling</w:t>
      </w:r>
    </w:p>
    <w:p>
      <w:r>
        <w:t>When the source address begins with a slash-style unit prefix, the full unit address and the base address are both retained in different tables.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50"/>
        <w:gridCol w:w="2450"/>
        <w:gridCol w:w="2680"/>
        <w:gridCol w:w="1880"/>
      </w:tblGrid>
      <w:tr>
        <w:trPr>
          <w:tblHeader w:val="1"/>
        </w:trPr>
        <w:tc>
          <w:tcPr>
            <w:tcW w:type="dxa" w:w="23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4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Stored in banner_address</w:t>
            </w:r>
          </w:p>
        </w:tc>
        <w:tc>
          <w:tcPr>
            <w:tcW w:type="dxa" w:w="268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Stored in banner_address_unit</w:t>
            </w:r>
          </w:p>
        </w:tc>
        <w:tc>
          <w:tcPr>
            <w:tcW w:type="dxa" w:w="188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Shared link</w:t>
            </w:r>
          </w:p>
        </w:tc>
      </w:tr>
      <w:tr>
        <w:tc>
          <w:tcPr>
            <w:tcW w:type="dxa" w:w="23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101/1 AVON RD, PYMBLE NSW 2073</w:t>
            </w:r>
          </w:p>
        </w:tc>
        <w:tc>
          <w:tcPr>
            <w:tcW w:type="dxa" w:w="24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 AVON ROAD PYMBLE NSW 2073</w:t>
            </w:r>
          </w:p>
        </w:tc>
        <w:tc>
          <w:tcPr>
            <w:tcW w:type="dxa" w:w="2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101/1 AVON ROAD PYMBLE NSW 2073</w:t>
            </w:r>
          </w:p>
        </w:tc>
        <w:tc>
          <w:tcPr>
            <w:tcW w:type="dxa" w:w="18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481be4b9-b2d9-9972-9f60-b8ebab0e5eb4</w:t>
            </w:r>
          </w:p>
        </w:tc>
      </w:tr>
      <w:tr>
        <w:tc>
          <w:tcPr>
            <w:tcW w:type="dxa" w:w="23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102/1 AVON RD, PYMBLE NSW 2073</w:t>
            </w:r>
          </w:p>
        </w:tc>
        <w:tc>
          <w:tcPr>
            <w:tcW w:type="dxa" w:w="24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 AVON ROAD PYMBLE NSW 2073</w:t>
            </w:r>
          </w:p>
        </w:tc>
        <w:tc>
          <w:tcPr>
            <w:tcW w:type="dxa" w:w="268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102/1 AVON ROAD PYMBLE NSW 2073</w:t>
            </w:r>
          </w:p>
        </w:tc>
        <w:tc>
          <w:tcPr>
            <w:tcW w:type="dxa" w:w="188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481be4b9-b2d9-9972-9f60-b8ebab0e5eb4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EAF3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Result</w:t>
            </w:r>
          </w:p>
          <w:p>
            <w:pPr>
              <w:spacing w:after="0" w:line="269" w:lineRule="auto"/>
            </w:pPr>
            <w:r>
              <w:t>Both units can be joined to the same base record through baid. No unit address is promoted to the master table, and the unit detail is not discarded.</w:t>
            </w:r>
          </w:p>
        </w:tc>
      </w:tr>
    </w:tbl>
    <w:p>
      <w:pPr>
        <w:spacing w:after="60"/>
      </w:pPr>
    </w:p>
    <w:p>
      <w:pPr>
        <w:pStyle w:val="Heading1"/>
      </w:pPr>
      <w:r>
        <w:t>5. Address normalization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750"/>
        <w:gridCol w:w="4400"/>
        <w:gridCol w:w="4210"/>
      </w:tblGrid>
      <w:tr>
        <w:trPr>
          <w:tblHeader w:val="1"/>
        </w:trPr>
        <w:tc>
          <w:tcPr>
            <w:tcW w:type="dxa" w:w="75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44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421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7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44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Trim, uppercase and normalize spaces around '/'</w:t>
            </w:r>
          </w:p>
        </w:tc>
        <w:tc>
          <w:tcPr>
            <w:tcW w:type="dxa" w:w="42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Makes casing and slash spacing consistent</w:t>
            </w:r>
          </w:p>
        </w:tc>
      </w:tr>
      <w:tr>
        <w:tc>
          <w:tcPr>
            <w:tcW w:type="dxa" w:w="7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44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Expand known street abbreviations only immediately before a comma</w:t>
            </w:r>
          </w:p>
        </w:tc>
        <w:tc>
          <w:tcPr>
            <w:tcW w:type="dxa" w:w="421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Merges RD/ROAD safely without changing locality names such as ST IVES</w:t>
            </w:r>
          </w:p>
        </w:tc>
      </w:tr>
      <w:tr>
        <w:tc>
          <w:tcPr>
            <w:tcW w:type="dxa" w:w="7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type="dxa" w:w="44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Remove commas and periods; collapse whitespace</w:t>
            </w:r>
          </w:p>
        </w:tc>
        <w:tc>
          <w:tcPr>
            <w:tcW w:type="dxa" w:w="42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Creates a stable comparison string</w:t>
            </w:r>
          </w:p>
        </w:tc>
      </w:tr>
      <w:tr>
        <w:tc>
          <w:tcPr>
            <w:tcW w:type="dxa" w:w="75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type="dxa" w:w="44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Remove a leading unit prefix for the base address</w:t>
            </w:r>
          </w:p>
        </w:tc>
        <w:tc>
          <w:tcPr>
            <w:tcW w:type="dxa" w:w="421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Creates the unit-free master address</w:t>
            </w:r>
          </w:p>
        </w:tc>
      </w:tr>
      <w:tr>
        <w:tc>
          <w:tcPr>
            <w:tcW w:type="dxa" w:w="75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type="dxa" w:w="44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Generate UUID from md5(normalized address)</w:t>
            </w:r>
          </w:p>
        </w:tc>
        <w:tc>
          <w:tcPr>
            <w:tcW w:type="dxa" w:w="421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Creates a deterministic key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FF2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Versioning caution</w:t>
            </w:r>
          </w:p>
          <w:p>
            <w:pPr>
              <w:spacing w:after="0" w:line="269" w:lineRule="auto"/>
            </w:pPr>
            <w:r>
              <w:t>BAID is stable while normalization rules remain unchanged. Changing the normalized address changes the deterministic UUID, so rule changes should be versioned and impact-tested.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6. Worked examples</w:t>
      </w:r>
    </w:p>
    <w:p>
      <w:pPr>
        <w:pStyle w:val="Heading2"/>
      </w:pPr>
      <w:r>
        <w:t>6.1 1 Avon Road, Pymble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600"/>
        <w:gridCol w:w="6760"/>
      </w:tblGrid>
      <w:tr>
        <w:trPr>
          <w:tblHeader w:val="1"/>
        </w:trPr>
        <w:tc>
          <w:tcPr>
            <w:tcW w:type="dxa" w:w="26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BAID</w:t>
            </w:r>
          </w:p>
        </w:tc>
        <w:tc>
          <w:tcPr>
            <w:tcW w:type="dxa" w:w="6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481be4b9-b2d9-9972-9f60-b8ebab0e5eb4</w:t>
            </w:r>
          </w:p>
        </w:tc>
      </w:tr>
      <w:tr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Normalized base address</w:t>
            </w:r>
          </w:p>
        </w:tc>
        <w:tc>
          <w:tcPr>
            <w:tcW w:type="dxa" w:w="6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 AVON ROAD PYMBLE NSW 2073</w:t>
            </w:r>
          </w:p>
        </w:tc>
      </w:tr>
      <w:tr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Linked PropID count</w:t>
            </w:r>
          </w:p>
        </w:tc>
        <w:tc>
          <w:tcPr>
            <w:tcW w:type="dxa" w:w="6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162</w:t>
            </w:r>
          </w:p>
        </w:tc>
      </w:tr>
      <w:tr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Unit child count</w:t>
            </w:r>
          </w:p>
        </w:tc>
        <w:tc>
          <w:tcPr>
            <w:tcW w:type="dxa" w:w="6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90</w:t>
            </w:r>
          </w:p>
        </w:tc>
      </w:tr>
      <w:tr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Confirmed example PropID</w:t>
            </w:r>
          </w:p>
        </w:tc>
        <w:tc>
          <w:tcPr>
            <w:tcW w:type="dxa" w:w="6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4158520</w:t>
            </w:r>
          </w:p>
        </w:tc>
      </w:tr>
      <w:tr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Unit examples</w:t>
            </w:r>
          </w:p>
        </w:tc>
        <w:tc>
          <w:tcPr>
            <w:tcW w:type="dxa" w:w="6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1001/1 AVON ROAD PYMBLE NSW 2073; 1002/1 AVON ROAD PYMBLE NSW 2073; 1003/1 AVON ROAD PYMBLE NSW 2073</w:t>
            </w:r>
          </w:p>
        </w:tc>
      </w:tr>
    </w:tbl>
    <w:p>
      <w:pPr>
        <w:spacing w:after="40"/>
      </w:pPr>
    </w:p>
    <w:p>
      <w:r>
        <w:t>PropID 4158520 and all slash-style unit addresses at 1 Avon Road share one base BAID. Unit addresses remain separately queryable.</w:t>
      </w:r>
    </w:p>
    <w:p>
      <w:pPr>
        <w:pStyle w:val="Heading2"/>
      </w:pPr>
      <w:r>
        <w:t>6.2 150 Pacific Highway, North Sydney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600"/>
        <w:gridCol w:w="6760"/>
      </w:tblGrid>
      <w:tr>
        <w:trPr>
          <w:tblHeader w:val="1"/>
        </w:trPr>
        <w:tc>
          <w:tcPr>
            <w:tcW w:type="dxa" w:w="26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BAID</w:t>
            </w:r>
          </w:p>
        </w:tc>
        <w:tc>
          <w:tcPr>
            <w:tcW w:type="dxa" w:w="6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6baa65d3-1f90-95a8-a246-7df49e7a8a44</w:t>
            </w:r>
          </w:p>
        </w:tc>
      </w:tr>
      <w:tr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Normalized base address</w:t>
            </w:r>
          </w:p>
        </w:tc>
        <w:tc>
          <w:tcPr>
            <w:tcW w:type="dxa" w:w="6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150 PACIFIC HIGHWAY NORTH SYDNEY NSW 2060</w:t>
            </w:r>
          </w:p>
        </w:tc>
      </w:tr>
      <w:tr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Linked PropID count</w:t>
            </w:r>
          </w:p>
        </w:tc>
        <w:tc>
          <w:tcPr>
            <w:tcW w:type="dxa" w:w="6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258</w:t>
            </w:r>
          </w:p>
        </w:tc>
      </w:tr>
      <w:tr>
        <w:tc>
          <w:tcPr>
            <w:tcW w:type="dxa" w:w="260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Unit child count</w:t>
            </w:r>
          </w:p>
        </w:tc>
        <w:tc>
          <w:tcPr>
            <w:tcW w:type="dxa" w:w="6760"/>
            <w:vAlign w:val="top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255</w:t>
            </w:r>
          </w:p>
        </w:tc>
      </w:tr>
      <w:tr>
        <w:tc>
          <w:tcPr>
            <w:tcW w:type="dxa" w:w="260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Important tower PropIDs</w:t>
            </w:r>
          </w:p>
        </w:tc>
        <w:tc>
          <w:tcPr>
            <w:tcW w:type="dxa" w:w="67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4161744 and 4171107</w:t>
            </w:r>
          </w:p>
        </w:tc>
      </w:tr>
    </w:tbl>
    <w:p>
      <w:pPr>
        <w:spacing w:after="40"/>
      </w:pPr>
    </w:p>
    <w:p>
      <w:r>
        <w:t>Tower 1 and Tower 2 are both retained under the same address BAID. Neither PropID is marked primary or obsolete.</w:t>
      </w:r>
    </w:p>
    <w:p>
      <w:pPr>
        <w:pStyle w:val="Heading1"/>
      </w:pPr>
      <w:r>
        <w:t>7. Common SQL</w:t>
      </w:r>
    </w:p>
    <w:p>
      <w:r>
        <w:t>Find every PropID associated with a base address: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6"/>
              </w:rPr>
              <w:t>SELECT m.prop_id</w:t>
              <w:br/>
              <w:t>FROM propdb_staging.banner_address a</w:t>
              <w:br/>
              <w:t>JOIN propdb_staging.banner_address_prop_id_map m USING (baid)</w:t>
              <w:br/>
              <w:t>WHERE a.normalized_address = '1 AVON ROAD PYMBLE NSW 2073'</w:t>
              <w:br/>
              <w:t>ORDER BY m.prop_id;</w:t>
            </w:r>
          </w:p>
        </w:tc>
      </w:tr>
    </w:tbl>
    <w:p>
      <w:pPr>
        <w:spacing w:after="60"/>
      </w:pPr>
    </w:p>
    <w:p>
      <w:r>
        <w:t>Resolve a unit address to its base BAID: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6"/>
              </w:rPr>
              <w:t>SELECT u.normalized_unit_address, a.baid, a.normalized_address</w:t>
              <w:br/>
              <w:t>FROM propdb_staging.banner_address_unit u</w:t>
              <w:br/>
              <w:t>JOIN propdb_staging.banner_address a USING (baid)</w:t>
              <w:br/>
              <w:t>WHERE u.normalized_unit_address = '101/1 AVON ROAD PYMBLE NSW 2073';</w:t>
            </w:r>
          </w:p>
        </w:tc>
      </w:tr>
    </w:tbl>
    <w:p>
      <w:pPr>
        <w:spacing w:after="60"/>
      </w:pPr>
    </w:p>
    <w:p>
      <w:r>
        <w:t>Find all addresses associated with one PropID: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6"/>
              </w:rPr>
              <w:t>SELECT m.prop_id, a.baid, a.normalized_address, u.normalized_unit_address</w:t>
              <w:br/>
              <w:t>FROM propdb_staging.banner_address_prop_id_map m</w:t>
              <w:br/>
              <w:t>JOIN propdb_staging.banner_address a USING (baid)</w:t>
              <w:br/>
              <w:t>LEFT JOIN propdb_staging.banner_address_unit u USING (unit_address_id)</w:t>
              <w:br/>
              <w:t>WHERE m.prop_id = 4158520;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8. Data quality and limitations</w:t>
      </w:r>
    </w:p>
    <w:p>
      <w:pPr>
        <w:pStyle w:val="ListBullet"/>
        <w:spacing w:after="60"/>
        <w:ind w:left="504" w:hanging="259"/>
      </w:pPr>
      <w:r>
        <w:t>The unit detector currently recognizes an address beginning with letters, numbers or hyphens followed by '/'. Unit formats without a leading slash are not separated by this rule.</w:t>
      </w:r>
    </w:p>
    <w:p>
      <w:pPr>
        <w:pStyle w:val="ListBullet"/>
        <w:spacing w:after="60"/>
        <w:ind w:left="504" w:hanging="259"/>
      </w:pPr>
      <w:r>
        <w:t>Address normalization is deterministic, but it is not a complete postal-address parser. Misspellings, missing locality or postcode, and unusual source formats may still produce separate BAIDs.</w:t>
      </w:r>
    </w:p>
    <w:p>
      <w:pPr>
        <w:pStyle w:val="ListBullet"/>
        <w:spacing w:after="60"/>
        <w:ind w:left="504" w:hanging="259"/>
      </w:pPr>
      <w:r>
        <w:t>A BAID groups records by normalized address only. It does not prove legal parcel identity or current ownership status.</w:t>
      </w:r>
    </w:p>
    <w:p>
      <w:pPr>
        <w:pStyle w:val="ListBullet"/>
        <w:spacing w:after="60"/>
        <w:ind w:left="504" w:hanging="259"/>
      </w:pPr>
      <w:r>
        <w:t>Multiple PropIDs at one BAID should normally be preserved. Any future expiry logic should use a separate, evidence-based lifecycle model rather than overwrite this relationship layer.</w:t>
      </w:r>
    </w:p>
    <w:p>
      <w:pPr>
        <w:pStyle w:val="Heading1"/>
      </w:pPr>
      <w:r>
        <w:t>9. Refresh and validation</w:t>
      </w:r>
    </w:p>
    <w:p>
      <w:r>
        <w:t>The project build tool reads data_universe, rebuilds all three BAID tables in one transaction, and validates row coverage and foreign-key integrity before commit.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6"/>
              </w:rPr>
              <w:t>.venv\Scripts\python.exe tools\build_banner_address_mapping.py --replace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2F4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Courier New" w:hAnsi="Courier New"/>
                <w:sz w:val="16"/>
              </w:rPr>
              <w:t>.venv\Scripts\python.exe tools\build_banner_address_mapping.py --validate-only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tblHeader w:val="1"/>
        </w:trPr>
        <w:tc>
          <w:tcPr>
            <w:tcW w:type="dxa" w:w="9360"/>
            <w:shd w:fill="FFF2C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Replacement behavior</w:t>
            </w:r>
          </w:p>
          <w:p>
            <w:pPr>
              <w:spacing w:after="0" w:line="269" w:lineRule="auto"/>
            </w:pPr>
            <w:r>
              <w:t>The --replace option drops and recreates the BAID tables. Run it only after confirming the intended source snapshot and database target. The build does not upload new property-sales records; it rebuilds the mapping layer from existing data_universe rows.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779"/>
        <w:sz w:val="17"/>
      </w:rPr>
      <w:t>propdb_staging | 19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6779"/>
        <w:sz w:val="18"/>
      </w:rPr>
      <w:t>Banner Address ID (BAID) |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8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Banner Address ID (BAID) Technical Guide</dc:title>
  <dc:subject>Data dictionary companion for address-centric PropID mapping</dc:subject>
  <dc:creator>Banner17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